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0774E" w14:textId="77777777" w:rsidR="008F6CBE" w:rsidRPr="005C7CE4" w:rsidRDefault="008F6CBE" w:rsidP="008F6CBE">
      <w:pPr>
        <w:pStyle w:val="CorpsA"/>
        <w:rPr>
          <w:rStyle w:val="Aucun"/>
          <w:rFonts w:ascii="Arial Narrow" w:eastAsia="Arial Narrow" w:hAnsi="Arial Narrow" w:cs="Arial Narrow"/>
          <w:b/>
          <w:bCs/>
          <w:lang w:val="fr-FR"/>
        </w:rPr>
      </w:pPr>
      <w:r w:rsidRPr="005C7CE4">
        <w:rPr>
          <w:rStyle w:val="Aucun"/>
          <w:rFonts w:ascii="Arial Narrow" w:hAnsi="Arial Narrow"/>
          <w:b/>
          <w:bCs/>
          <w:lang w:val="fr-FR"/>
        </w:rPr>
        <w:t>MINISTERE DE L’ENVIRONNEMENT</w:t>
      </w:r>
    </w:p>
    <w:p w14:paraId="289DC268" w14:textId="77777777" w:rsidR="008F6CBE" w:rsidRPr="005C7CE4" w:rsidRDefault="008F6CBE" w:rsidP="008F6CBE">
      <w:pPr>
        <w:pStyle w:val="CorpsA"/>
        <w:rPr>
          <w:rStyle w:val="Aucun"/>
          <w:rFonts w:ascii="Arial Narrow" w:eastAsia="Arial Narrow" w:hAnsi="Arial Narrow" w:cs="Arial Narrow"/>
          <w:b/>
          <w:bCs/>
          <w:lang w:val="fr-FR"/>
        </w:rPr>
      </w:pPr>
      <w:r>
        <w:rPr>
          <w:rStyle w:val="Aucun"/>
          <w:rFonts w:ascii="Arial Narrow" w:hAnsi="Arial Narrow"/>
          <w:b/>
          <w:bCs/>
          <w:lang w:val="es-ES_tradnl"/>
        </w:rPr>
        <w:t>DE L</w:t>
      </w:r>
      <w:r w:rsidRPr="005C7CE4">
        <w:rPr>
          <w:rStyle w:val="Aucun"/>
          <w:rFonts w:ascii="Arial Narrow" w:hAnsi="Arial Narrow"/>
          <w:b/>
          <w:bCs/>
          <w:lang w:val="fr-FR"/>
        </w:rPr>
        <w:t xml:space="preserve">’ASSAINISSEMENT ET DU    </w:t>
      </w:r>
      <w:r w:rsidRPr="005C7CE4">
        <w:rPr>
          <w:rStyle w:val="Aucun"/>
          <w:rFonts w:ascii="Arial Narrow" w:hAnsi="Arial Narrow"/>
          <w:b/>
          <w:bCs/>
          <w:lang w:val="fr-FR"/>
        </w:rPr>
        <w:tab/>
      </w:r>
      <w:r w:rsidRPr="005C7CE4">
        <w:rPr>
          <w:rStyle w:val="Aucun"/>
          <w:rFonts w:ascii="Arial Narrow" w:hAnsi="Arial Narrow"/>
          <w:b/>
          <w:bCs/>
          <w:lang w:val="fr-FR"/>
        </w:rPr>
        <w:tab/>
        <w:t xml:space="preserve">                                        </w:t>
      </w:r>
    </w:p>
    <w:p w14:paraId="4737D145" w14:textId="77777777" w:rsidR="008F6CBE" w:rsidRPr="005C7CE4" w:rsidRDefault="008F6CBE" w:rsidP="008F6CBE">
      <w:pPr>
        <w:pStyle w:val="CorpsA"/>
        <w:rPr>
          <w:rStyle w:val="Aucun"/>
          <w:rFonts w:ascii="Arial Narrow" w:eastAsia="Arial Narrow" w:hAnsi="Arial Narrow" w:cs="Arial Narrow"/>
          <w:b/>
          <w:bCs/>
          <w:lang w:val="fr-FR"/>
        </w:rPr>
      </w:pPr>
      <w:r>
        <w:rPr>
          <w:rStyle w:val="Aucun"/>
          <w:rFonts w:ascii="Arial Narrow" w:hAnsi="Arial Narrow"/>
          <w:b/>
          <w:bCs/>
          <w:lang w:val="es-ES_tradnl"/>
        </w:rPr>
        <w:t>DEVELOPPEMENT DURABLE</w:t>
      </w:r>
    </w:p>
    <w:p w14:paraId="43641477" w14:textId="3371A4DD" w:rsidR="008F6CBE" w:rsidRPr="005C7CE4" w:rsidRDefault="008F6CBE" w:rsidP="008F6CBE">
      <w:pPr>
        <w:pStyle w:val="CorpsA"/>
        <w:jc w:val="both"/>
        <w:rPr>
          <w:rStyle w:val="Aucun"/>
          <w:rFonts w:ascii="Arial Narrow" w:eastAsia="Arial Narrow" w:hAnsi="Arial Narrow" w:cs="Arial Narrow"/>
          <w:b/>
          <w:bCs/>
          <w:lang w:val="fr-FR"/>
        </w:rPr>
      </w:pPr>
      <w:r>
        <w:rPr>
          <w:rStyle w:val="Aucun"/>
          <w:rFonts w:ascii="Calibri" w:eastAsia="Calibri" w:hAnsi="Calibri" w:cs="Calibri"/>
          <w:noProof/>
          <w:sz w:val="22"/>
          <w:szCs w:val="22"/>
        </w:rPr>
        <mc:AlternateContent>
          <mc:Choice Requires="wps">
            <w:drawing>
              <wp:anchor distT="0" distB="0" distL="0" distR="0" simplePos="0" relativeHeight="251658244" behindDoc="0" locked="0" layoutInCell="1" allowOverlap="1" wp14:anchorId="4EA38077" wp14:editId="41C6182B">
                <wp:simplePos x="0" y="0"/>
                <wp:positionH relativeFrom="column">
                  <wp:posOffset>669287</wp:posOffset>
                </wp:positionH>
                <wp:positionV relativeFrom="line">
                  <wp:posOffset>26665</wp:posOffset>
                </wp:positionV>
                <wp:extent cx="685804" cy="0"/>
                <wp:effectExtent l="0" t="0" r="0" b="0"/>
                <wp:wrapNone/>
                <wp:docPr id="1073741827" name="officeArt object" descr="Line 4"/>
                <wp:cNvGraphicFramePr/>
                <a:graphic xmlns:a="http://schemas.openxmlformats.org/drawingml/2006/main">
                  <a:graphicData uri="http://schemas.microsoft.com/office/word/2010/wordprocessingShape">
                    <wps:wsp>
                      <wps:cNvCnPr/>
                      <wps:spPr>
                        <a:xfrm>
                          <a:off x="0" y="0"/>
                          <a:ext cx="685804" cy="0"/>
                        </a:xfrm>
                        <a:prstGeom prst="line">
                          <a:avLst/>
                        </a:prstGeom>
                        <a:noFill/>
                        <a:ln w="27940" cap="flat">
                          <a:solidFill>
                            <a:srgbClr val="000000"/>
                          </a:solidFill>
                          <a:prstDash val="solid"/>
                          <a:round/>
                        </a:ln>
                        <a:effectLst/>
                      </wps:spPr>
                      <wps:bodyPr/>
                    </wps:wsp>
                  </a:graphicData>
                </a:graphic>
              </wp:anchor>
            </w:drawing>
          </mc:Choice>
          <mc:Fallback>
            <w:pict>
              <v:line w14:anchorId="51F8BF2A" id="officeArt object" o:spid="_x0000_s1026" alt="Line 4" style="position:absolute;z-index:251658244;visibility:visible;mso-wrap-style:square;mso-wrap-distance-left:0;mso-wrap-distance-top:0;mso-wrap-distance-right:0;mso-wrap-distance-bottom:0;mso-position-horizontal:absolute;mso-position-horizontal-relative:text;mso-position-vertical:absolute;mso-position-vertical-relative:line" from="52.7pt,2.1pt" to="106.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" strokeweight="2.2pt">
                <w10:wrap anchory="line"/>
              </v:line>
            </w:pict>
          </mc:Fallback>
        </mc:AlternateContent>
      </w:r>
    </w:p>
    <w:p w14:paraId="7171EF3F" w14:textId="694CE951" w:rsidR="008F6CBE" w:rsidRPr="005C7CE4" w:rsidRDefault="00CE1F98" w:rsidP="008F6CBE">
      <w:pPr>
        <w:pStyle w:val="CorpsA"/>
        <w:tabs>
          <w:tab w:val="left" w:pos="6440"/>
        </w:tabs>
        <w:rPr>
          <w:rStyle w:val="Aucun"/>
          <w:rFonts w:ascii="Arial Narrow" w:eastAsia="Arial Narrow" w:hAnsi="Arial Narrow" w:cs="Arial Narrow"/>
          <w:b/>
          <w:bCs/>
          <w:lang w:val="fr-FR"/>
        </w:rPr>
      </w:pPr>
      <w:r>
        <w:rPr>
          <w:rStyle w:val="Aucun"/>
          <w:rFonts w:ascii="Arial Narrow" w:hAnsi="Arial Narrow"/>
          <w:b/>
          <w:bCs/>
          <w:noProof/>
          <w:lang w:val="fr-FR"/>
        </w:rPr>
        <w:drawing>
          <wp:anchor distT="0" distB="0" distL="114300" distR="114300" simplePos="0" relativeHeight="251660308" behindDoc="0" locked="0" layoutInCell="1" allowOverlap="1" wp14:anchorId="4B5F87DA" wp14:editId="2182385A">
            <wp:simplePos x="0" y="0"/>
            <wp:positionH relativeFrom="column">
              <wp:posOffset>3582035</wp:posOffset>
            </wp:positionH>
            <wp:positionV relativeFrom="paragraph">
              <wp:posOffset>159385</wp:posOffset>
            </wp:positionV>
            <wp:extent cx="1897380" cy="1110615"/>
            <wp:effectExtent l="0" t="0" r="7620" b="0"/>
            <wp:wrapNone/>
            <wp:docPr id="196884021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7380" cy="1110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3498">
        <w:rPr>
          <w:rStyle w:val="Aucun"/>
          <w:noProof/>
          <w:lang w:val="fr-FR"/>
        </w:rPr>
        <w:drawing>
          <wp:anchor distT="0" distB="0" distL="114300" distR="114300" simplePos="0" relativeHeight="251661332" behindDoc="0" locked="0" layoutInCell="1" allowOverlap="1" wp14:anchorId="2BD0461F" wp14:editId="1104E8CD">
            <wp:simplePos x="0" y="0"/>
            <wp:positionH relativeFrom="column">
              <wp:posOffset>5544820</wp:posOffset>
            </wp:positionH>
            <wp:positionV relativeFrom="paragraph">
              <wp:posOffset>126365</wp:posOffset>
            </wp:positionV>
            <wp:extent cx="601980" cy="1168400"/>
            <wp:effectExtent l="0" t="0" r="7620" b="0"/>
            <wp:wrapSquare wrapText="bothSides"/>
            <wp:docPr id="6879580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5805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1980" cy="1168400"/>
                    </a:xfrm>
                    <a:prstGeom prst="rect">
                      <a:avLst/>
                    </a:prstGeom>
                  </pic:spPr>
                </pic:pic>
              </a:graphicData>
            </a:graphic>
            <wp14:sizeRelH relativeFrom="margin">
              <wp14:pctWidth>0</wp14:pctWidth>
            </wp14:sizeRelH>
            <wp14:sizeRelV relativeFrom="margin">
              <wp14:pctHeight>0</wp14:pctHeight>
            </wp14:sizeRelV>
          </wp:anchor>
        </w:drawing>
      </w:r>
      <w:r w:rsidR="008F6CBE" w:rsidRPr="005C7CE4">
        <w:rPr>
          <w:rStyle w:val="Aucun"/>
          <w:rFonts w:ascii="Arial Narrow" w:hAnsi="Arial Narrow"/>
          <w:b/>
          <w:bCs/>
          <w:lang w:val="fr-FR"/>
        </w:rPr>
        <w:t xml:space="preserve">Agence de l’Environnement et du </w:t>
      </w:r>
      <w:r w:rsidR="008F6CBE" w:rsidRPr="005C7CE4">
        <w:rPr>
          <w:rStyle w:val="Aucun"/>
          <w:rFonts w:ascii="Arial Narrow" w:hAnsi="Arial Narrow"/>
          <w:b/>
          <w:bCs/>
          <w:lang w:val="fr-FR"/>
        </w:rPr>
        <w:tab/>
      </w:r>
    </w:p>
    <w:p w14:paraId="3AF431CF" w14:textId="5CF62095" w:rsidR="008F6CBE" w:rsidRDefault="008F6CBE" w:rsidP="008F6CBE">
      <w:pPr>
        <w:pStyle w:val="CorpsA"/>
        <w:rPr>
          <w:rStyle w:val="Aucun"/>
        </w:rPr>
      </w:pPr>
      <w:r>
        <w:rPr>
          <w:rStyle w:val="Aucun"/>
          <w:rFonts w:ascii="Arial Narrow" w:hAnsi="Arial Narrow"/>
          <w:b/>
          <w:bCs/>
        </w:rPr>
        <w:t>Développement Durable (AEDD)</w:t>
      </w:r>
      <w:r>
        <w:rPr>
          <w:rStyle w:val="Aucun"/>
        </w:rPr>
        <w:tab/>
      </w:r>
    </w:p>
    <w:p w14:paraId="452797A8" w14:textId="77777777" w:rsidR="008F6CBE" w:rsidRDefault="008F6CBE" w:rsidP="008F6CBE">
      <w:pPr>
        <w:pStyle w:val="CorpsA"/>
        <w:rPr>
          <w:rStyle w:val="Aucun"/>
        </w:rPr>
      </w:pPr>
      <w:r>
        <w:rPr>
          <w:rStyle w:val="Aucun"/>
        </w:rPr>
        <w:tab/>
      </w:r>
      <w:r>
        <w:rPr>
          <w:rStyle w:val="Aucun"/>
        </w:rPr>
        <w:tab/>
      </w:r>
      <w:r>
        <w:rPr>
          <w:rStyle w:val="Aucun"/>
        </w:rPr>
        <w:tab/>
      </w:r>
      <w:r>
        <w:rPr>
          <w:rStyle w:val="Aucun"/>
        </w:rPr>
        <w:tab/>
      </w:r>
      <w:r>
        <w:rPr>
          <w:rStyle w:val="Aucun"/>
        </w:rPr>
        <w:tab/>
      </w:r>
      <w:r>
        <w:rPr>
          <w:rStyle w:val="Aucun"/>
        </w:rPr>
        <w:tab/>
      </w:r>
    </w:p>
    <w:p w14:paraId="1AF1F07C" w14:textId="77777777" w:rsidR="008F6CBE" w:rsidRPr="008F3344" w:rsidRDefault="008F6CBE" w:rsidP="008F6CB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Style w:val="Aucun"/>
        </w:rPr>
        <w:t xml:space="preserve">      </w:t>
      </w:r>
      <w:r>
        <w:rPr>
          <w:rStyle w:val="Aucun"/>
          <w:noProof/>
        </w:rPr>
        <w:drawing>
          <wp:inline distT="0" distB="0" distL="0" distR="0" wp14:anchorId="3BA3AB28" wp14:editId="10E9EEE8">
            <wp:extent cx="941697" cy="880268"/>
            <wp:effectExtent l="0" t="0" r="0" b="0"/>
            <wp:docPr id="1073741828" name="officeArt object" descr="logo_aedd_23.jpg"/>
            <wp:cNvGraphicFramePr/>
            <a:graphic xmlns:a="http://schemas.openxmlformats.org/drawingml/2006/main">
              <a:graphicData uri="http://schemas.openxmlformats.org/drawingml/2006/picture">
                <pic:pic xmlns:pic="http://schemas.openxmlformats.org/drawingml/2006/picture">
                  <pic:nvPicPr>
                    <pic:cNvPr id="1073741828" name="logo_aedd_23.jpg" descr="logo_aedd_23.jpg"/>
                    <pic:cNvPicPr>
                      <a:picLocks noChangeAspect="1"/>
                    </pic:cNvPicPr>
                  </pic:nvPicPr>
                  <pic:blipFill>
                    <a:blip r:embed="rId11"/>
                    <a:stretch>
                      <a:fillRect/>
                    </a:stretch>
                  </pic:blipFill>
                  <pic:spPr>
                    <a:xfrm>
                      <a:off x="0" y="0"/>
                      <a:ext cx="941697" cy="880268"/>
                    </a:xfrm>
                    <a:prstGeom prst="rect">
                      <a:avLst/>
                    </a:prstGeom>
                    <a:ln w="12700" cap="flat">
                      <a:noFill/>
                      <a:miter lim="400000"/>
                    </a:ln>
                    <a:effectLst/>
                  </pic:spPr>
                </pic:pic>
              </a:graphicData>
            </a:graphic>
          </wp:inline>
        </w:drawing>
      </w:r>
    </w:p>
    <w:p w14:paraId="00000006" w14:textId="1C65E872" w:rsidR="000334A0" w:rsidRPr="008F3344" w:rsidRDefault="000334A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8" w14:textId="54513AB8" w:rsidR="000334A0" w:rsidRPr="008F3344" w:rsidRDefault="000334A0">
      <w:pPr>
        <w:widowControl w:val="0"/>
        <w:pBdr>
          <w:top w:val="nil"/>
          <w:left w:val="nil"/>
          <w:bottom w:val="nil"/>
          <w:right w:val="nil"/>
          <w:between w:val="nil"/>
        </w:pBdr>
        <w:spacing w:after="0" w:line="240" w:lineRule="auto"/>
        <w:ind w:left="114"/>
        <w:rPr>
          <w:rFonts w:ascii="Times New Roman" w:eastAsia="Times New Roman" w:hAnsi="Times New Roman" w:cs="Times New Roman"/>
          <w:color w:val="000000"/>
          <w:sz w:val="24"/>
          <w:szCs w:val="24"/>
        </w:rPr>
      </w:pPr>
    </w:p>
    <w:p w14:paraId="00000009" w14:textId="6EEC059D" w:rsidR="000334A0" w:rsidRPr="008F3344" w:rsidRDefault="0070371D" w:rsidP="0070371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8F3344">
        <w:rPr>
          <w:rFonts w:ascii="Times New Roman" w:eastAsia="Times New Roman" w:hAnsi="Times New Roman" w:cs="Times New Roman"/>
          <w:noProof/>
          <w:color w:val="000000"/>
          <w:sz w:val="24"/>
          <w:szCs w:val="24"/>
          <w:lang w:eastAsia="fr-FR"/>
        </w:rPr>
        <w:drawing>
          <wp:inline distT="0" distB="0" distL="0" distR="0" wp14:anchorId="3FCC6BE2" wp14:editId="1C58EF8A">
            <wp:extent cx="6146529" cy="4372610"/>
            <wp:effectExtent l="0" t="0" r="6985" b="8890"/>
            <wp:docPr id="16610951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95113" name="Imag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172435" cy="4391039"/>
                    </a:xfrm>
                    <a:prstGeom prst="rect">
                      <a:avLst/>
                    </a:prstGeom>
                    <a:noFill/>
                  </pic:spPr>
                </pic:pic>
              </a:graphicData>
            </a:graphic>
          </wp:inline>
        </w:drawing>
      </w:r>
    </w:p>
    <w:p w14:paraId="0000000A" w14:textId="14F752FD" w:rsidR="000334A0" w:rsidRPr="008F3344" w:rsidRDefault="00FE2EDD">
      <w:pPr>
        <w:widowControl w:val="0"/>
        <w:pBdr>
          <w:top w:val="nil"/>
          <w:left w:val="nil"/>
          <w:bottom w:val="nil"/>
          <w:right w:val="nil"/>
          <w:between w:val="nil"/>
        </w:pBdr>
        <w:spacing w:after="0" w:line="240" w:lineRule="auto"/>
        <w:ind w:left="114"/>
        <w:rPr>
          <w:rFonts w:ascii="Times New Roman" w:eastAsia="Times New Roman" w:hAnsi="Times New Roman" w:cs="Times New Roman"/>
          <w:color w:val="000000"/>
          <w:sz w:val="24"/>
          <w:szCs w:val="24"/>
        </w:rPr>
      </w:pPr>
      <w:r w:rsidRPr="008F3344">
        <w:rPr>
          <w:noProof/>
          <w:lang w:eastAsia="fr-FR"/>
        </w:rPr>
        <mc:AlternateContent>
          <mc:Choice Requires="wps">
            <w:drawing>
              <wp:anchor distT="0" distB="0" distL="114300" distR="114300" simplePos="0" relativeHeight="251658240" behindDoc="0" locked="0" layoutInCell="1" hidden="0" allowOverlap="1" wp14:anchorId="0235AB47" wp14:editId="2FD34232">
                <wp:simplePos x="0" y="0"/>
                <wp:positionH relativeFrom="margin">
                  <wp:posOffset>0</wp:posOffset>
                </wp:positionH>
                <wp:positionV relativeFrom="paragraph">
                  <wp:posOffset>22225</wp:posOffset>
                </wp:positionV>
                <wp:extent cx="3787775" cy="173990"/>
                <wp:effectExtent l="0" t="0" r="3175" b="0"/>
                <wp:wrapNone/>
                <wp:docPr id="16469" name="Rectangle 16469"/>
                <wp:cNvGraphicFramePr/>
                <a:graphic xmlns:a="http://schemas.openxmlformats.org/drawingml/2006/main">
                  <a:graphicData uri="http://schemas.microsoft.com/office/word/2010/wordprocessingShape">
                    <wps:wsp>
                      <wps:cNvSpPr/>
                      <wps:spPr>
                        <a:xfrm>
                          <a:off x="0" y="0"/>
                          <a:ext cx="3787775" cy="173990"/>
                        </a:xfrm>
                        <a:prstGeom prst="rect">
                          <a:avLst/>
                        </a:prstGeom>
                        <a:solidFill>
                          <a:srgbClr val="002E54"/>
                        </a:solidFill>
                        <a:ln>
                          <a:noFill/>
                        </a:ln>
                      </wps:spPr>
                      <wps:txbx>
                        <w:txbxContent>
                          <w:p w14:paraId="61B19E8E" w14:textId="77777777" w:rsidR="009E505F" w:rsidRPr="008F3344" w:rsidRDefault="009E505F">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235AB47" id="Rectangle 16469" o:spid="_x0000_s1026" style="position:absolute;left:0;text-align:left;margin-left:0;margin-top:1.75pt;width:298.25pt;height:13.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" fillcolor="#002e54" stroked="f">
                <v:textbox inset="2.53958mm,2.53958mm,2.53958mm,2.53958mm">
                  <w:txbxContent>
                    <w:p w14:paraId="61B19E8E" w14:textId="77777777" w:rsidR="009E505F" w:rsidRPr="008F3344" w:rsidRDefault="009E505F">
                      <w:pPr>
                        <w:spacing w:after="0" w:line="240" w:lineRule="auto"/>
                        <w:textDirection w:val="btLr"/>
                      </w:pPr>
                    </w:p>
                  </w:txbxContent>
                </v:textbox>
                <w10:wrap anchorx="margin"/>
              </v:rect>
            </w:pict>
          </mc:Fallback>
        </mc:AlternateContent>
      </w:r>
      <w:r w:rsidRPr="008F3344">
        <w:rPr>
          <w:noProof/>
          <w:lang w:eastAsia="fr-FR"/>
        </w:rPr>
        <mc:AlternateContent>
          <mc:Choice Requires="wps">
            <w:drawing>
              <wp:anchor distT="0" distB="0" distL="114300" distR="114300" simplePos="0" relativeHeight="251658241" behindDoc="0" locked="0" layoutInCell="1" hidden="0" allowOverlap="1" wp14:anchorId="5C4AEACE" wp14:editId="569F5693">
                <wp:simplePos x="0" y="0"/>
                <wp:positionH relativeFrom="margin">
                  <wp:posOffset>3791585</wp:posOffset>
                </wp:positionH>
                <wp:positionV relativeFrom="paragraph">
                  <wp:posOffset>22415</wp:posOffset>
                </wp:positionV>
                <wp:extent cx="2379980" cy="173990"/>
                <wp:effectExtent l="0" t="0" r="1270" b="0"/>
                <wp:wrapNone/>
                <wp:docPr id="16470" name="Rectangle 16470"/>
                <wp:cNvGraphicFramePr/>
                <a:graphic xmlns:a="http://schemas.openxmlformats.org/drawingml/2006/main">
                  <a:graphicData uri="http://schemas.microsoft.com/office/word/2010/wordprocessingShape">
                    <wps:wsp>
                      <wps:cNvSpPr/>
                      <wps:spPr>
                        <a:xfrm>
                          <a:off x="0" y="0"/>
                          <a:ext cx="2379980" cy="173990"/>
                        </a:xfrm>
                        <a:prstGeom prst="rect">
                          <a:avLst/>
                        </a:prstGeom>
                        <a:solidFill>
                          <a:srgbClr val="00AEEF"/>
                        </a:solidFill>
                        <a:ln>
                          <a:noFill/>
                        </a:ln>
                      </wps:spPr>
                      <wps:txbx>
                        <w:txbxContent>
                          <w:p w14:paraId="09B61B82" w14:textId="77777777" w:rsidR="009E505F" w:rsidRPr="008F3344" w:rsidRDefault="009E505F">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C4AEACE" id="Rectangle 16470" o:spid="_x0000_s1027" style="position:absolute;left:0;text-align:left;margin-left:298.55pt;margin-top:1.75pt;width:187.4pt;height:13.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" fillcolor="#00aeef" stroked="f">
                <v:textbox inset="2.53958mm,2.53958mm,2.53958mm,2.53958mm">
                  <w:txbxContent>
                    <w:p w14:paraId="09B61B82" w14:textId="77777777" w:rsidR="009E505F" w:rsidRPr="008F3344" w:rsidRDefault="009E505F">
                      <w:pPr>
                        <w:spacing w:after="0" w:line="240" w:lineRule="auto"/>
                        <w:textDirection w:val="btLr"/>
                      </w:pPr>
                    </w:p>
                  </w:txbxContent>
                </v:textbox>
                <w10:wrap anchorx="margin"/>
              </v:rect>
            </w:pict>
          </mc:Fallback>
        </mc:AlternateContent>
      </w:r>
    </w:p>
    <w:p w14:paraId="2FD99D7B" w14:textId="7EC60319" w:rsidR="00D17EC1" w:rsidRPr="008F3344" w:rsidRDefault="00A721E2" w:rsidP="00B92DFA">
      <w:pPr>
        <w:spacing w:before="120" w:after="240"/>
        <w:rPr>
          <w:b/>
          <w:color w:val="002E54"/>
          <w:sz w:val="56"/>
          <w:szCs w:val="56"/>
        </w:rPr>
      </w:pPr>
      <w:bookmarkStart w:id="0" w:name="bookmark=id.gjdgxs" w:colFirst="0" w:colLast="0"/>
      <w:bookmarkEnd w:id="0"/>
      <w:r w:rsidRPr="00A721E2">
        <w:rPr>
          <w:b/>
          <w:color w:val="002E54"/>
          <w:sz w:val="56"/>
          <w:szCs w:val="56"/>
        </w:rPr>
        <w:t>É</w:t>
      </w:r>
      <w:r w:rsidR="005F7853" w:rsidRPr="005F7853">
        <w:rPr>
          <w:b/>
          <w:color w:val="002E54"/>
          <w:sz w:val="56"/>
          <w:szCs w:val="56"/>
        </w:rPr>
        <w:t>laboration de la CDN 3.0 du Mali</w:t>
      </w:r>
    </w:p>
    <w:p w14:paraId="0000000D" w14:textId="4DA532CB" w:rsidR="000334A0" w:rsidRPr="008F3344" w:rsidRDefault="00F57D25" w:rsidP="00A06822">
      <w:pPr>
        <w:spacing w:after="240"/>
        <w:rPr>
          <w:rFonts w:ascii="Arial" w:eastAsia="Arial" w:hAnsi="Arial" w:cs="Arial"/>
          <w:color w:val="00AEEF"/>
          <w:sz w:val="48"/>
          <w:szCs w:val="48"/>
        </w:rPr>
      </w:pPr>
      <w:r w:rsidRPr="008F3344">
        <w:rPr>
          <w:rFonts w:ascii="Arial" w:eastAsia="Arial" w:hAnsi="Arial" w:cs="Arial"/>
          <w:color w:val="00AEEF"/>
          <w:sz w:val="48"/>
          <w:szCs w:val="48"/>
        </w:rPr>
        <w:t>Rapport</w:t>
      </w:r>
      <w:r w:rsidR="005F7853">
        <w:rPr>
          <w:rFonts w:ascii="Arial" w:eastAsia="Arial" w:hAnsi="Arial" w:cs="Arial"/>
          <w:color w:val="00AEEF"/>
          <w:sz w:val="48"/>
          <w:szCs w:val="48"/>
        </w:rPr>
        <w:t xml:space="preserve"> </w:t>
      </w:r>
      <w:r w:rsidR="00974B19">
        <w:rPr>
          <w:rFonts w:ascii="Arial" w:eastAsia="Arial" w:hAnsi="Arial" w:cs="Arial"/>
          <w:color w:val="00AEEF"/>
          <w:sz w:val="48"/>
          <w:szCs w:val="48"/>
        </w:rPr>
        <w:t>de</w:t>
      </w:r>
      <w:r w:rsidR="007A4429">
        <w:rPr>
          <w:rFonts w:ascii="Arial" w:eastAsia="Arial" w:hAnsi="Arial" w:cs="Arial"/>
          <w:color w:val="00AEEF"/>
          <w:sz w:val="48"/>
          <w:szCs w:val="48"/>
        </w:rPr>
        <w:t xml:space="preserve"> revue sectorielle</w:t>
      </w:r>
    </w:p>
    <w:p w14:paraId="00000010" w14:textId="41DCD695" w:rsidR="007F6EC0" w:rsidRPr="008F3344" w:rsidRDefault="00842677" w:rsidP="0016269D">
      <w:pPr>
        <w:tabs>
          <w:tab w:val="left" w:pos="7005"/>
        </w:tabs>
        <w:spacing w:before="1"/>
        <w:rPr>
          <w:b/>
          <w:color w:val="00AEEF"/>
          <w:sz w:val="24"/>
          <w:szCs w:val="24"/>
        </w:rPr>
        <w:sectPr w:rsidR="007F6EC0" w:rsidRPr="008F3344" w:rsidSect="005C7CE4">
          <w:footerReference w:type="default" r:id="rId13"/>
          <w:pgSz w:w="11906" w:h="16838"/>
          <w:pgMar w:top="450" w:right="1417" w:bottom="1417" w:left="1417" w:header="708" w:footer="708" w:gutter="0"/>
          <w:pgNumType w:start="1"/>
          <w:cols w:space="720"/>
          <w:titlePg/>
          <w:docGrid w:linePitch="299"/>
        </w:sectPr>
      </w:pPr>
      <w:r w:rsidRPr="00974B19">
        <w:rPr>
          <w:noProof/>
          <w:highlight w:val="yellow"/>
          <w:lang w:eastAsia="fr-FR"/>
        </w:rPr>
        <w:drawing>
          <wp:anchor distT="0" distB="0" distL="114300" distR="114300" simplePos="0" relativeHeight="251658242" behindDoc="0" locked="0" layoutInCell="1" hidden="0" allowOverlap="1" wp14:anchorId="04CE86F4" wp14:editId="0790BFE3">
            <wp:simplePos x="0" y="0"/>
            <wp:positionH relativeFrom="margin">
              <wp:posOffset>4918710</wp:posOffset>
            </wp:positionH>
            <wp:positionV relativeFrom="paragraph">
              <wp:posOffset>569595</wp:posOffset>
            </wp:positionV>
            <wp:extent cx="1231265" cy="518160"/>
            <wp:effectExtent l="0" t="0" r="6985" b="0"/>
            <wp:wrapSquare wrapText="bothSides"/>
            <wp:docPr id="1112347027" name="image10.png" descr="Page Title"/>
            <wp:cNvGraphicFramePr/>
            <a:graphic xmlns:a="http://schemas.openxmlformats.org/drawingml/2006/main">
              <a:graphicData uri="http://schemas.openxmlformats.org/drawingml/2006/picture">
                <pic:pic xmlns:pic="http://schemas.openxmlformats.org/drawingml/2006/picture">
                  <pic:nvPicPr>
                    <pic:cNvPr id="0" name="image10.png" descr="Page Title"/>
                    <pic:cNvPicPr preferRelativeResize="0"/>
                  </pic:nvPicPr>
                  <pic:blipFill>
                    <a:blip r:embed="rId14"/>
                    <a:srcRect l="2137"/>
                    <a:stretch>
                      <a:fillRect/>
                    </a:stretch>
                  </pic:blipFill>
                  <pic:spPr>
                    <a:xfrm>
                      <a:off x="0" y="0"/>
                      <a:ext cx="1231265" cy="518160"/>
                    </a:xfrm>
                    <a:prstGeom prst="rect">
                      <a:avLst/>
                    </a:prstGeom>
                    <a:ln/>
                  </pic:spPr>
                </pic:pic>
              </a:graphicData>
            </a:graphic>
            <wp14:sizeRelH relativeFrom="margin">
              <wp14:pctWidth>0</wp14:pctWidth>
            </wp14:sizeRelH>
            <wp14:sizeRelV relativeFrom="margin">
              <wp14:pctHeight>0</wp14:pctHeight>
            </wp14:sizeRelV>
          </wp:anchor>
        </w:drawing>
      </w:r>
      <w:r w:rsidR="00184739">
        <w:rPr>
          <w:b/>
          <w:color w:val="00AEEF"/>
          <w:sz w:val="24"/>
          <w:szCs w:val="24"/>
        </w:rPr>
        <w:t>Juin</w:t>
      </w:r>
      <w:r w:rsidR="00AF00F9">
        <w:rPr>
          <w:b/>
          <w:color w:val="00AEEF"/>
          <w:sz w:val="24"/>
          <w:szCs w:val="24"/>
        </w:rPr>
        <w:t xml:space="preserve"> </w:t>
      </w:r>
      <w:r>
        <w:rPr>
          <w:b/>
          <w:color w:val="00AEEF"/>
          <w:sz w:val="24"/>
          <w:szCs w:val="24"/>
        </w:rPr>
        <w:t>20</w:t>
      </w:r>
      <w:r w:rsidR="00AF00F9">
        <w:rPr>
          <w:b/>
          <w:color w:val="00AEEF"/>
          <w:sz w:val="24"/>
          <w:szCs w:val="24"/>
        </w:rPr>
        <w:t>25</w:t>
      </w:r>
      <w:r>
        <w:rPr>
          <w:b/>
          <w:color w:val="00AEEF"/>
          <w:sz w:val="24"/>
          <w:szCs w:val="24"/>
        </w:rPr>
        <w:tab/>
      </w:r>
      <w:r>
        <w:rPr>
          <w:b/>
          <w:color w:val="00AEEF"/>
          <w:sz w:val="24"/>
          <w:szCs w:val="24"/>
        </w:rPr>
        <w:tab/>
      </w:r>
    </w:p>
    <w:bookmarkStart w:id="1" w:name="_Toc213072334" w:displacedByCustomXml="next"/>
    <w:bookmarkStart w:id="2" w:name="_Toc213948403" w:displacedByCustomXml="next"/>
    <w:bookmarkStart w:id="3" w:name="_Toc214466366" w:displacedByCustomXml="next"/>
    <w:bookmarkStart w:id="4" w:name="_Toc234853848" w:displacedByCustomXml="next"/>
    <w:sdt>
      <w:sdtPr>
        <w:rPr>
          <w:rFonts w:ascii="Calibri" w:eastAsia="Calibri" w:hAnsi="Calibri" w:cs="Calibri"/>
          <w:b w:val="0"/>
          <w:color w:val="auto"/>
          <w:sz w:val="22"/>
          <w:szCs w:val="22"/>
          <w:lang w:eastAsia="fr-MA"/>
        </w:rPr>
        <w:id w:val="-758823215"/>
        <w:docPartObj>
          <w:docPartGallery w:val="Table of Contents"/>
          <w:docPartUnique/>
        </w:docPartObj>
      </w:sdtPr>
      <w:sdtContent>
        <w:p w14:paraId="466779B3" w14:textId="77777777" w:rsidR="00120ACC" w:rsidRDefault="002D4162" w:rsidP="00274201">
          <w:pPr>
            <w:pStyle w:val="Titre1"/>
            <w:numPr>
              <w:ilvl w:val="0"/>
              <w:numId w:val="0"/>
            </w:numPr>
            <w:spacing w:before="0" w:line="360" w:lineRule="auto"/>
            <w:rPr>
              <w:noProof/>
            </w:rPr>
          </w:pPr>
          <w:r>
            <w:t>Table des matières</w:t>
          </w:r>
          <w:bookmarkEnd w:id="4"/>
          <w:bookmarkEnd w:id="3"/>
          <w:bookmarkEnd w:id="2"/>
          <w:bookmarkEnd w:id="1"/>
          <w:r w:rsidR="000A5363" w:rsidRPr="00754AB1">
            <w:rPr>
              <w:rFonts w:asciiTheme="minorHAnsi" w:hAnsiTheme="minorHAnsi" w:cstheme="minorHAnsi"/>
              <w:b w:val="0"/>
              <w:caps/>
              <w:noProof/>
              <w:szCs w:val="24"/>
              <w:lang w:val="fr-CA"/>
            </w:rPr>
            <w:fldChar w:fldCharType="begin"/>
          </w:r>
          <w:r w:rsidR="000A5363" w:rsidRPr="00754AB1">
            <w:rPr>
              <w:rFonts w:asciiTheme="minorHAnsi" w:hAnsiTheme="minorHAnsi" w:cstheme="minorHAnsi"/>
              <w:b w:val="0"/>
              <w:noProof/>
              <w:szCs w:val="24"/>
              <w:lang w:val="fr-CA"/>
            </w:rPr>
            <w:instrText xml:space="preserve"> TOC \o "1-3" \h \z \u </w:instrText>
          </w:r>
          <w:r w:rsidR="000A5363" w:rsidRPr="00754AB1">
            <w:rPr>
              <w:rFonts w:asciiTheme="minorHAnsi" w:hAnsiTheme="minorHAnsi" w:cstheme="minorHAnsi"/>
              <w:b w:val="0"/>
              <w:caps/>
              <w:noProof/>
              <w:szCs w:val="24"/>
              <w:lang w:val="fr-CA"/>
            </w:rPr>
            <w:fldChar w:fldCharType="separate"/>
          </w:r>
        </w:p>
        <w:p w14:paraId="0AB49D99" w14:textId="1ECE9312" w:rsidR="00120ACC" w:rsidRDefault="00120ACC">
          <w:pPr>
            <w:pStyle w:val="TM1"/>
            <w:tabs>
              <w:tab w:val="right" w:leader="dot" w:pos="9394"/>
            </w:tabs>
            <w:rPr>
              <w:rFonts w:asciiTheme="minorHAnsi" w:eastAsiaTheme="minorEastAsia" w:hAnsiTheme="minorHAnsi" w:cstheme="minorBidi"/>
              <w:b w:val="0"/>
              <w:bCs w:val="0"/>
              <w:caps w:val="0"/>
              <w:noProof/>
              <w:kern w:val="2"/>
              <w:szCs w:val="24"/>
              <w:lang w:eastAsia="fr-FR"/>
              <w14:ligatures w14:val="standardContextual"/>
            </w:rPr>
          </w:pPr>
          <w:hyperlink w:anchor="_Toc234853848" w:history="1">
            <w:r w:rsidRPr="00702681">
              <w:rPr>
                <w:rStyle w:val="Lienhypertexte"/>
                <w:noProof/>
              </w:rPr>
              <w:t>Table des matières</w:t>
            </w:r>
            <w:r>
              <w:rPr>
                <w:noProof/>
                <w:webHidden/>
              </w:rPr>
              <w:tab/>
            </w:r>
            <w:r>
              <w:rPr>
                <w:noProof/>
                <w:webHidden/>
              </w:rPr>
              <w:fldChar w:fldCharType="begin"/>
            </w:r>
            <w:r>
              <w:rPr>
                <w:noProof/>
                <w:webHidden/>
              </w:rPr>
              <w:instrText xml:space="preserve"> PAGEREF _Toc234853848 \h </w:instrText>
            </w:r>
            <w:r>
              <w:rPr>
                <w:noProof/>
                <w:webHidden/>
              </w:rPr>
            </w:r>
            <w:r>
              <w:rPr>
                <w:noProof/>
                <w:webHidden/>
              </w:rPr>
              <w:fldChar w:fldCharType="separate"/>
            </w:r>
            <w:r>
              <w:rPr>
                <w:noProof/>
                <w:webHidden/>
              </w:rPr>
              <w:t>2</w:t>
            </w:r>
            <w:r>
              <w:rPr>
                <w:noProof/>
                <w:webHidden/>
              </w:rPr>
              <w:fldChar w:fldCharType="end"/>
            </w:r>
          </w:hyperlink>
        </w:p>
        <w:p w14:paraId="4E0EBAB1" w14:textId="1A4DCF6F" w:rsidR="00120ACC" w:rsidRDefault="00120ACC">
          <w:pPr>
            <w:pStyle w:val="TM1"/>
            <w:tabs>
              <w:tab w:val="left" w:pos="440"/>
              <w:tab w:val="right" w:leader="dot" w:pos="9394"/>
            </w:tabs>
            <w:rPr>
              <w:rFonts w:asciiTheme="minorHAnsi" w:eastAsiaTheme="minorEastAsia" w:hAnsiTheme="minorHAnsi" w:cstheme="minorBidi"/>
              <w:b w:val="0"/>
              <w:bCs w:val="0"/>
              <w:caps w:val="0"/>
              <w:noProof/>
              <w:kern w:val="2"/>
              <w:szCs w:val="24"/>
              <w:lang w:eastAsia="fr-FR"/>
              <w14:ligatures w14:val="standardContextual"/>
            </w:rPr>
          </w:pPr>
          <w:hyperlink w:anchor="_Toc234853849" w:history="1">
            <w:r w:rsidRPr="00702681">
              <w:rPr>
                <w:rStyle w:val="Lienhypertexte"/>
                <w:noProof/>
              </w:rPr>
              <w:t>1.</w:t>
            </w:r>
            <w:r>
              <w:rPr>
                <w:rFonts w:asciiTheme="minorHAnsi" w:eastAsiaTheme="minorEastAsia" w:hAnsiTheme="minorHAnsi" w:cstheme="minorBidi"/>
                <w:b w:val="0"/>
                <w:bCs w:val="0"/>
                <w:caps w:val="0"/>
                <w:noProof/>
                <w:kern w:val="2"/>
                <w:szCs w:val="24"/>
                <w:lang w:eastAsia="fr-FR"/>
                <w14:ligatures w14:val="standardContextual"/>
              </w:rPr>
              <w:tab/>
            </w:r>
            <w:r w:rsidRPr="00702681">
              <w:rPr>
                <w:rStyle w:val="Lienhypertexte"/>
                <w:noProof/>
              </w:rPr>
              <w:t>Introduction</w:t>
            </w:r>
            <w:r>
              <w:rPr>
                <w:noProof/>
                <w:webHidden/>
              </w:rPr>
              <w:tab/>
            </w:r>
            <w:r>
              <w:rPr>
                <w:noProof/>
                <w:webHidden/>
              </w:rPr>
              <w:fldChar w:fldCharType="begin"/>
            </w:r>
            <w:r>
              <w:rPr>
                <w:noProof/>
                <w:webHidden/>
              </w:rPr>
              <w:instrText xml:space="preserve"> PAGEREF _Toc234853849 \h </w:instrText>
            </w:r>
            <w:r>
              <w:rPr>
                <w:noProof/>
                <w:webHidden/>
              </w:rPr>
            </w:r>
            <w:r>
              <w:rPr>
                <w:noProof/>
                <w:webHidden/>
              </w:rPr>
              <w:fldChar w:fldCharType="separate"/>
            </w:r>
            <w:r>
              <w:rPr>
                <w:noProof/>
                <w:webHidden/>
              </w:rPr>
              <w:t>7</w:t>
            </w:r>
            <w:r>
              <w:rPr>
                <w:noProof/>
                <w:webHidden/>
              </w:rPr>
              <w:fldChar w:fldCharType="end"/>
            </w:r>
          </w:hyperlink>
        </w:p>
        <w:p w14:paraId="261CF66A" w14:textId="5DFC3CDC" w:rsidR="00120ACC" w:rsidRDefault="00120ACC">
          <w:pPr>
            <w:pStyle w:val="TM1"/>
            <w:tabs>
              <w:tab w:val="left" w:pos="440"/>
              <w:tab w:val="right" w:leader="dot" w:pos="9394"/>
            </w:tabs>
            <w:rPr>
              <w:rFonts w:asciiTheme="minorHAnsi" w:eastAsiaTheme="minorEastAsia" w:hAnsiTheme="minorHAnsi" w:cstheme="minorBidi"/>
              <w:b w:val="0"/>
              <w:bCs w:val="0"/>
              <w:caps w:val="0"/>
              <w:noProof/>
              <w:kern w:val="2"/>
              <w:szCs w:val="24"/>
              <w:lang w:eastAsia="fr-FR"/>
              <w14:ligatures w14:val="standardContextual"/>
            </w:rPr>
          </w:pPr>
          <w:hyperlink w:anchor="_Toc234853850" w:history="1">
            <w:r w:rsidRPr="00702681">
              <w:rPr>
                <w:rStyle w:val="Lienhypertexte"/>
                <w:noProof/>
              </w:rPr>
              <w:t>2.</w:t>
            </w:r>
            <w:r>
              <w:rPr>
                <w:rFonts w:asciiTheme="minorHAnsi" w:eastAsiaTheme="minorEastAsia" w:hAnsiTheme="minorHAnsi" w:cstheme="minorBidi"/>
                <w:b w:val="0"/>
                <w:bCs w:val="0"/>
                <w:caps w:val="0"/>
                <w:noProof/>
                <w:kern w:val="2"/>
                <w:szCs w:val="24"/>
                <w:lang w:eastAsia="fr-FR"/>
                <w14:ligatures w14:val="standardContextual"/>
              </w:rPr>
              <w:tab/>
            </w:r>
            <w:r w:rsidRPr="00702681">
              <w:rPr>
                <w:rStyle w:val="Lienhypertexte"/>
                <w:noProof/>
              </w:rPr>
              <w:t>Revue des politiques et cadres sectoriels existants</w:t>
            </w:r>
            <w:r>
              <w:rPr>
                <w:noProof/>
                <w:webHidden/>
              </w:rPr>
              <w:tab/>
            </w:r>
            <w:r>
              <w:rPr>
                <w:noProof/>
                <w:webHidden/>
              </w:rPr>
              <w:fldChar w:fldCharType="begin"/>
            </w:r>
            <w:r>
              <w:rPr>
                <w:noProof/>
                <w:webHidden/>
              </w:rPr>
              <w:instrText xml:space="preserve"> PAGEREF _Toc234853850 \h </w:instrText>
            </w:r>
            <w:r>
              <w:rPr>
                <w:noProof/>
                <w:webHidden/>
              </w:rPr>
            </w:r>
            <w:r>
              <w:rPr>
                <w:noProof/>
                <w:webHidden/>
              </w:rPr>
              <w:fldChar w:fldCharType="separate"/>
            </w:r>
            <w:r>
              <w:rPr>
                <w:noProof/>
                <w:webHidden/>
              </w:rPr>
              <w:t>10</w:t>
            </w:r>
            <w:r>
              <w:rPr>
                <w:noProof/>
                <w:webHidden/>
              </w:rPr>
              <w:fldChar w:fldCharType="end"/>
            </w:r>
          </w:hyperlink>
        </w:p>
        <w:p w14:paraId="4025F961" w14:textId="135F2326"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51" w:history="1">
            <w:r w:rsidRPr="00702681">
              <w:rPr>
                <w:rStyle w:val="Lienhypertexte"/>
                <w:noProof/>
              </w:rPr>
              <w:t>2.1.</w:t>
            </w:r>
            <w:r>
              <w:rPr>
                <w:rFonts w:eastAsiaTheme="minorEastAsia" w:cstheme="minorBidi"/>
                <w:b w:val="0"/>
                <w:bCs w:val="0"/>
                <w:noProof/>
                <w:kern w:val="2"/>
                <w:sz w:val="24"/>
                <w:lang w:eastAsia="fr-FR"/>
                <w14:ligatures w14:val="standardContextual"/>
              </w:rPr>
              <w:tab/>
            </w:r>
            <w:r w:rsidRPr="00702681">
              <w:rPr>
                <w:rStyle w:val="Lienhypertexte"/>
                <w:noProof/>
              </w:rPr>
              <w:t>Politiques et cadres sectoriels - Atténuation</w:t>
            </w:r>
            <w:r>
              <w:rPr>
                <w:noProof/>
                <w:webHidden/>
              </w:rPr>
              <w:tab/>
            </w:r>
            <w:r>
              <w:rPr>
                <w:noProof/>
                <w:webHidden/>
              </w:rPr>
              <w:fldChar w:fldCharType="begin"/>
            </w:r>
            <w:r>
              <w:rPr>
                <w:noProof/>
                <w:webHidden/>
              </w:rPr>
              <w:instrText xml:space="preserve"> PAGEREF _Toc234853851 \h </w:instrText>
            </w:r>
            <w:r>
              <w:rPr>
                <w:noProof/>
                <w:webHidden/>
              </w:rPr>
            </w:r>
            <w:r>
              <w:rPr>
                <w:noProof/>
                <w:webHidden/>
              </w:rPr>
              <w:fldChar w:fldCharType="separate"/>
            </w:r>
            <w:r>
              <w:rPr>
                <w:noProof/>
                <w:webHidden/>
              </w:rPr>
              <w:t>12</w:t>
            </w:r>
            <w:r>
              <w:rPr>
                <w:noProof/>
                <w:webHidden/>
              </w:rPr>
              <w:fldChar w:fldCharType="end"/>
            </w:r>
          </w:hyperlink>
        </w:p>
        <w:p w14:paraId="0BDCD2E9" w14:textId="3A39D43E"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52" w:history="1">
            <w:r w:rsidRPr="00702681">
              <w:rPr>
                <w:rStyle w:val="Lienhypertexte"/>
                <w:noProof/>
                <w:lang w:eastAsia="en-US"/>
              </w:rPr>
              <w:t>2.1.1</w:t>
            </w:r>
            <w:r>
              <w:rPr>
                <w:rFonts w:eastAsiaTheme="minorEastAsia" w:cstheme="minorBidi"/>
                <w:noProof/>
                <w:kern w:val="2"/>
                <w:sz w:val="24"/>
                <w:lang w:eastAsia="fr-FR"/>
                <w14:ligatures w14:val="standardContextual"/>
              </w:rPr>
              <w:tab/>
            </w:r>
            <w:r w:rsidRPr="00702681">
              <w:rPr>
                <w:rStyle w:val="Lienhypertexte"/>
                <w:noProof/>
              </w:rPr>
              <w:t>Energie</w:t>
            </w:r>
            <w:r>
              <w:rPr>
                <w:noProof/>
                <w:webHidden/>
              </w:rPr>
              <w:tab/>
            </w:r>
            <w:r>
              <w:rPr>
                <w:noProof/>
                <w:webHidden/>
              </w:rPr>
              <w:fldChar w:fldCharType="begin"/>
            </w:r>
            <w:r>
              <w:rPr>
                <w:noProof/>
                <w:webHidden/>
              </w:rPr>
              <w:instrText xml:space="preserve"> PAGEREF _Toc234853852 \h </w:instrText>
            </w:r>
            <w:r>
              <w:rPr>
                <w:noProof/>
                <w:webHidden/>
              </w:rPr>
            </w:r>
            <w:r>
              <w:rPr>
                <w:noProof/>
                <w:webHidden/>
              </w:rPr>
              <w:fldChar w:fldCharType="separate"/>
            </w:r>
            <w:r>
              <w:rPr>
                <w:noProof/>
                <w:webHidden/>
              </w:rPr>
              <w:t>12</w:t>
            </w:r>
            <w:r>
              <w:rPr>
                <w:noProof/>
                <w:webHidden/>
              </w:rPr>
              <w:fldChar w:fldCharType="end"/>
            </w:r>
          </w:hyperlink>
        </w:p>
        <w:p w14:paraId="3193F1DD" w14:textId="5223F58A"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53" w:history="1">
            <w:r w:rsidRPr="00702681">
              <w:rPr>
                <w:rStyle w:val="Lienhypertexte"/>
                <w:noProof/>
              </w:rPr>
              <w:t>2.1.2</w:t>
            </w:r>
            <w:r>
              <w:rPr>
                <w:rFonts w:eastAsiaTheme="minorEastAsia" w:cstheme="minorBidi"/>
                <w:noProof/>
                <w:kern w:val="2"/>
                <w:sz w:val="24"/>
                <w:lang w:eastAsia="fr-FR"/>
                <w14:ligatures w14:val="standardContextual"/>
              </w:rPr>
              <w:tab/>
            </w:r>
            <w:r w:rsidRPr="00702681">
              <w:rPr>
                <w:rStyle w:val="Lienhypertexte"/>
                <w:noProof/>
              </w:rPr>
              <w:t>Agriculture</w:t>
            </w:r>
            <w:r>
              <w:rPr>
                <w:noProof/>
                <w:webHidden/>
              </w:rPr>
              <w:tab/>
            </w:r>
            <w:r>
              <w:rPr>
                <w:noProof/>
                <w:webHidden/>
              </w:rPr>
              <w:fldChar w:fldCharType="begin"/>
            </w:r>
            <w:r>
              <w:rPr>
                <w:noProof/>
                <w:webHidden/>
              </w:rPr>
              <w:instrText xml:space="preserve"> PAGEREF _Toc234853853 \h </w:instrText>
            </w:r>
            <w:r>
              <w:rPr>
                <w:noProof/>
                <w:webHidden/>
              </w:rPr>
            </w:r>
            <w:r>
              <w:rPr>
                <w:noProof/>
                <w:webHidden/>
              </w:rPr>
              <w:fldChar w:fldCharType="separate"/>
            </w:r>
            <w:r>
              <w:rPr>
                <w:noProof/>
                <w:webHidden/>
              </w:rPr>
              <w:t>16</w:t>
            </w:r>
            <w:r>
              <w:rPr>
                <w:noProof/>
                <w:webHidden/>
              </w:rPr>
              <w:fldChar w:fldCharType="end"/>
            </w:r>
          </w:hyperlink>
        </w:p>
        <w:p w14:paraId="13B26E20" w14:textId="4815ECA4"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54" w:history="1">
            <w:r w:rsidRPr="00702681">
              <w:rPr>
                <w:rStyle w:val="Lienhypertexte"/>
                <w:noProof/>
              </w:rPr>
              <w:t>2.1.3</w:t>
            </w:r>
            <w:r>
              <w:rPr>
                <w:rFonts w:eastAsiaTheme="minorEastAsia" w:cstheme="minorBidi"/>
                <w:noProof/>
                <w:kern w:val="2"/>
                <w:sz w:val="24"/>
                <w:lang w:eastAsia="fr-FR"/>
                <w14:ligatures w14:val="standardContextual"/>
              </w:rPr>
              <w:tab/>
            </w:r>
            <w:r w:rsidRPr="00702681">
              <w:rPr>
                <w:rStyle w:val="Lienhypertexte"/>
                <w:noProof/>
              </w:rPr>
              <w:t>Forêts</w:t>
            </w:r>
            <w:r>
              <w:rPr>
                <w:noProof/>
                <w:webHidden/>
              </w:rPr>
              <w:tab/>
            </w:r>
            <w:r>
              <w:rPr>
                <w:noProof/>
                <w:webHidden/>
              </w:rPr>
              <w:fldChar w:fldCharType="begin"/>
            </w:r>
            <w:r>
              <w:rPr>
                <w:noProof/>
                <w:webHidden/>
              </w:rPr>
              <w:instrText xml:space="preserve"> PAGEREF _Toc234853854 \h </w:instrText>
            </w:r>
            <w:r>
              <w:rPr>
                <w:noProof/>
                <w:webHidden/>
              </w:rPr>
            </w:r>
            <w:r>
              <w:rPr>
                <w:noProof/>
                <w:webHidden/>
              </w:rPr>
              <w:fldChar w:fldCharType="separate"/>
            </w:r>
            <w:r>
              <w:rPr>
                <w:noProof/>
                <w:webHidden/>
              </w:rPr>
              <w:t>21</w:t>
            </w:r>
            <w:r>
              <w:rPr>
                <w:noProof/>
                <w:webHidden/>
              </w:rPr>
              <w:fldChar w:fldCharType="end"/>
            </w:r>
          </w:hyperlink>
        </w:p>
        <w:p w14:paraId="3F377600" w14:textId="652FDEB1"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55" w:history="1">
            <w:r w:rsidRPr="00702681">
              <w:rPr>
                <w:rStyle w:val="Lienhypertexte"/>
                <w:noProof/>
              </w:rPr>
              <w:t>2.1.4</w:t>
            </w:r>
            <w:r>
              <w:rPr>
                <w:rFonts w:eastAsiaTheme="minorEastAsia" w:cstheme="minorBidi"/>
                <w:noProof/>
                <w:kern w:val="2"/>
                <w:sz w:val="24"/>
                <w:lang w:eastAsia="fr-FR"/>
                <w14:ligatures w14:val="standardContextual"/>
              </w:rPr>
              <w:tab/>
            </w:r>
            <w:r w:rsidRPr="00702681">
              <w:rPr>
                <w:rStyle w:val="Lienhypertexte"/>
                <w:noProof/>
              </w:rPr>
              <w:t>Déchets</w:t>
            </w:r>
            <w:r>
              <w:rPr>
                <w:noProof/>
                <w:webHidden/>
              </w:rPr>
              <w:tab/>
            </w:r>
            <w:r>
              <w:rPr>
                <w:noProof/>
                <w:webHidden/>
              </w:rPr>
              <w:fldChar w:fldCharType="begin"/>
            </w:r>
            <w:r>
              <w:rPr>
                <w:noProof/>
                <w:webHidden/>
              </w:rPr>
              <w:instrText xml:space="preserve"> PAGEREF _Toc234853855 \h </w:instrText>
            </w:r>
            <w:r>
              <w:rPr>
                <w:noProof/>
                <w:webHidden/>
              </w:rPr>
            </w:r>
            <w:r>
              <w:rPr>
                <w:noProof/>
                <w:webHidden/>
              </w:rPr>
              <w:fldChar w:fldCharType="separate"/>
            </w:r>
            <w:r>
              <w:rPr>
                <w:noProof/>
                <w:webHidden/>
              </w:rPr>
              <w:t>24</w:t>
            </w:r>
            <w:r>
              <w:rPr>
                <w:noProof/>
                <w:webHidden/>
              </w:rPr>
              <w:fldChar w:fldCharType="end"/>
            </w:r>
          </w:hyperlink>
        </w:p>
        <w:p w14:paraId="4DB6B691" w14:textId="40263631"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56" w:history="1">
            <w:r w:rsidRPr="00702681">
              <w:rPr>
                <w:rStyle w:val="Lienhypertexte"/>
                <w:noProof/>
              </w:rPr>
              <w:t>2.2.</w:t>
            </w:r>
            <w:r>
              <w:rPr>
                <w:rFonts w:eastAsiaTheme="minorEastAsia" w:cstheme="minorBidi"/>
                <w:b w:val="0"/>
                <w:bCs w:val="0"/>
                <w:noProof/>
                <w:kern w:val="2"/>
                <w:sz w:val="24"/>
                <w:lang w:eastAsia="fr-FR"/>
                <w14:ligatures w14:val="standardContextual"/>
              </w:rPr>
              <w:tab/>
            </w:r>
            <w:r w:rsidRPr="00702681">
              <w:rPr>
                <w:rStyle w:val="Lienhypertexte"/>
                <w:noProof/>
              </w:rPr>
              <w:t>Politiques et cadres sectoriels - Adaptation</w:t>
            </w:r>
            <w:r>
              <w:rPr>
                <w:noProof/>
                <w:webHidden/>
              </w:rPr>
              <w:tab/>
            </w:r>
            <w:r>
              <w:rPr>
                <w:noProof/>
                <w:webHidden/>
              </w:rPr>
              <w:fldChar w:fldCharType="begin"/>
            </w:r>
            <w:r>
              <w:rPr>
                <w:noProof/>
                <w:webHidden/>
              </w:rPr>
              <w:instrText xml:space="preserve"> PAGEREF _Toc234853856 \h </w:instrText>
            </w:r>
            <w:r>
              <w:rPr>
                <w:noProof/>
                <w:webHidden/>
              </w:rPr>
            </w:r>
            <w:r>
              <w:rPr>
                <w:noProof/>
                <w:webHidden/>
              </w:rPr>
              <w:fldChar w:fldCharType="separate"/>
            </w:r>
            <w:r>
              <w:rPr>
                <w:noProof/>
                <w:webHidden/>
              </w:rPr>
              <w:t>27</w:t>
            </w:r>
            <w:r>
              <w:rPr>
                <w:noProof/>
                <w:webHidden/>
              </w:rPr>
              <w:fldChar w:fldCharType="end"/>
            </w:r>
          </w:hyperlink>
        </w:p>
        <w:p w14:paraId="7586A6F9" w14:textId="5077030A"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57" w:history="1">
            <w:r w:rsidRPr="00702681">
              <w:rPr>
                <w:rStyle w:val="Lienhypertexte"/>
                <w:noProof/>
              </w:rPr>
              <w:t>2.2.1</w:t>
            </w:r>
            <w:r>
              <w:rPr>
                <w:rFonts w:eastAsiaTheme="minorEastAsia" w:cstheme="minorBidi"/>
                <w:noProof/>
                <w:kern w:val="2"/>
                <w:sz w:val="24"/>
                <w:lang w:eastAsia="fr-FR"/>
                <w14:ligatures w14:val="standardContextual"/>
              </w:rPr>
              <w:tab/>
            </w:r>
            <w:r w:rsidRPr="00702681">
              <w:rPr>
                <w:rStyle w:val="Lienhypertexte"/>
                <w:noProof/>
              </w:rPr>
              <w:t>Agriculture</w:t>
            </w:r>
            <w:r>
              <w:rPr>
                <w:noProof/>
                <w:webHidden/>
              </w:rPr>
              <w:tab/>
            </w:r>
            <w:r>
              <w:rPr>
                <w:noProof/>
                <w:webHidden/>
              </w:rPr>
              <w:fldChar w:fldCharType="begin"/>
            </w:r>
            <w:r>
              <w:rPr>
                <w:noProof/>
                <w:webHidden/>
              </w:rPr>
              <w:instrText xml:space="preserve"> PAGEREF _Toc234853857 \h </w:instrText>
            </w:r>
            <w:r>
              <w:rPr>
                <w:noProof/>
                <w:webHidden/>
              </w:rPr>
            </w:r>
            <w:r>
              <w:rPr>
                <w:noProof/>
                <w:webHidden/>
              </w:rPr>
              <w:fldChar w:fldCharType="separate"/>
            </w:r>
            <w:r>
              <w:rPr>
                <w:noProof/>
                <w:webHidden/>
              </w:rPr>
              <w:t>27</w:t>
            </w:r>
            <w:r>
              <w:rPr>
                <w:noProof/>
                <w:webHidden/>
              </w:rPr>
              <w:fldChar w:fldCharType="end"/>
            </w:r>
          </w:hyperlink>
        </w:p>
        <w:p w14:paraId="49C0978A" w14:textId="5A55CB0E"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58" w:history="1">
            <w:r w:rsidRPr="00702681">
              <w:rPr>
                <w:rStyle w:val="Lienhypertexte"/>
                <w:noProof/>
              </w:rPr>
              <w:t>2.2.2</w:t>
            </w:r>
            <w:r>
              <w:rPr>
                <w:rFonts w:eastAsiaTheme="minorEastAsia" w:cstheme="minorBidi"/>
                <w:noProof/>
                <w:kern w:val="2"/>
                <w:sz w:val="24"/>
                <w:lang w:eastAsia="fr-FR"/>
                <w14:ligatures w14:val="standardContextual"/>
              </w:rPr>
              <w:tab/>
            </w:r>
            <w:r w:rsidRPr="00702681">
              <w:rPr>
                <w:rStyle w:val="Lienhypertexte"/>
                <w:noProof/>
              </w:rPr>
              <w:t>Énergie</w:t>
            </w:r>
            <w:r>
              <w:rPr>
                <w:noProof/>
                <w:webHidden/>
              </w:rPr>
              <w:tab/>
            </w:r>
            <w:r>
              <w:rPr>
                <w:noProof/>
                <w:webHidden/>
              </w:rPr>
              <w:fldChar w:fldCharType="begin"/>
            </w:r>
            <w:r>
              <w:rPr>
                <w:noProof/>
                <w:webHidden/>
              </w:rPr>
              <w:instrText xml:space="preserve"> PAGEREF _Toc234853858 \h </w:instrText>
            </w:r>
            <w:r>
              <w:rPr>
                <w:noProof/>
                <w:webHidden/>
              </w:rPr>
            </w:r>
            <w:r>
              <w:rPr>
                <w:noProof/>
                <w:webHidden/>
              </w:rPr>
              <w:fldChar w:fldCharType="separate"/>
            </w:r>
            <w:r>
              <w:rPr>
                <w:noProof/>
                <w:webHidden/>
              </w:rPr>
              <w:t>32</w:t>
            </w:r>
            <w:r>
              <w:rPr>
                <w:noProof/>
                <w:webHidden/>
              </w:rPr>
              <w:fldChar w:fldCharType="end"/>
            </w:r>
          </w:hyperlink>
        </w:p>
        <w:p w14:paraId="7C827759" w14:textId="641887F4"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59" w:history="1">
            <w:r w:rsidRPr="00702681">
              <w:rPr>
                <w:rStyle w:val="Lienhypertexte"/>
                <w:noProof/>
              </w:rPr>
              <w:t>2.2.3</w:t>
            </w:r>
            <w:r>
              <w:rPr>
                <w:rFonts w:eastAsiaTheme="minorEastAsia" w:cstheme="minorBidi"/>
                <w:noProof/>
                <w:kern w:val="2"/>
                <w:sz w:val="24"/>
                <w:lang w:eastAsia="fr-FR"/>
                <w14:ligatures w14:val="standardContextual"/>
              </w:rPr>
              <w:tab/>
            </w:r>
            <w:r w:rsidRPr="00702681">
              <w:rPr>
                <w:rStyle w:val="Lienhypertexte"/>
                <w:noProof/>
              </w:rPr>
              <w:t>Météo</w:t>
            </w:r>
            <w:r>
              <w:rPr>
                <w:noProof/>
                <w:webHidden/>
              </w:rPr>
              <w:tab/>
            </w:r>
            <w:r>
              <w:rPr>
                <w:noProof/>
                <w:webHidden/>
              </w:rPr>
              <w:fldChar w:fldCharType="begin"/>
            </w:r>
            <w:r>
              <w:rPr>
                <w:noProof/>
                <w:webHidden/>
              </w:rPr>
              <w:instrText xml:space="preserve"> PAGEREF _Toc234853859 \h </w:instrText>
            </w:r>
            <w:r>
              <w:rPr>
                <w:noProof/>
                <w:webHidden/>
              </w:rPr>
            </w:r>
            <w:r>
              <w:rPr>
                <w:noProof/>
                <w:webHidden/>
              </w:rPr>
              <w:fldChar w:fldCharType="separate"/>
            </w:r>
            <w:r>
              <w:rPr>
                <w:noProof/>
                <w:webHidden/>
              </w:rPr>
              <w:t>35</w:t>
            </w:r>
            <w:r>
              <w:rPr>
                <w:noProof/>
                <w:webHidden/>
              </w:rPr>
              <w:fldChar w:fldCharType="end"/>
            </w:r>
          </w:hyperlink>
        </w:p>
        <w:p w14:paraId="342998F4" w14:textId="3DA1E285"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60" w:history="1">
            <w:r w:rsidRPr="00702681">
              <w:rPr>
                <w:rStyle w:val="Lienhypertexte"/>
                <w:noProof/>
              </w:rPr>
              <w:t>2.2.4</w:t>
            </w:r>
            <w:r>
              <w:rPr>
                <w:rFonts w:eastAsiaTheme="minorEastAsia" w:cstheme="minorBidi"/>
                <w:noProof/>
                <w:kern w:val="2"/>
                <w:sz w:val="24"/>
                <w:lang w:eastAsia="fr-FR"/>
                <w14:ligatures w14:val="standardContextual"/>
              </w:rPr>
              <w:tab/>
            </w:r>
            <w:r w:rsidRPr="00702681">
              <w:rPr>
                <w:rStyle w:val="Lienhypertexte"/>
                <w:noProof/>
              </w:rPr>
              <w:t>Déchets</w:t>
            </w:r>
            <w:r>
              <w:rPr>
                <w:noProof/>
                <w:webHidden/>
              </w:rPr>
              <w:tab/>
            </w:r>
            <w:r>
              <w:rPr>
                <w:noProof/>
                <w:webHidden/>
              </w:rPr>
              <w:fldChar w:fldCharType="begin"/>
            </w:r>
            <w:r>
              <w:rPr>
                <w:noProof/>
                <w:webHidden/>
              </w:rPr>
              <w:instrText xml:space="preserve"> PAGEREF _Toc234853860 \h </w:instrText>
            </w:r>
            <w:r>
              <w:rPr>
                <w:noProof/>
                <w:webHidden/>
              </w:rPr>
            </w:r>
            <w:r>
              <w:rPr>
                <w:noProof/>
                <w:webHidden/>
              </w:rPr>
              <w:fldChar w:fldCharType="separate"/>
            </w:r>
            <w:r>
              <w:rPr>
                <w:noProof/>
                <w:webHidden/>
              </w:rPr>
              <w:t>38</w:t>
            </w:r>
            <w:r>
              <w:rPr>
                <w:noProof/>
                <w:webHidden/>
              </w:rPr>
              <w:fldChar w:fldCharType="end"/>
            </w:r>
          </w:hyperlink>
        </w:p>
        <w:p w14:paraId="3ADD99CA" w14:textId="595DCD2D"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61" w:history="1">
            <w:r w:rsidRPr="00702681">
              <w:rPr>
                <w:rStyle w:val="Lienhypertexte"/>
                <w:noProof/>
              </w:rPr>
              <w:t>2.2.5</w:t>
            </w:r>
            <w:r>
              <w:rPr>
                <w:rFonts w:eastAsiaTheme="minorEastAsia" w:cstheme="minorBidi"/>
                <w:noProof/>
                <w:kern w:val="2"/>
                <w:sz w:val="24"/>
                <w:lang w:eastAsia="fr-FR"/>
                <w14:ligatures w14:val="standardContextual"/>
              </w:rPr>
              <w:tab/>
            </w:r>
            <w:r w:rsidRPr="00702681">
              <w:rPr>
                <w:rStyle w:val="Lienhypertexte"/>
                <w:noProof/>
              </w:rPr>
              <w:t>Eau</w:t>
            </w:r>
            <w:r>
              <w:rPr>
                <w:noProof/>
                <w:webHidden/>
              </w:rPr>
              <w:tab/>
            </w:r>
            <w:r>
              <w:rPr>
                <w:noProof/>
                <w:webHidden/>
              </w:rPr>
              <w:fldChar w:fldCharType="begin"/>
            </w:r>
            <w:r>
              <w:rPr>
                <w:noProof/>
                <w:webHidden/>
              </w:rPr>
              <w:instrText xml:space="preserve"> PAGEREF _Toc234853861 \h </w:instrText>
            </w:r>
            <w:r>
              <w:rPr>
                <w:noProof/>
                <w:webHidden/>
              </w:rPr>
            </w:r>
            <w:r>
              <w:rPr>
                <w:noProof/>
                <w:webHidden/>
              </w:rPr>
              <w:fldChar w:fldCharType="separate"/>
            </w:r>
            <w:r>
              <w:rPr>
                <w:noProof/>
                <w:webHidden/>
              </w:rPr>
              <w:t>40</w:t>
            </w:r>
            <w:r>
              <w:rPr>
                <w:noProof/>
                <w:webHidden/>
              </w:rPr>
              <w:fldChar w:fldCharType="end"/>
            </w:r>
          </w:hyperlink>
        </w:p>
        <w:p w14:paraId="6261A95B" w14:textId="3A64B1B8"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62" w:history="1">
            <w:r w:rsidRPr="00702681">
              <w:rPr>
                <w:rStyle w:val="Lienhypertexte"/>
                <w:noProof/>
              </w:rPr>
              <w:t>2.2.6</w:t>
            </w:r>
            <w:r>
              <w:rPr>
                <w:rFonts w:eastAsiaTheme="minorEastAsia" w:cstheme="minorBidi"/>
                <w:noProof/>
                <w:kern w:val="2"/>
                <w:sz w:val="24"/>
                <w:lang w:eastAsia="fr-FR"/>
                <w14:ligatures w14:val="standardContextual"/>
              </w:rPr>
              <w:tab/>
            </w:r>
            <w:r w:rsidRPr="00702681">
              <w:rPr>
                <w:rStyle w:val="Lienhypertexte"/>
                <w:noProof/>
              </w:rPr>
              <w:t>Biodiversité</w:t>
            </w:r>
            <w:r>
              <w:rPr>
                <w:noProof/>
                <w:webHidden/>
              </w:rPr>
              <w:tab/>
            </w:r>
            <w:r>
              <w:rPr>
                <w:noProof/>
                <w:webHidden/>
              </w:rPr>
              <w:fldChar w:fldCharType="begin"/>
            </w:r>
            <w:r>
              <w:rPr>
                <w:noProof/>
                <w:webHidden/>
              </w:rPr>
              <w:instrText xml:space="preserve"> PAGEREF _Toc234853862 \h </w:instrText>
            </w:r>
            <w:r>
              <w:rPr>
                <w:noProof/>
                <w:webHidden/>
              </w:rPr>
            </w:r>
            <w:r>
              <w:rPr>
                <w:noProof/>
                <w:webHidden/>
              </w:rPr>
              <w:fldChar w:fldCharType="separate"/>
            </w:r>
            <w:r>
              <w:rPr>
                <w:noProof/>
                <w:webHidden/>
              </w:rPr>
              <w:t>43</w:t>
            </w:r>
            <w:r>
              <w:rPr>
                <w:noProof/>
                <w:webHidden/>
              </w:rPr>
              <w:fldChar w:fldCharType="end"/>
            </w:r>
          </w:hyperlink>
        </w:p>
        <w:p w14:paraId="57AAF321" w14:textId="3624910F"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63" w:history="1">
            <w:r w:rsidRPr="00702681">
              <w:rPr>
                <w:rStyle w:val="Lienhypertexte"/>
                <w:noProof/>
              </w:rPr>
              <w:t>2.2.7</w:t>
            </w:r>
            <w:r>
              <w:rPr>
                <w:rFonts w:eastAsiaTheme="minorEastAsia" w:cstheme="minorBidi"/>
                <w:noProof/>
                <w:kern w:val="2"/>
                <w:sz w:val="24"/>
                <w:lang w:eastAsia="fr-FR"/>
                <w14:ligatures w14:val="standardContextual"/>
              </w:rPr>
              <w:tab/>
            </w:r>
            <w:r w:rsidRPr="00702681">
              <w:rPr>
                <w:rStyle w:val="Lienhypertexte"/>
                <w:noProof/>
              </w:rPr>
              <w:t>Infrastructures</w:t>
            </w:r>
            <w:r>
              <w:rPr>
                <w:noProof/>
                <w:webHidden/>
              </w:rPr>
              <w:tab/>
            </w:r>
            <w:r>
              <w:rPr>
                <w:noProof/>
                <w:webHidden/>
              </w:rPr>
              <w:fldChar w:fldCharType="begin"/>
            </w:r>
            <w:r>
              <w:rPr>
                <w:noProof/>
                <w:webHidden/>
              </w:rPr>
              <w:instrText xml:space="preserve"> PAGEREF _Toc234853863 \h </w:instrText>
            </w:r>
            <w:r>
              <w:rPr>
                <w:noProof/>
                <w:webHidden/>
              </w:rPr>
            </w:r>
            <w:r>
              <w:rPr>
                <w:noProof/>
                <w:webHidden/>
              </w:rPr>
              <w:fldChar w:fldCharType="separate"/>
            </w:r>
            <w:r>
              <w:rPr>
                <w:noProof/>
                <w:webHidden/>
              </w:rPr>
              <w:t>46</w:t>
            </w:r>
            <w:r>
              <w:rPr>
                <w:noProof/>
                <w:webHidden/>
              </w:rPr>
              <w:fldChar w:fldCharType="end"/>
            </w:r>
          </w:hyperlink>
        </w:p>
        <w:p w14:paraId="543E287B" w14:textId="5DC7D9A8" w:rsidR="00120ACC" w:rsidRDefault="00120ACC">
          <w:pPr>
            <w:pStyle w:val="TM1"/>
            <w:tabs>
              <w:tab w:val="left" w:pos="440"/>
              <w:tab w:val="right" w:leader="dot" w:pos="9394"/>
            </w:tabs>
            <w:rPr>
              <w:rFonts w:asciiTheme="minorHAnsi" w:eastAsiaTheme="minorEastAsia" w:hAnsiTheme="minorHAnsi" w:cstheme="minorBidi"/>
              <w:b w:val="0"/>
              <w:bCs w:val="0"/>
              <w:caps w:val="0"/>
              <w:noProof/>
              <w:kern w:val="2"/>
              <w:szCs w:val="24"/>
              <w:lang w:eastAsia="fr-FR"/>
              <w14:ligatures w14:val="standardContextual"/>
            </w:rPr>
          </w:pPr>
          <w:hyperlink w:anchor="_Toc234853864" w:history="1">
            <w:r w:rsidRPr="00702681">
              <w:rPr>
                <w:rStyle w:val="Lienhypertexte"/>
                <w:noProof/>
              </w:rPr>
              <w:t>3.</w:t>
            </w:r>
            <w:r>
              <w:rPr>
                <w:rFonts w:asciiTheme="minorHAnsi" w:eastAsiaTheme="minorEastAsia" w:hAnsiTheme="minorHAnsi" w:cstheme="minorBidi"/>
                <w:b w:val="0"/>
                <w:bCs w:val="0"/>
                <w:caps w:val="0"/>
                <w:noProof/>
                <w:kern w:val="2"/>
                <w:szCs w:val="24"/>
                <w:lang w:eastAsia="fr-FR"/>
                <w14:ligatures w14:val="standardContextual"/>
              </w:rPr>
              <w:tab/>
            </w:r>
            <w:r w:rsidRPr="00702681">
              <w:rPr>
                <w:rStyle w:val="Lienhypertexte"/>
                <w:noProof/>
              </w:rPr>
              <w:t>Analyse sectorielle de l’atténuation</w:t>
            </w:r>
            <w:r>
              <w:rPr>
                <w:noProof/>
                <w:webHidden/>
              </w:rPr>
              <w:tab/>
            </w:r>
            <w:r>
              <w:rPr>
                <w:noProof/>
                <w:webHidden/>
              </w:rPr>
              <w:fldChar w:fldCharType="begin"/>
            </w:r>
            <w:r>
              <w:rPr>
                <w:noProof/>
                <w:webHidden/>
              </w:rPr>
              <w:instrText xml:space="preserve"> PAGEREF _Toc234853864 \h </w:instrText>
            </w:r>
            <w:r>
              <w:rPr>
                <w:noProof/>
                <w:webHidden/>
              </w:rPr>
            </w:r>
            <w:r>
              <w:rPr>
                <w:noProof/>
                <w:webHidden/>
              </w:rPr>
              <w:fldChar w:fldCharType="separate"/>
            </w:r>
            <w:r>
              <w:rPr>
                <w:noProof/>
                <w:webHidden/>
              </w:rPr>
              <w:t>50</w:t>
            </w:r>
            <w:r>
              <w:rPr>
                <w:noProof/>
                <w:webHidden/>
              </w:rPr>
              <w:fldChar w:fldCharType="end"/>
            </w:r>
          </w:hyperlink>
        </w:p>
        <w:p w14:paraId="6FA3DB4F" w14:textId="3442662E"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65" w:history="1">
            <w:r w:rsidRPr="00702681">
              <w:rPr>
                <w:rStyle w:val="Lienhypertexte"/>
                <w:noProof/>
              </w:rPr>
              <w:t>3.1.</w:t>
            </w:r>
            <w:r>
              <w:rPr>
                <w:rFonts w:eastAsiaTheme="minorEastAsia" w:cstheme="minorBidi"/>
                <w:b w:val="0"/>
                <w:bCs w:val="0"/>
                <w:noProof/>
                <w:kern w:val="2"/>
                <w:sz w:val="24"/>
                <w:lang w:eastAsia="fr-FR"/>
                <w14:ligatures w14:val="standardContextual"/>
              </w:rPr>
              <w:tab/>
            </w:r>
            <w:r w:rsidRPr="00702681">
              <w:rPr>
                <w:rStyle w:val="Lienhypertexte"/>
                <w:noProof/>
              </w:rPr>
              <w:t>Secteur de l'énergie</w:t>
            </w:r>
            <w:r>
              <w:rPr>
                <w:noProof/>
                <w:webHidden/>
              </w:rPr>
              <w:tab/>
            </w:r>
            <w:r>
              <w:rPr>
                <w:noProof/>
                <w:webHidden/>
              </w:rPr>
              <w:fldChar w:fldCharType="begin"/>
            </w:r>
            <w:r>
              <w:rPr>
                <w:noProof/>
                <w:webHidden/>
              </w:rPr>
              <w:instrText xml:space="preserve"> PAGEREF _Toc234853865 \h </w:instrText>
            </w:r>
            <w:r>
              <w:rPr>
                <w:noProof/>
                <w:webHidden/>
              </w:rPr>
            </w:r>
            <w:r>
              <w:rPr>
                <w:noProof/>
                <w:webHidden/>
              </w:rPr>
              <w:fldChar w:fldCharType="separate"/>
            </w:r>
            <w:r>
              <w:rPr>
                <w:noProof/>
                <w:webHidden/>
              </w:rPr>
              <w:t>50</w:t>
            </w:r>
            <w:r>
              <w:rPr>
                <w:noProof/>
                <w:webHidden/>
              </w:rPr>
              <w:fldChar w:fldCharType="end"/>
            </w:r>
          </w:hyperlink>
        </w:p>
        <w:p w14:paraId="7C2163BA" w14:textId="060099C3"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66" w:history="1">
            <w:r w:rsidRPr="00702681">
              <w:rPr>
                <w:rStyle w:val="Lienhypertexte"/>
                <w:noProof/>
                <w:lang w:eastAsia="en-US"/>
              </w:rPr>
              <w:t>3.1.1</w:t>
            </w:r>
            <w:r>
              <w:rPr>
                <w:rFonts w:eastAsiaTheme="minorEastAsia" w:cstheme="minorBidi"/>
                <w:noProof/>
                <w:kern w:val="2"/>
                <w:sz w:val="24"/>
                <w:lang w:eastAsia="fr-FR"/>
                <w14:ligatures w14:val="standardContextual"/>
              </w:rPr>
              <w:tab/>
            </w:r>
            <w:r w:rsidRPr="00702681">
              <w:rPr>
                <w:rStyle w:val="Lienhypertexte"/>
                <w:noProof/>
                <w:lang w:eastAsia="en-US"/>
              </w:rPr>
              <w:t>Orientations et mesures retenues des consultations</w:t>
            </w:r>
            <w:r>
              <w:rPr>
                <w:noProof/>
                <w:webHidden/>
              </w:rPr>
              <w:tab/>
            </w:r>
            <w:r>
              <w:rPr>
                <w:noProof/>
                <w:webHidden/>
              </w:rPr>
              <w:fldChar w:fldCharType="begin"/>
            </w:r>
            <w:r>
              <w:rPr>
                <w:noProof/>
                <w:webHidden/>
              </w:rPr>
              <w:instrText xml:space="preserve"> PAGEREF _Toc234853866 \h </w:instrText>
            </w:r>
            <w:r>
              <w:rPr>
                <w:noProof/>
                <w:webHidden/>
              </w:rPr>
            </w:r>
            <w:r>
              <w:rPr>
                <w:noProof/>
                <w:webHidden/>
              </w:rPr>
              <w:fldChar w:fldCharType="separate"/>
            </w:r>
            <w:r>
              <w:rPr>
                <w:noProof/>
                <w:webHidden/>
              </w:rPr>
              <w:t>51</w:t>
            </w:r>
            <w:r>
              <w:rPr>
                <w:noProof/>
                <w:webHidden/>
              </w:rPr>
              <w:fldChar w:fldCharType="end"/>
            </w:r>
          </w:hyperlink>
        </w:p>
        <w:p w14:paraId="27FBC47E" w14:textId="00DFD111"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67" w:history="1">
            <w:r w:rsidRPr="00702681">
              <w:rPr>
                <w:rStyle w:val="Lienhypertexte"/>
                <w:noProof/>
                <w:lang w:eastAsia="en-US"/>
              </w:rPr>
              <w:t>3.1.2</w:t>
            </w:r>
            <w:r>
              <w:rPr>
                <w:rFonts w:eastAsiaTheme="minorEastAsia" w:cstheme="minorBidi"/>
                <w:noProof/>
                <w:kern w:val="2"/>
                <w:sz w:val="24"/>
                <w:lang w:eastAsia="fr-FR"/>
                <w14:ligatures w14:val="standardContextual"/>
              </w:rPr>
              <w:tab/>
            </w:r>
            <w:r w:rsidRPr="00702681">
              <w:rPr>
                <w:rStyle w:val="Lienhypertexte"/>
                <w:noProof/>
                <w:lang w:eastAsia="en-US"/>
              </w:rPr>
              <w:t>Ligne de base et projections des émissions</w:t>
            </w:r>
            <w:r>
              <w:rPr>
                <w:noProof/>
                <w:webHidden/>
              </w:rPr>
              <w:tab/>
            </w:r>
            <w:r>
              <w:rPr>
                <w:noProof/>
                <w:webHidden/>
              </w:rPr>
              <w:fldChar w:fldCharType="begin"/>
            </w:r>
            <w:r>
              <w:rPr>
                <w:noProof/>
                <w:webHidden/>
              </w:rPr>
              <w:instrText xml:space="preserve"> PAGEREF _Toc234853867 \h </w:instrText>
            </w:r>
            <w:r>
              <w:rPr>
                <w:noProof/>
                <w:webHidden/>
              </w:rPr>
            </w:r>
            <w:r>
              <w:rPr>
                <w:noProof/>
                <w:webHidden/>
              </w:rPr>
              <w:fldChar w:fldCharType="separate"/>
            </w:r>
            <w:r>
              <w:rPr>
                <w:noProof/>
                <w:webHidden/>
              </w:rPr>
              <w:t>55</w:t>
            </w:r>
            <w:r>
              <w:rPr>
                <w:noProof/>
                <w:webHidden/>
              </w:rPr>
              <w:fldChar w:fldCharType="end"/>
            </w:r>
          </w:hyperlink>
        </w:p>
        <w:p w14:paraId="00ADDB3C" w14:textId="0FCF8BCF"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68" w:history="1">
            <w:r w:rsidRPr="00702681">
              <w:rPr>
                <w:rStyle w:val="Lienhypertexte"/>
                <w:noProof/>
                <w:lang w:eastAsia="en-US"/>
              </w:rPr>
              <w:t>3.1.3</w:t>
            </w:r>
            <w:r>
              <w:rPr>
                <w:rFonts w:eastAsiaTheme="minorEastAsia" w:cstheme="minorBidi"/>
                <w:noProof/>
                <w:kern w:val="2"/>
                <w:sz w:val="24"/>
                <w:lang w:eastAsia="fr-FR"/>
                <w14:ligatures w14:val="standardContextual"/>
              </w:rPr>
              <w:tab/>
            </w:r>
            <w:r w:rsidRPr="00702681">
              <w:rPr>
                <w:rStyle w:val="Lienhypertexte"/>
                <w:noProof/>
                <w:lang w:eastAsia="en-US"/>
              </w:rPr>
              <w:t>Scénarios d'atténuation, cibles, et coûts associés</w:t>
            </w:r>
            <w:r>
              <w:rPr>
                <w:noProof/>
                <w:webHidden/>
              </w:rPr>
              <w:tab/>
            </w:r>
            <w:r>
              <w:rPr>
                <w:noProof/>
                <w:webHidden/>
              </w:rPr>
              <w:fldChar w:fldCharType="begin"/>
            </w:r>
            <w:r>
              <w:rPr>
                <w:noProof/>
                <w:webHidden/>
              </w:rPr>
              <w:instrText xml:space="preserve"> PAGEREF _Toc234853868 \h </w:instrText>
            </w:r>
            <w:r>
              <w:rPr>
                <w:noProof/>
                <w:webHidden/>
              </w:rPr>
            </w:r>
            <w:r>
              <w:rPr>
                <w:noProof/>
                <w:webHidden/>
              </w:rPr>
              <w:fldChar w:fldCharType="separate"/>
            </w:r>
            <w:r>
              <w:rPr>
                <w:noProof/>
                <w:webHidden/>
              </w:rPr>
              <w:t>60</w:t>
            </w:r>
            <w:r>
              <w:rPr>
                <w:noProof/>
                <w:webHidden/>
              </w:rPr>
              <w:fldChar w:fldCharType="end"/>
            </w:r>
          </w:hyperlink>
        </w:p>
        <w:p w14:paraId="28C04EE3" w14:textId="510F7C64"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69" w:history="1">
            <w:r w:rsidRPr="00702681">
              <w:rPr>
                <w:rStyle w:val="Lienhypertexte"/>
                <w:noProof/>
              </w:rPr>
              <w:t>3.1.4</w:t>
            </w:r>
            <w:r>
              <w:rPr>
                <w:rFonts w:eastAsiaTheme="minorEastAsia" w:cstheme="minorBidi"/>
                <w:noProof/>
                <w:kern w:val="2"/>
                <w:sz w:val="24"/>
                <w:lang w:eastAsia="fr-FR"/>
                <w14:ligatures w14:val="standardContextual"/>
              </w:rPr>
              <w:tab/>
            </w:r>
            <w:r w:rsidRPr="00702681">
              <w:rPr>
                <w:rStyle w:val="Lienhypertexte"/>
                <w:noProof/>
              </w:rPr>
              <w:t>Objectif sectoriel</w:t>
            </w:r>
            <w:r>
              <w:rPr>
                <w:noProof/>
                <w:webHidden/>
              </w:rPr>
              <w:tab/>
            </w:r>
            <w:r>
              <w:rPr>
                <w:noProof/>
                <w:webHidden/>
              </w:rPr>
              <w:fldChar w:fldCharType="begin"/>
            </w:r>
            <w:r>
              <w:rPr>
                <w:noProof/>
                <w:webHidden/>
              </w:rPr>
              <w:instrText xml:space="preserve"> PAGEREF _Toc234853869 \h </w:instrText>
            </w:r>
            <w:r>
              <w:rPr>
                <w:noProof/>
                <w:webHidden/>
              </w:rPr>
            </w:r>
            <w:r>
              <w:rPr>
                <w:noProof/>
                <w:webHidden/>
              </w:rPr>
              <w:fldChar w:fldCharType="separate"/>
            </w:r>
            <w:r>
              <w:rPr>
                <w:noProof/>
                <w:webHidden/>
              </w:rPr>
              <w:t>66</w:t>
            </w:r>
            <w:r>
              <w:rPr>
                <w:noProof/>
                <w:webHidden/>
              </w:rPr>
              <w:fldChar w:fldCharType="end"/>
            </w:r>
          </w:hyperlink>
        </w:p>
        <w:p w14:paraId="749F15E2" w14:textId="31054699"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70" w:history="1">
            <w:r w:rsidRPr="00702681">
              <w:rPr>
                <w:rStyle w:val="Lienhypertexte"/>
                <w:noProof/>
              </w:rPr>
              <w:t>3.2.</w:t>
            </w:r>
            <w:r>
              <w:rPr>
                <w:rFonts w:eastAsiaTheme="minorEastAsia" w:cstheme="minorBidi"/>
                <w:b w:val="0"/>
                <w:bCs w:val="0"/>
                <w:noProof/>
                <w:kern w:val="2"/>
                <w:sz w:val="24"/>
                <w:lang w:eastAsia="fr-FR"/>
                <w14:ligatures w14:val="standardContextual"/>
              </w:rPr>
              <w:tab/>
            </w:r>
            <w:r w:rsidRPr="00702681">
              <w:rPr>
                <w:rStyle w:val="Lienhypertexte"/>
                <w:noProof/>
              </w:rPr>
              <w:t>Secteur de l’agriculture</w:t>
            </w:r>
            <w:r>
              <w:rPr>
                <w:noProof/>
                <w:webHidden/>
              </w:rPr>
              <w:tab/>
            </w:r>
            <w:r>
              <w:rPr>
                <w:noProof/>
                <w:webHidden/>
              </w:rPr>
              <w:fldChar w:fldCharType="begin"/>
            </w:r>
            <w:r>
              <w:rPr>
                <w:noProof/>
                <w:webHidden/>
              </w:rPr>
              <w:instrText xml:space="preserve"> PAGEREF _Toc234853870 \h </w:instrText>
            </w:r>
            <w:r>
              <w:rPr>
                <w:noProof/>
                <w:webHidden/>
              </w:rPr>
            </w:r>
            <w:r>
              <w:rPr>
                <w:noProof/>
                <w:webHidden/>
              </w:rPr>
              <w:fldChar w:fldCharType="separate"/>
            </w:r>
            <w:r>
              <w:rPr>
                <w:noProof/>
                <w:webHidden/>
              </w:rPr>
              <w:t>68</w:t>
            </w:r>
            <w:r>
              <w:rPr>
                <w:noProof/>
                <w:webHidden/>
              </w:rPr>
              <w:fldChar w:fldCharType="end"/>
            </w:r>
          </w:hyperlink>
        </w:p>
        <w:p w14:paraId="16176605" w14:textId="61EE481D"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71" w:history="1">
            <w:r w:rsidRPr="00702681">
              <w:rPr>
                <w:rStyle w:val="Lienhypertexte"/>
                <w:noProof/>
              </w:rPr>
              <w:t>3.2.1</w:t>
            </w:r>
            <w:r>
              <w:rPr>
                <w:rFonts w:eastAsiaTheme="minorEastAsia" w:cstheme="minorBidi"/>
                <w:noProof/>
                <w:kern w:val="2"/>
                <w:sz w:val="24"/>
                <w:lang w:eastAsia="fr-FR"/>
                <w14:ligatures w14:val="standardContextual"/>
              </w:rPr>
              <w:tab/>
            </w:r>
            <w:r w:rsidRPr="00702681">
              <w:rPr>
                <w:rStyle w:val="Lienhypertexte"/>
                <w:noProof/>
              </w:rPr>
              <w:t>Orientations et mesures retenues des consultations</w:t>
            </w:r>
            <w:r>
              <w:rPr>
                <w:noProof/>
                <w:webHidden/>
              </w:rPr>
              <w:tab/>
            </w:r>
            <w:r>
              <w:rPr>
                <w:noProof/>
                <w:webHidden/>
              </w:rPr>
              <w:fldChar w:fldCharType="begin"/>
            </w:r>
            <w:r>
              <w:rPr>
                <w:noProof/>
                <w:webHidden/>
              </w:rPr>
              <w:instrText xml:space="preserve"> PAGEREF _Toc234853871 \h </w:instrText>
            </w:r>
            <w:r>
              <w:rPr>
                <w:noProof/>
                <w:webHidden/>
              </w:rPr>
            </w:r>
            <w:r>
              <w:rPr>
                <w:noProof/>
                <w:webHidden/>
              </w:rPr>
              <w:fldChar w:fldCharType="separate"/>
            </w:r>
            <w:r>
              <w:rPr>
                <w:noProof/>
                <w:webHidden/>
              </w:rPr>
              <w:t>68</w:t>
            </w:r>
            <w:r>
              <w:rPr>
                <w:noProof/>
                <w:webHidden/>
              </w:rPr>
              <w:fldChar w:fldCharType="end"/>
            </w:r>
          </w:hyperlink>
        </w:p>
        <w:p w14:paraId="1AB180B2" w14:textId="05D99CFB"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72" w:history="1">
            <w:r w:rsidRPr="00702681">
              <w:rPr>
                <w:rStyle w:val="Lienhypertexte"/>
                <w:noProof/>
              </w:rPr>
              <w:t>3.2.2</w:t>
            </w:r>
            <w:r>
              <w:rPr>
                <w:rFonts w:eastAsiaTheme="minorEastAsia" w:cstheme="minorBidi"/>
                <w:noProof/>
                <w:kern w:val="2"/>
                <w:sz w:val="24"/>
                <w:lang w:eastAsia="fr-FR"/>
                <w14:ligatures w14:val="standardContextual"/>
              </w:rPr>
              <w:tab/>
            </w:r>
            <w:r w:rsidRPr="00702681">
              <w:rPr>
                <w:rStyle w:val="Lienhypertexte"/>
                <w:noProof/>
              </w:rPr>
              <w:t>Ligne de base et projections des émissions</w:t>
            </w:r>
            <w:r>
              <w:rPr>
                <w:noProof/>
                <w:webHidden/>
              </w:rPr>
              <w:tab/>
            </w:r>
            <w:r>
              <w:rPr>
                <w:noProof/>
                <w:webHidden/>
              </w:rPr>
              <w:fldChar w:fldCharType="begin"/>
            </w:r>
            <w:r>
              <w:rPr>
                <w:noProof/>
                <w:webHidden/>
              </w:rPr>
              <w:instrText xml:space="preserve"> PAGEREF _Toc234853872 \h </w:instrText>
            </w:r>
            <w:r>
              <w:rPr>
                <w:noProof/>
                <w:webHidden/>
              </w:rPr>
            </w:r>
            <w:r>
              <w:rPr>
                <w:noProof/>
                <w:webHidden/>
              </w:rPr>
              <w:fldChar w:fldCharType="separate"/>
            </w:r>
            <w:r>
              <w:rPr>
                <w:noProof/>
                <w:webHidden/>
              </w:rPr>
              <w:t>70</w:t>
            </w:r>
            <w:r>
              <w:rPr>
                <w:noProof/>
                <w:webHidden/>
              </w:rPr>
              <w:fldChar w:fldCharType="end"/>
            </w:r>
          </w:hyperlink>
        </w:p>
        <w:p w14:paraId="26A2ECF4" w14:textId="188E2E7C"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73" w:history="1">
            <w:r w:rsidRPr="00702681">
              <w:rPr>
                <w:rStyle w:val="Lienhypertexte"/>
                <w:noProof/>
              </w:rPr>
              <w:t>3.2.3</w:t>
            </w:r>
            <w:r>
              <w:rPr>
                <w:rFonts w:eastAsiaTheme="minorEastAsia" w:cstheme="minorBidi"/>
                <w:noProof/>
                <w:kern w:val="2"/>
                <w:sz w:val="24"/>
                <w:lang w:eastAsia="fr-FR"/>
                <w14:ligatures w14:val="standardContextual"/>
              </w:rPr>
              <w:tab/>
            </w:r>
            <w:r w:rsidRPr="00702681">
              <w:rPr>
                <w:rStyle w:val="Lienhypertexte"/>
                <w:noProof/>
              </w:rPr>
              <w:t>Scénarios d'atténuation, cibles, et coûts associés</w:t>
            </w:r>
            <w:r>
              <w:rPr>
                <w:noProof/>
                <w:webHidden/>
              </w:rPr>
              <w:tab/>
            </w:r>
            <w:r>
              <w:rPr>
                <w:noProof/>
                <w:webHidden/>
              </w:rPr>
              <w:fldChar w:fldCharType="begin"/>
            </w:r>
            <w:r>
              <w:rPr>
                <w:noProof/>
                <w:webHidden/>
              </w:rPr>
              <w:instrText xml:space="preserve"> PAGEREF _Toc234853873 \h </w:instrText>
            </w:r>
            <w:r>
              <w:rPr>
                <w:noProof/>
                <w:webHidden/>
              </w:rPr>
            </w:r>
            <w:r>
              <w:rPr>
                <w:noProof/>
                <w:webHidden/>
              </w:rPr>
              <w:fldChar w:fldCharType="separate"/>
            </w:r>
            <w:r>
              <w:rPr>
                <w:noProof/>
                <w:webHidden/>
              </w:rPr>
              <w:t>72</w:t>
            </w:r>
            <w:r>
              <w:rPr>
                <w:noProof/>
                <w:webHidden/>
              </w:rPr>
              <w:fldChar w:fldCharType="end"/>
            </w:r>
          </w:hyperlink>
        </w:p>
        <w:p w14:paraId="536920A2" w14:textId="2ADA76F5"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74" w:history="1">
            <w:r w:rsidRPr="00702681">
              <w:rPr>
                <w:rStyle w:val="Lienhypertexte"/>
                <w:noProof/>
              </w:rPr>
              <w:t>3.2.4</w:t>
            </w:r>
            <w:r>
              <w:rPr>
                <w:rFonts w:eastAsiaTheme="minorEastAsia" w:cstheme="minorBidi"/>
                <w:noProof/>
                <w:kern w:val="2"/>
                <w:sz w:val="24"/>
                <w:lang w:eastAsia="fr-FR"/>
                <w14:ligatures w14:val="standardContextual"/>
              </w:rPr>
              <w:tab/>
            </w:r>
            <w:r w:rsidRPr="00702681">
              <w:rPr>
                <w:rStyle w:val="Lienhypertexte"/>
                <w:noProof/>
              </w:rPr>
              <w:t>Objectif sectoriel</w:t>
            </w:r>
            <w:r>
              <w:rPr>
                <w:noProof/>
                <w:webHidden/>
              </w:rPr>
              <w:tab/>
            </w:r>
            <w:r>
              <w:rPr>
                <w:noProof/>
                <w:webHidden/>
              </w:rPr>
              <w:fldChar w:fldCharType="begin"/>
            </w:r>
            <w:r>
              <w:rPr>
                <w:noProof/>
                <w:webHidden/>
              </w:rPr>
              <w:instrText xml:space="preserve"> PAGEREF _Toc234853874 \h </w:instrText>
            </w:r>
            <w:r>
              <w:rPr>
                <w:noProof/>
                <w:webHidden/>
              </w:rPr>
            </w:r>
            <w:r>
              <w:rPr>
                <w:noProof/>
                <w:webHidden/>
              </w:rPr>
              <w:fldChar w:fldCharType="separate"/>
            </w:r>
            <w:r>
              <w:rPr>
                <w:noProof/>
                <w:webHidden/>
              </w:rPr>
              <w:t>76</w:t>
            </w:r>
            <w:r>
              <w:rPr>
                <w:noProof/>
                <w:webHidden/>
              </w:rPr>
              <w:fldChar w:fldCharType="end"/>
            </w:r>
          </w:hyperlink>
        </w:p>
        <w:p w14:paraId="0315D872" w14:textId="4F083397"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75" w:history="1">
            <w:r w:rsidRPr="00702681">
              <w:rPr>
                <w:rStyle w:val="Lienhypertexte"/>
                <w:noProof/>
              </w:rPr>
              <w:t>3.3.</w:t>
            </w:r>
            <w:r>
              <w:rPr>
                <w:rFonts w:eastAsiaTheme="minorEastAsia" w:cstheme="minorBidi"/>
                <w:b w:val="0"/>
                <w:bCs w:val="0"/>
                <w:noProof/>
                <w:kern w:val="2"/>
                <w:sz w:val="24"/>
                <w:lang w:eastAsia="fr-FR"/>
                <w14:ligatures w14:val="standardContextual"/>
              </w:rPr>
              <w:tab/>
            </w:r>
            <w:r w:rsidRPr="00702681">
              <w:rPr>
                <w:rStyle w:val="Lienhypertexte"/>
                <w:noProof/>
              </w:rPr>
              <w:t>Secteur de la forêt</w:t>
            </w:r>
            <w:r>
              <w:rPr>
                <w:noProof/>
                <w:webHidden/>
              </w:rPr>
              <w:tab/>
            </w:r>
            <w:r>
              <w:rPr>
                <w:noProof/>
                <w:webHidden/>
              </w:rPr>
              <w:fldChar w:fldCharType="begin"/>
            </w:r>
            <w:r>
              <w:rPr>
                <w:noProof/>
                <w:webHidden/>
              </w:rPr>
              <w:instrText xml:space="preserve"> PAGEREF _Toc234853875 \h </w:instrText>
            </w:r>
            <w:r>
              <w:rPr>
                <w:noProof/>
                <w:webHidden/>
              </w:rPr>
            </w:r>
            <w:r>
              <w:rPr>
                <w:noProof/>
                <w:webHidden/>
              </w:rPr>
              <w:fldChar w:fldCharType="separate"/>
            </w:r>
            <w:r>
              <w:rPr>
                <w:noProof/>
                <w:webHidden/>
              </w:rPr>
              <w:t>77</w:t>
            </w:r>
            <w:r>
              <w:rPr>
                <w:noProof/>
                <w:webHidden/>
              </w:rPr>
              <w:fldChar w:fldCharType="end"/>
            </w:r>
          </w:hyperlink>
        </w:p>
        <w:p w14:paraId="781D4EF9" w14:textId="642990BB"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76" w:history="1">
            <w:r w:rsidRPr="00702681">
              <w:rPr>
                <w:rStyle w:val="Lienhypertexte"/>
                <w:noProof/>
              </w:rPr>
              <w:t>3.3.1</w:t>
            </w:r>
            <w:r>
              <w:rPr>
                <w:rFonts w:eastAsiaTheme="minorEastAsia" w:cstheme="minorBidi"/>
                <w:noProof/>
                <w:kern w:val="2"/>
                <w:sz w:val="24"/>
                <w:lang w:eastAsia="fr-FR"/>
                <w14:ligatures w14:val="standardContextual"/>
              </w:rPr>
              <w:tab/>
            </w:r>
            <w:r w:rsidRPr="00702681">
              <w:rPr>
                <w:rStyle w:val="Lienhypertexte"/>
                <w:noProof/>
              </w:rPr>
              <w:t>Orientations et mesures retenues des consultations</w:t>
            </w:r>
            <w:r>
              <w:rPr>
                <w:noProof/>
                <w:webHidden/>
              </w:rPr>
              <w:tab/>
            </w:r>
            <w:r>
              <w:rPr>
                <w:noProof/>
                <w:webHidden/>
              </w:rPr>
              <w:fldChar w:fldCharType="begin"/>
            </w:r>
            <w:r>
              <w:rPr>
                <w:noProof/>
                <w:webHidden/>
              </w:rPr>
              <w:instrText xml:space="preserve"> PAGEREF _Toc234853876 \h </w:instrText>
            </w:r>
            <w:r>
              <w:rPr>
                <w:noProof/>
                <w:webHidden/>
              </w:rPr>
            </w:r>
            <w:r>
              <w:rPr>
                <w:noProof/>
                <w:webHidden/>
              </w:rPr>
              <w:fldChar w:fldCharType="separate"/>
            </w:r>
            <w:r>
              <w:rPr>
                <w:noProof/>
                <w:webHidden/>
              </w:rPr>
              <w:t>77</w:t>
            </w:r>
            <w:r>
              <w:rPr>
                <w:noProof/>
                <w:webHidden/>
              </w:rPr>
              <w:fldChar w:fldCharType="end"/>
            </w:r>
          </w:hyperlink>
        </w:p>
        <w:p w14:paraId="176BA431" w14:textId="4F1804B4"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77" w:history="1">
            <w:r w:rsidRPr="00702681">
              <w:rPr>
                <w:rStyle w:val="Lienhypertexte"/>
                <w:noProof/>
              </w:rPr>
              <w:t>3.3.2</w:t>
            </w:r>
            <w:r>
              <w:rPr>
                <w:rFonts w:eastAsiaTheme="minorEastAsia" w:cstheme="minorBidi"/>
                <w:noProof/>
                <w:kern w:val="2"/>
                <w:sz w:val="24"/>
                <w:lang w:eastAsia="fr-FR"/>
                <w14:ligatures w14:val="standardContextual"/>
              </w:rPr>
              <w:tab/>
            </w:r>
            <w:r w:rsidRPr="00702681">
              <w:rPr>
                <w:rStyle w:val="Lienhypertexte"/>
                <w:noProof/>
              </w:rPr>
              <w:t>Ligne de base et projections des émissions</w:t>
            </w:r>
            <w:r>
              <w:rPr>
                <w:noProof/>
                <w:webHidden/>
              </w:rPr>
              <w:tab/>
            </w:r>
            <w:r>
              <w:rPr>
                <w:noProof/>
                <w:webHidden/>
              </w:rPr>
              <w:fldChar w:fldCharType="begin"/>
            </w:r>
            <w:r>
              <w:rPr>
                <w:noProof/>
                <w:webHidden/>
              </w:rPr>
              <w:instrText xml:space="preserve"> PAGEREF _Toc234853877 \h </w:instrText>
            </w:r>
            <w:r>
              <w:rPr>
                <w:noProof/>
                <w:webHidden/>
              </w:rPr>
            </w:r>
            <w:r>
              <w:rPr>
                <w:noProof/>
                <w:webHidden/>
              </w:rPr>
              <w:fldChar w:fldCharType="separate"/>
            </w:r>
            <w:r>
              <w:rPr>
                <w:noProof/>
                <w:webHidden/>
              </w:rPr>
              <w:t>84</w:t>
            </w:r>
            <w:r>
              <w:rPr>
                <w:noProof/>
                <w:webHidden/>
              </w:rPr>
              <w:fldChar w:fldCharType="end"/>
            </w:r>
          </w:hyperlink>
        </w:p>
        <w:p w14:paraId="1786AE6A" w14:textId="3349AD1F"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78" w:history="1">
            <w:r w:rsidRPr="00702681">
              <w:rPr>
                <w:rStyle w:val="Lienhypertexte"/>
                <w:noProof/>
              </w:rPr>
              <w:t>3.3.3</w:t>
            </w:r>
            <w:r>
              <w:rPr>
                <w:rFonts w:eastAsiaTheme="minorEastAsia" w:cstheme="minorBidi"/>
                <w:noProof/>
                <w:kern w:val="2"/>
                <w:sz w:val="24"/>
                <w:lang w:eastAsia="fr-FR"/>
                <w14:ligatures w14:val="standardContextual"/>
              </w:rPr>
              <w:tab/>
            </w:r>
            <w:r w:rsidRPr="00702681">
              <w:rPr>
                <w:rStyle w:val="Lienhypertexte"/>
                <w:noProof/>
              </w:rPr>
              <w:t>Scénarios d'atténuation</w:t>
            </w:r>
            <w:r>
              <w:rPr>
                <w:noProof/>
                <w:webHidden/>
              </w:rPr>
              <w:tab/>
            </w:r>
            <w:r>
              <w:rPr>
                <w:noProof/>
                <w:webHidden/>
              </w:rPr>
              <w:fldChar w:fldCharType="begin"/>
            </w:r>
            <w:r>
              <w:rPr>
                <w:noProof/>
                <w:webHidden/>
              </w:rPr>
              <w:instrText xml:space="preserve"> PAGEREF _Toc234853878 \h </w:instrText>
            </w:r>
            <w:r>
              <w:rPr>
                <w:noProof/>
                <w:webHidden/>
              </w:rPr>
            </w:r>
            <w:r>
              <w:rPr>
                <w:noProof/>
                <w:webHidden/>
              </w:rPr>
              <w:fldChar w:fldCharType="separate"/>
            </w:r>
            <w:r>
              <w:rPr>
                <w:noProof/>
                <w:webHidden/>
              </w:rPr>
              <w:t>85</w:t>
            </w:r>
            <w:r>
              <w:rPr>
                <w:noProof/>
                <w:webHidden/>
              </w:rPr>
              <w:fldChar w:fldCharType="end"/>
            </w:r>
          </w:hyperlink>
        </w:p>
        <w:p w14:paraId="24DDDE58" w14:textId="46EBA2B4"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79" w:history="1">
            <w:r w:rsidRPr="00702681">
              <w:rPr>
                <w:rStyle w:val="Lienhypertexte"/>
                <w:noProof/>
              </w:rPr>
              <w:t>3.4.</w:t>
            </w:r>
            <w:r>
              <w:rPr>
                <w:rFonts w:eastAsiaTheme="minorEastAsia" w:cstheme="minorBidi"/>
                <w:b w:val="0"/>
                <w:bCs w:val="0"/>
                <w:noProof/>
                <w:kern w:val="2"/>
                <w:sz w:val="24"/>
                <w:lang w:eastAsia="fr-FR"/>
                <w14:ligatures w14:val="standardContextual"/>
              </w:rPr>
              <w:tab/>
            </w:r>
            <w:r w:rsidRPr="00702681">
              <w:rPr>
                <w:rStyle w:val="Lienhypertexte"/>
                <w:noProof/>
              </w:rPr>
              <w:t>Secteur des déchets</w:t>
            </w:r>
            <w:r>
              <w:rPr>
                <w:noProof/>
                <w:webHidden/>
              </w:rPr>
              <w:tab/>
            </w:r>
            <w:r>
              <w:rPr>
                <w:noProof/>
                <w:webHidden/>
              </w:rPr>
              <w:fldChar w:fldCharType="begin"/>
            </w:r>
            <w:r>
              <w:rPr>
                <w:noProof/>
                <w:webHidden/>
              </w:rPr>
              <w:instrText xml:space="preserve"> PAGEREF _Toc234853879 \h </w:instrText>
            </w:r>
            <w:r>
              <w:rPr>
                <w:noProof/>
                <w:webHidden/>
              </w:rPr>
            </w:r>
            <w:r>
              <w:rPr>
                <w:noProof/>
                <w:webHidden/>
              </w:rPr>
              <w:fldChar w:fldCharType="separate"/>
            </w:r>
            <w:r>
              <w:rPr>
                <w:noProof/>
                <w:webHidden/>
              </w:rPr>
              <w:t>87</w:t>
            </w:r>
            <w:r>
              <w:rPr>
                <w:noProof/>
                <w:webHidden/>
              </w:rPr>
              <w:fldChar w:fldCharType="end"/>
            </w:r>
          </w:hyperlink>
        </w:p>
        <w:p w14:paraId="6EA79488" w14:textId="639E5792"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80" w:history="1">
            <w:r w:rsidRPr="00702681">
              <w:rPr>
                <w:rStyle w:val="Lienhypertexte"/>
                <w:noProof/>
              </w:rPr>
              <w:t>3.4.1</w:t>
            </w:r>
            <w:r>
              <w:rPr>
                <w:rFonts w:eastAsiaTheme="minorEastAsia" w:cstheme="minorBidi"/>
                <w:noProof/>
                <w:kern w:val="2"/>
                <w:sz w:val="24"/>
                <w:lang w:eastAsia="fr-FR"/>
                <w14:ligatures w14:val="standardContextual"/>
              </w:rPr>
              <w:tab/>
            </w:r>
            <w:r w:rsidRPr="00702681">
              <w:rPr>
                <w:rStyle w:val="Lienhypertexte"/>
                <w:noProof/>
              </w:rPr>
              <w:t>Orientations et mesures retenues des consultations</w:t>
            </w:r>
            <w:r>
              <w:rPr>
                <w:noProof/>
                <w:webHidden/>
              </w:rPr>
              <w:tab/>
            </w:r>
            <w:r>
              <w:rPr>
                <w:noProof/>
                <w:webHidden/>
              </w:rPr>
              <w:fldChar w:fldCharType="begin"/>
            </w:r>
            <w:r>
              <w:rPr>
                <w:noProof/>
                <w:webHidden/>
              </w:rPr>
              <w:instrText xml:space="preserve"> PAGEREF _Toc234853880 \h </w:instrText>
            </w:r>
            <w:r>
              <w:rPr>
                <w:noProof/>
                <w:webHidden/>
              </w:rPr>
            </w:r>
            <w:r>
              <w:rPr>
                <w:noProof/>
                <w:webHidden/>
              </w:rPr>
              <w:fldChar w:fldCharType="separate"/>
            </w:r>
            <w:r>
              <w:rPr>
                <w:noProof/>
                <w:webHidden/>
              </w:rPr>
              <w:t>87</w:t>
            </w:r>
            <w:r>
              <w:rPr>
                <w:noProof/>
                <w:webHidden/>
              </w:rPr>
              <w:fldChar w:fldCharType="end"/>
            </w:r>
          </w:hyperlink>
        </w:p>
        <w:p w14:paraId="2DFA18F2" w14:textId="29ACB418"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81" w:history="1">
            <w:r w:rsidRPr="00702681">
              <w:rPr>
                <w:rStyle w:val="Lienhypertexte"/>
                <w:noProof/>
              </w:rPr>
              <w:t>3.4.2</w:t>
            </w:r>
            <w:r>
              <w:rPr>
                <w:rFonts w:eastAsiaTheme="minorEastAsia" w:cstheme="minorBidi"/>
                <w:noProof/>
                <w:kern w:val="2"/>
                <w:sz w:val="24"/>
                <w:lang w:eastAsia="fr-FR"/>
                <w14:ligatures w14:val="standardContextual"/>
              </w:rPr>
              <w:tab/>
            </w:r>
            <w:r w:rsidRPr="00702681">
              <w:rPr>
                <w:rStyle w:val="Lienhypertexte"/>
                <w:noProof/>
              </w:rPr>
              <w:t>Ligne de base et projections des émissions</w:t>
            </w:r>
            <w:r>
              <w:rPr>
                <w:noProof/>
                <w:webHidden/>
              </w:rPr>
              <w:tab/>
            </w:r>
            <w:r>
              <w:rPr>
                <w:noProof/>
                <w:webHidden/>
              </w:rPr>
              <w:fldChar w:fldCharType="begin"/>
            </w:r>
            <w:r>
              <w:rPr>
                <w:noProof/>
                <w:webHidden/>
              </w:rPr>
              <w:instrText xml:space="preserve"> PAGEREF _Toc234853881 \h </w:instrText>
            </w:r>
            <w:r>
              <w:rPr>
                <w:noProof/>
                <w:webHidden/>
              </w:rPr>
            </w:r>
            <w:r>
              <w:rPr>
                <w:noProof/>
                <w:webHidden/>
              </w:rPr>
              <w:fldChar w:fldCharType="separate"/>
            </w:r>
            <w:r>
              <w:rPr>
                <w:noProof/>
                <w:webHidden/>
              </w:rPr>
              <w:t>94</w:t>
            </w:r>
            <w:r>
              <w:rPr>
                <w:noProof/>
                <w:webHidden/>
              </w:rPr>
              <w:fldChar w:fldCharType="end"/>
            </w:r>
          </w:hyperlink>
        </w:p>
        <w:p w14:paraId="6E9BD959" w14:textId="65C74628"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82" w:history="1">
            <w:r w:rsidRPr="00702681">
              <w:rPr>
                <w:rStyle w:val="Lienhypertexte"/>
                <w:noProof/>
              </w:rPr>
              <w:t>3.4.3</w:t>
            </w:r>
            <w:r>
              <w:rPr>
                <w:rFonts w:eastAsiaTheme="minorEastAsia" w:cstheme="minorBidi"/>
                <w:noProof/>
                <w:kern w:val="2"/>
                <w:sz w:val="24"/>
                <w:lang w:eastAsia="fr-FR"/>
                <w14:ligatures w14:val="standardContextual"/>
              </w:rPr>
              <w:tab/>
            </w:r>
            <w:r w:rsidRPr="00702681">
              <w:rPr>
                <w:rStyle w:val="Lienhypertexte"/>
                <w:noProof/>
              </w:rPr>
              <w:t>Scénarios d'atténuation</w:t>
            </w:r>
            <w:r>
              <w:rPr>
                <w:noProof/>
                <w:webHidden/>
              </w:rPr>
              <w:tab/>
            </w:r>
            <w:r>
              <w:rPr>
                <w:noProof/>
                <w:webHidden/>
              </w:rPr>
              <w:fldChar w:fldCharType="begin"/>
            </w:r>
            <w:r>
              <w:rPr>
                <w:noProof/>
                <w:webHidden/>
              </w:rPr>
              <w:instrText xml:space="preserve"> PAGEREF _Toc234853882 \h </w:instrText>
            </w:r>
            <w:r>
              <w:rPr>
                <w:noProof/>
                <w:webHidden/>
              </w:rPr>
            </w:r>
            <w:r>
              <w:rPr>
                <w:noProof/>
                <w:webHidden/>
              </w:rPr>
              <w:fldChar w:fldCharType="separate"/>
            </w:r>
            <w:r>
              <w:rPr>
                <w:noProof/>
                <w:webHidden/>
              </w:rPr>
              <w:t>94</w:t>
            </w:r>
            <w:r>
              <w:rPr>
                <w:noProof/>
                <w:webHidden/>
              </w:rPr>
              <w:fldChar w:fldCharType="end"/>
            </w:r>
          </w:hyperlink>
        </w:p>
        <w:p w14:paraId="6BEE1893" w14:textId="7F9A7702"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83" w:history="1">
            <w:r w:rsidRPr="00702681">
              <w:rPr>
                <w:rStyle w:val="Lienhypertexte"/>
                <w:noProof/>
              </w:rPr>
              <w:t>3.5.</w:t>
            </w:r>
            <w:r>
              <w:rPr>
                <w:rFonts w:eastAsiaTheme="minorEastAsia" w:cstheme="minorBidi"/>
                <w:b w:val="0"/>
                <w:bCs w:val="0"/>
                <w:noProof/>
                <w:kern w:val="2"/>
                <w:sz w:val="24"/>
                <w:lang w:eastAsia="fr-FR"/>
                <w14:ligatures w14:val="standardContextual"/>
              </w:rPr>
              <w:tab/>
            </w:r>
            <w:r w:rsidRPr="00702681">
              <w:rPr>
                <w:rStyle w:val="Lienhypertexte"/>
                <w:noProof/>
              </w:rPr>
              <w:t>Financement des mesures de la CDN 3.0</w:t>
            </w:r>
            <w:r>
              <w:rPr>
                <w:noProof/>
                <w:webHidden/>
              </w:rPr>
              <w:tab/>
            </w:r>
            <w:r>
              <w:rPr>
                <w:noProof/>
                <w:webHidden/>
              </w:rPr>
              <w:fldChar w:fldCharType="begin"/>
            </w:r>
            <w:r>
              <w:rPr>
                <w:noProof/>
                <w:webHidden/>
              </w:rPr>
              <w:instrText xml:space="preserve"> PAGEREF _Toc234853883 \h </w:instrText>
            </w:r>
            <w:r>
              <w:rPr>
                <w:noProof/>
                <w:webHidden/>
              </w:rPr>
            </w:r>
            <w:r>
              <w:rPr>
                <w:noProof/>
                <w:webHidden/>
              </w:rPr>
              <w:fldChar w:fldCharType="separate"/>
            </w:r>
            <w:r>
              <w:rPr>
                <w:noProof/>
                <w:webHidden/>
              </w:rPr>
              <w:t>96</w:t>
            </w:r>
            <w:r>
              <w:rPr>
                <w:noProof/>
                <w:webHidden/>
              </w:rPr>
              <w:fldChar w:fldCharType="end"/>
            </w:r>
          </w:hyperlink>
        </w:p>
        <w:p w14:paraId="2831B950" w14:textId="69A95BA4"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84" w:history="1">
            <w:r w:rsidRPr="00702681">
              <w:rPr>
                <w:rStyle w:val="Lienhypertexte"/>
                <w:noProof/>
              </w:rPr>
              <w:t>3.6.</w:t>
            </w:r>
            <w:r>
              <w:rPr>
                <w:rFonts w:eastAsiaTheme="minorEastAsia" w:cstheme="minorBidi"/>
                <w:b w:val="0"/>
                <w:bCs w:val="0"/>
                <w:noProof/>
                <w:kern w:val="2"/>
                <w:sz w:val="24"/>
                <w:lang w:eastAsia="fr-FR"/>
                <w14:ligatures w14:val="standardContextual"/>
              </w:rPr>
              <w:tab/>
            </w:r>
            <w:r w:rsidRPr="00702681">
              <w:rPr>
                <w:rStyle w:val="Lienhypertexte"/>
                <w:noProof/>
              </w:rPr>
              <w:t>Objectif national</w:t>
            </w:r>
            <w:r>
              <w:rPr>
                <w:noProof/>
                <w:webHidden/>
              </w:rPr>
              <w:tab/>
            </w:r>
            <w:r>
              <w:rPr>
                <w:noProof/>
                <w:webHidden/>
              </w:rPr>
              <w:fldChar w:fldCharType="begin"/>
            </w:r>
            <w:r>
              <w:rPr>
                <w:noProof/>
                <w:webHidden/>
              </w:rPr>
              <w:instrText xml:space="preserve"> PAGEREF _Toc234853884 \h </w:instrText>
            </w:r>
            <w:r>
              <w:rPr>
                <w:noProof/>
                <w:webHidden/>
              </w:rPr>
            </w:r>
            <w:r>
              <w:rPr>
                <w:noProof/>
                <w:webHidden/>
              </w:rPr>
              <w:fldChar w:fldCharType="separate"/>
            </w:r>
            <w:r>
              <w:rPr>
                <w:noProof/>
                <w:webHidden/>
              </w:rPr>
              <w:t>98</w:t>
            </w:r>
            <w:r>
              <w:rPr>
                <w:noProof/>
                <w:webHidden/>
              </w:rPr>
              <w:fldChar w:fldCharType="end"/>
            </w:r>
          </w:hyperlink>
        </w:p>
        <w:p w14:paraId="169EF9EC" w14:textId="69DCBD1A" w:rsidR="00120ACC" w:rsidRDefault="00120ACC">
          <w:pPr>
            <w:pStyle w:val="TM1"/>
            <w:tabs>
              <w:tab w:val="left" w:pos="440"/>
              <w:tab w:val="right" w:leader="dot" w:pos="9394"/>
            </w:tabs>
            <w:rPr>
              <w:rFonts w:asciiTheme="minorHAnsi" w:eastAsiaTheme="minorEastAsia" w:hAnsiTheme="minorHAnsi" w:cstheme="minorBidi"/>
              <w:b w:val="0"/>
              <w:bCs w:val="0"/>
              <w:caps w:val="0"/>
              <w:noProof/>
              <w:kern w:val="2"/>
              <w:szCs w:val="24"/>
              <w:lang w:eastAsia="fr-FR"/>
              <w14:ligatures w14:val="standardContextual"/>
            </w:rPr>
          </w:pPr>
          <w:hyperlink w:anchor="_Toc234853885" w:history="1">
            <w:r w:rsidRPr="00702681">
              <w:rPr>
                <w:rStyle w:val="Lienhypertexte"/>
                <w:noProof/>
              </w:rPr>
              <w:t>4.</w:t>
            </w:r>
            <w:r>
              <w:rPr>
                <w:rFonts w:asciiTheme="minorHAnsi" w:eastAsiaTheme="minorEastAsia" w:hAnsiTheme="minorHAnsi" w:cstheme="minorBidi"/>
                <w:b w:val="0"/>
                <w:bCs w:val="0"/>
                <w:caps w:val="0"/>
                <w:noProof/>
                <w:kern w:val="2"/>
                <w:szCs w:val="24"/>
                <w:lang w:eastAsia="fr-FR"/>
                <w14:ligatures w14:val="standardContextual"/>
              </w:rPr>
              <w:tab/>
            </w:r>
            <w:r w:rsidRPr="00702681">
              <w:rPr>
                <w:rStyle w:val="Lienhypertexte"/>
                <w:noProof/>
              </w:rPr>
              <w:t>Analyse sectorielle de l’adaptation</w:t>
            </w:r>
            <w:r>
              <w:rPr>
                <w:noProof/>
                <w:webHidden/>
              </w:rPr>
              <w:tab/>
            </w:r>
            <w:r>
              <w:rPr>
                <w:noProof/>
                <w:webHidden/>
              </w:rPr>
              <w:fldChar w:fldCharType="begin"/>
            </w:r>
            <w:r>
              <w:rPr>
                <w:noProof/>
                <w:webHidden/>
              </w:rPr>
              <w:instrText xml:space="preserve"> PAGEREF _Toc234853885 \h </w:instrText>
            </w:r>
            <w:r>
              <w:rPr>
                <w:noProof/>
                <w:webHidden/>
              </w:rPr>
            </w:r>
            <w:r>
              <w:rPr>
                <w:noProof/>
                <w:webHidden/>
              </w:rPr>
              <w:fldChar w:fldCharType="separate"/>
            </w:r>
            <w:r>
              <w:rPr>
                <w:noProof/>
                <w:webHidden/>
              </w:rPr>
              <w:t>102</w:t>
            </w:r>
            <w:r>
              <w:rPr>
                <w:noProof/>
                <w:webHidden/>
              </w:rPr>
              <w:fldChar w:fldCharType="end"/>
            </w:r>
          </w:hyperlink>
        </w:p>
        <w:p w14:paraId="6BE68DA0" w14:textId="0638207F"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86" w:history="1">
            <w:r w:rsidRPr="00702681">
              <w:rPr>
                <w:rStyle w:val="Lienhypertexte"/>
                <w:noProof/>
              </w:rPr>
              <w:t>4.1.</w:t>
            </w:r>
            <w:r>
              <w:rPr>
                <w:rFonts w:eastAsiaTheme="minorEastAsia" w:cstheme="minorBidi"/>
                <w:b w:val="0"/>
                <w:bCs w:val="0"/>
                <w:noProof/>
                <w:kern w:val="2"/>
                <w:sz w:val="24"/>
                <w:lang w:eastAsia="fr-FR"/>
                <w14:ligatures w14:val="standardContextual"/>
              </w:rPr>
              <w:tab/>
            </w:r>
            <w:r w:rsidRPr="00702681">
              <w:rPr>
                <w:rStyle w:val="Lienhypertexte"/>
                <w:noProof/>
              </w:rPr>
              <w:t>Agriculture</w:t>
            </w:r>
            <w:r>
              <w:rPr>
                <w:noProof/>
                <w:webHidden/>
              </w:rPr>
              <w:tab/>
            </w:r>
            <w:r>
              <w:rPr>
                <w:noProof/>
                <w:webHidden/>
              </w:rPr>
              <w:fldChar w:fldCharType="begin"/>
            </w:r>
            <w:r>
              <w:rPr>
                <w:noProof/>
                <w:webHidden/>
              </w:rPr>
              <w:instrText xml:space="preserve"> PAGEREF _Toc234853886 \h </w:instrText>
            </w:r>
            <w:r>
              <w:rPr>
                <w:noProof/>
                <w:webHidden/>
              </w:rPr>
            </w:r>
            <w:r>
              <w:rPr>
                <w:noProof/>
                <w:webHidden/>
              </w:rPr>
              <w:fldChar w:fldCharType="separate"/>
            </w:r>
            <w:r>
              <w:rPr>
                <w:noProof/>
                <w:webHidden/>
              </w:rPr>
              <w:t>102</w:t>
            </w:r>
            <w:r>
              <w:rPr>
                <w:noProof/>
                <w:webHidden/>
              </w:rPr>
              <w:fldChar w:fldCharType="end"/>
            </w:r>
          </w:hyperlink>
        </w:p>
        <w:p w14:paraId="06D42A7D" w14:textId="5CB9CC3B"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87" w:history="1">
            <w:r w:rsidRPr="00702681">
              <w:rPr>
                <w:rStyle w:val="Lienhypertexte"/>
                <w:noProof/>
              </w:rPr>
              <w:t>4.1.1</w:t>
            </w:r>
            <w:r>
              <w:rPr>
                <w:rFonts w:eastAsiaTheme="minorEastAsia" w:cstheme="minorBidi"/>
                <w:noProof/>
                <w:kern w:val="2"/>
                <w:sz w:val="24"/>
                <w:lang w:eastAsia="fr-FR"/>
                <w14:ligatures w14:val="standardContextual"/>
              </w:rPr>
              <w:tab/>
            </w:r>
            <w:r w:rsidRPr="00702681">
              <w:rPr>
                <w:rStyle w:val="Lienhypertexte"/>
                <w:noProof/>
              </w:rPr>
              <w:t>Projets d’adaptation prioritaires retenus dans le cadre de la CDN 3 0</w:t>
            </w:r>
            <w:r>
              <w:rPr>
                <w:noProof/>
                <w:webHidden/>
              </w:rPr>
              <w:tab/>
            </w:r>
            <w:r>
              <w:rPr>
                <w:noProof/>
                <w:webHidden/>
              </w:rPr>
              <w:fldChar w:fldCharType="begin"/>
            </w:r>
            <w:r>
              <w:rPr>
                <w:noProof/>
                <w:webHidden/>
              </w:rPr>
              <w:instrText xml:space="preserve"> PAGEREF _Toc234853887 \h </w:instrText>
            </w:r>
            <w:r>
              <w:rPr>
                <w:noProof/>
                <w:webHidden/>
              </w:rPr>
            </w:r>
            <w:r>
              <w:rPr>
                <w:noProof/>
                <w:webHidden/>
              </w:rPr>
              <w:fldChar w:fldCharType="separate"/>
            </w:r>
            <w:r>
              <w:rPr>
                <w:noProof/>
                <w:webHidden/>
              </w:rPr>
              <w:t>102</w:t>
            </w:r>
            <w:r>
              <w:rPr>
                <w:noProof/>
                <w:webHidden/>
              </w:rPr>
              <w:fldChar w:fldCharType="end"/>
            </w:r>
          </w:hyperlink>
        </w:p>
        <w:p w14:paraId="146EBE87" w14:textId="5C08B691"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88" w:history="1">
            <w:r w:rsidRPr="00702681">
              <w:rPr>
                <w:rStyle w:val="Lienhypertexte"/>
                <w:noProof/>
              </w:rPr>
              <w:t>4.1.2</w:t>
            </w:r>
            <w:r>
              <w:rPr>
                <w:rFonts w:eastAsiaTheme="minorEastAsia" w:cstheme="minorBidi"/>
                <w:noProof/>
                <w:kern w:val="2"/>
                <w:sz w:val="24"/>
                <w:lang w:eastAsia="fr-FR"/>
                <w14:ligatures w14:val="standardContextual"/>
              </w:rPr>
              <w:tab/>
            </w:r>
            <w:r w:rsidRPr="00702681">
              <w:rPr>
                <w:rStyle w:val="Lienhypertexte"/>
                <w:noProof/>
              </w:rPr>
              <w:t>Besoins de financement et conditionnalité</w:t>
            </w:r>
            <w:r>
              <w:rPr>
                <w:noProof/>
                <w:webHidden/>
              </w:rPr>
              <w:tab/>
            </w:r>
            <w:r>
              <w:rPr>
                <w:noProof/>
                <w:webHidden/>
              </w:rPr>
              <w:fldChar w:fldCharType="begin"/>
            </w:r>
            <w:r>
              <w:rPr>
                <w:noProof/>
                <w:webHidden/>
              </w:rPr>
              <w:instrText xml:space="preserve"> PAGEREF _Toc234853888 \h </w:instrText>
            </w:r>
            <w:r>
              <w:rPr>
                <w:noProof/>
                <w:webHidden/>
              </w:rPr>
            </w:r>
            <w:r>
              <w:rPr>
                <w:noProof/>
                <w:webHidden/>
              </w:rPr>
              <w:fldChar w:fldCharType="separate"/>
            </w:r>
            <w:r>
              <w:rPr>
                <w:noProof/>
                <w:webHidden/>
              </w:rPr>
              <w:t>109</w:t>
            </w:r>
            <w:r>
              <w:rPr>
                <w:noProof/>
                <w:webHidden/>
              </w:rPr>
              <w:fldChar w:fldCharType="end"/>
            </w:r>
          </w:hyperlink>
        </w:p>
        <w:p w14:paraId="778FEE99" w14:textId="18B9EBA1"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89" w:history="1">
            <w:r w:rsidRPr="00702681">
              <w:rPr>
                <w:rStyle w:val="Lienhypertexte"/>
                <w:noProof/>
              </w:rPr>
              <w:t>4.1.3</w:t>
            </w:r>
            <w:r>
              <w:rPr>
                <w:rFonts w:eastAsiaTheme="minorEastAsia" w:cstheme="minorBidi"/>
                <w:noProof/>
                <w:kern w:val="2"/>
                <w:sz w:val="24"/>
                <w:lang w:eastAsia="fr-FR"/>
                <w14:ligatures w14:val="standardContextual"/>
              </w:rPr>
              <w:tab/>
            </w:r>
            <w:r w:rsidRPr="00702681">
              <w:rPr>
                <w:rStyle w:val="Lienhypertexte"/>
                <w:noProof/>
              </w:rPr>
              <w:t>Risques climatiques ciblés</w:t>
            </w:r>
            <w:r>
              <w:rPr>
                <w:noProof/>
                <w:webHidden/>
              </w:rPr>
              <w:tab/>
            </w:r>
            <w:r>
              <w:rPr>
                <w:noProof/>
                <w:webHidden/>
              </w:rPr>
              <w:fldChar w:fldCharType="begin"/>
            </w:r>
            <w:r>
              <w:rPr>
                <w:noProof/>
                <w:webHidden/>
              </w:rPr>
              <w:instrText xml:space="preserve"> PAGEREF _Toc234853889 \h </w:instrText>
            </w:r>
            <w:r>
              <w:rPr>
                <w:noProof/>
                <w:webHidden/>
              </w:rPr>
            </w:r>
            <w:r>
              <w:rPr>
                <w:noProof/>
                <w:webHidden/>
              </w:rPr>
              <w:fldChar w:fldCharType="separate"/>
            </w:r>
            <w:r>
              <w:rPr>
                <w:noProof/>
                <w:webHidden/>
              </w:rPr>
              <w:t>110</w:t>
            </w:r>
            <w:r>
              <w:rPr>
                <w:noProof/>
                <w:webHidden/>
              </w:rPr>
              <w:fldChar w:fldCharType="end"/>
            </w:r>
          </w:hyperlink>
        </w:p>
        <w:p w14:paraId="67C14E34" w14:textId="73177FF9"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90" w:history="1">
            <w:r w:rsidRPr="00702681">
              <w:rPr>
                <w:rStyle w:val="Lienhypertexte"/>
                <w:noProof/>
              </w:rPr>
              <w:t>4.2.</w:t>
            </w:r>
            <w:r>
              <w:rPr>
                <w:rFonts w:eastAsiaTheme="minorEastAsia" w:cstheme="minorBidi"/>
                <w:b w:val="0"/>
                <w:bCs w:val="0"/>
                <w:noProof/>
                <w:kern w:val="2"/>
                <w:sz w:val="24"/>
                <w:lang w:eastAsia="fr-FR"/>
                <w14:ligatures w14:val="standardContextual"/>
              </w:rPr>
              <w:tab/>
            </w:r>
            <w:r w:rsidRPr="00702681">
              <w:rPr>
                <w:rStyle w:val="Lienhypertexte"/>
                <w:noProof/>
              </w:rPr>
              <w:t>Energie</w:t>
            </w:r>
            <w:r>
              <w:rPr>
                <w:noProof/>
                <w:webHidden/>
              </w:rPr>
              <w:tab/>
            </w:r>
            <w:r>
              <w:rPr>
                <w:noProof/>
                <w:webHidden/>
              </w:rPr>
              <w:fldChar w:fldCharType="begin"/>
            </w:r>
            <w:r>
              <w:rPr>
                <w:noProof/>
                <w:webHidden/>
              </w:rPr>
              <w:instrText xml:space="preserve"> PAGEREF _Toc234853890 \h </w:instrText>
            </w:r>
            <w:r>
              <w:rPr>
                <w:noProof/>
                <w:webHidden/>
              </w:rPr>
            </w:r>
            <w:r>
              <w:rPr>
                <w:noProof/>
                <w:webHidden/>
              </w:rPr>
              <w:fldChar w:fldCharType="separate"/>
            </w:r>
            <w:r>
              <w:rPr>
                <w:noProof/>
                <w:webHidden/>
              </w:rPr>
              <w:t>112</w:t>
            </w:r>
            <w:r>
              <w:rPr>
                <w:noProof/>
                <w:webHidden/>
              </w:rPr>
              <w:fldChar w:fldCharType="end"/>
            </w:r>
          </w:hyperlink>
        </w:p>
        <w:p w14:paraId="7DE20D02" w14:textId="6AD953B2"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91" w:history="1">
            <w:r w:rsidRPr="00702681">
              <w:rPr>
                <w:rStyle w:val="Lienhypertexte"/>
                <w:noProof/>
              </w:rPr>
              <w:t>4.3.</w:t>
            </w:r>
            <w:r>
              <w:rPr>
                <w:rFonts w:eastAsiaTheme="minorEastAsia" w:cstheme="minorBidi"/>
                <w:b w:val="0"/>
                <w:bCs w:val="0"/>
                <w:noProof/>
                <w:kern w:val="2"/>
                <w:sz w:val="24"/>
                <w:lang w:eastAsia="fr-FR"/>
                <w14:ligatures w14:val="standardContextual"/>
              </w:rPr>
              <w:tab/>
            </w:r>
            <w:r w:rsidRPr="00702681">
              <w:rPr>
                <w:rStyle w:val="Lienhypertexte"/>
                <w:noProof/>
              </w:rPr>
              <w:t>Météo</w:t>
            </w:r>
            <w:r>
              <w:rPr>
                <w:noProof/>
                <w:webHidden/>
              </w:rPr>
              <w:tab/>
            </w:r>
            <w:r>
              <w:rPr>
                <w:noProof/>
                <w:webHidden/>
              </w:rPr>
              <w:fldChar w:fldCharType="begin"/>
            </w:r>
            <w:r>
              <w:rPr>
                <w:noProof/>
                <w:webHidden/>
              </w:rPr>
              <w:instrText xml:space="preserve"> PAGEREF _Toc234853891 \h </w:instrText>
            </w:r>
            <w:r>
              <w:rPr>
                <w:noProof/>
                <w:webHidden/>
              </w:rPr>
            </w:r>
            <w:r>
              <w:rPr>
                <w:noProof/>
                <w:webHidden/>
              </w:rPr>
              <w:fldChar w:fldCharType="separate"/>
            </w:r>
            <w:r>
              <w:rPr>
                <w:noProof/>
                <w:webHidden/>
              </w:rPr>
              <w:t>112</w:t>
            </w:r>
            <w:r>
              <w:rPr>
                <w:noProof/>
                <w:webHidden/>
              </w:rPr>
              <w:fldChar w:fldCharType="end"/>
            </w:r>
          </w:hyperlink>
        </w:p>
        <w:p w14:paraId="641A0A0C" w14:textId="1C290A17"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92" w:history="1">
            <w:r w:rsidRPr="00702681">
              <w:rPr>
                <w:rStyle w:val="Lienhypertexte"/>
                <w:noProof/>
              </w:rPr>
              <w:t>4.4.</w:t>
            </w:r>
            <w:r>
              <w:rPr>
                <w:rFonts w:eastAsiaTheme="minorEastAsia" w:cstheme="minorBidi"/>
                <w:b w:val="0"/>
                <w:bCs w:val="0"/>
                <w:noProof/>
                <w:kern w:val="2"/>
                <w:sz w:val="24"/>
                <w:lang w:eastAsia="fr-FR"/>
                <w14:ligatures w14:val="standardContextual"/>
              </w:rPr>
              <w:tab/>
            </w:r>
            <w:r w:rsidRPr="00702681">
              <w:rPr>
                <w:rStyle w:val="Lienhypertexte"/>
                <w:noProof/>
              </w:rPr>
              <w:t>Société civile et collectivités territoriales</w:t>
            </w:r>
            <w:r>
              <w:rPr>
                <w:noProof/>
                <w:webHidden/>
              </w:rPr>
              <w:tab/>
            </w:r>
            <w:r>
              <w:rPr>
                <w:noProof/>
                <w:webHidden/>
              </w:rPr>
              <w:fldChar w:fldCharType="begin"/>
            </w:r>
            <w:r>
              <w:rPr>
                <w:noProof/>
                <w:webHidden/>
              </w:rPr>
              <w:instrText xml:space="preserve"> PAGEREF _Toc234853892 \h </w:instrText>
            </w:r>
            <w:r>
              <w:rPr>
                <w:noProof/>
                <w:webHidden/>
              </w:rPr>
            </w:r>
            <w:r>
              <w:rPr>
                <w:noProof/>
                <w:webHidden/>
              </w:rPr>
              <w:fldChar w:fldCharType="separate"/>
            </w:r>
            <w:r>
              <w:rPr>
                <w:noProof/>
                <w:webHidden/>
              </w:rPr>
              <w:t>112</w:t>
            </w:r>
            <w:r>
              <w:rPr>
                <w:noProof/>
                <w:webHidden/>
              </w:rPr>
              <w:fldChar w:fldCharType="end"/>
            </w:r>
          </w:hyperlink>
        </w:p>
        <w:p w14:paraId="5600662B" w14:textId="36818CC4"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93" w:history="1">
            <w:r w:rsidRPr="00702681">
              <w:rPr>
                <w:rStyle w:val="Lienhypertexte"/>
                <w:noProof/>
              </w:rPr>
              <w:t>4.5.</w:t>
            </w:r>
            <w:r>
              <w:rPr>
                <w:rFonts w:eastAsiaTheme="minorEastAsia" w:cstheme="minorBidi"/>
                <w:b w:val="0"/>
                <w:bCs w:val="0"/>
                <w:noProof/>
                <w:kern w:val="2"/>
                <w:sz w:val="24"/>
                <w:lang w:eastAsia="fr-FR"/>
                <w14:ligatures w14:val="standardContextual"/>
              </w:rPr>
              <w:tab/>
            </w:r>
            <w:r w:rsidRPr="00702681">
              <w:rPr>
                <w:rStyle w:val="Lienhypertexte"/>
                <w:noProof/>
              </w:rPr>
              <w:t>Déchets</w:t>
            </w:r>
            <w:r>
              <w:rPr>
                <w:noProof/>
                <w:webHidden/>
              </w:rPr>
              <w:tab/>
            </w:r>
            <w:r>
              <w:rPr>
                <w:noProof/>
                <w:webHidden/>
              </w:rPr>
              <w:fldChar w:fldCharType="begin"/>
            </w:r>
            <w:r>
              <w:rPr>
                <w:noProof/>
                <w:webHidden/>
              </w:rPr>
              <w:instrText xml:space="preserve"> PAGEREF _Toc234853893 \h </w:instrText>
            </w:r>
            <w:r>
              <w:rPr>
                <w:noProof/>
                <w:webHidden/>
              </w:rPr>
            </w:r>
            <w:r>
              <w:rPr>
                <w:noProof/>
                <w:webHidden/>
              </w:rPr>
              <w:fldChar w:fldCharType="separate"/>
            </w:r>
            <w:r>
              <w:rPr>
                <w:noProof/>
                <w:webHidden/>
              </w:rPr>
              <w:t>112</w:t>
            </w:r>
            <w:r>
              <w:rPr>
                <w:noProof/>
                <w:webHidden/>
              </w:rPr>
              <w:fldChar w:fldCharType="end"/>
            </w:r>
          </w:hyperlink>
        </w:p>
        <w:p w14:paraId="685C6A77" w14:textId="1E0B856B"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94" w:history="1">
            <w:r w:rsidRPr="00702681">
              <w:rPr>
                <w:rStyle w:val="Lienhypertexte"/>
                <w:noProof/>
              </w:rPr>
              <w:t>4.5.1</w:t>
            </w:r>
            <w:r>
              <w:rPr>
                <w:rFonts w:eastAsiaTheme="minorEastAsia" w:cstheme="minorBidi"/>
                <w:noProof/>
                <w:kern w:val="2"/>
                <w:sz w:val="24"/>
                <w:lang w:eastAsia="fr-FR"/>
                <w14:ligatures w14:val="standardContextual"/>
              </w:rPr>
              <w:tab/>
            </w:r>
            <w:r w:rsidRPr="00702681">
              <w:rPr>
                <w:rStyle w:val="Lienhypertexte"/>
                <w:noProof/>
              </w:rPr>
              <w:t>Projets d’adaptation prioritaires retenus dans le cadre de la CDN 3 0</w:t>
            </w:r>
            <w:r>
              <w:rPr>
                <w:noProof/>
                <w:webHidden/>
              </w:rPr>
              <w:tab/>
            </w:r>
            <w:r>
              <w:rPr>
                <w:noProof/>
                <w:webHidden/>
              </w:rPr>
              <w:fldChar w:fldCharType="begin"/>
            </w:r>
            <w:r>
              <w:rPr>
                <w:noProof/>
                <w:webHidden/>
              </w:rPr>
              <w:instrText xml:space="preserve"> PAGEREF _Toc234853894 \h </w:instrText>
            </w:r>
            <w:r>
              <w:rPr>
                <w:noProof/>
                <w:webHidden/>
              </w:rPr>
            </w:r>
            <w:r>
              <w:rPr>
                <w:noProof/>
                <w:webHidden/>
              </w:rPr>
              <w:fldChar w:fldCharType="separate"/>
            </w:r>
            <w:r>
              <w:rPr>
                <w:noProof/>
                <w:webHidden/>
              </w:rPr>
              <w:t>112</w:t>
            </w:r>
            <w:r>
              <w:rPr>
                <w:noProof/>
                <w:webHidden/>
              </w:rPr>
              <w:fldChar w:fldCharType="end"/>
            </w:r>
          </w:hyperlink>
        </w:p>
        <w:p w14:paraId="3C6D582F" w14:textId="0C94D6A9"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95" w:history="1">
            <w:r w:rsidRPr="00702681">
              <w:rPr>
                <w:rStyle w:val="Lienhypertexte"/>
                <w:noProof/>
              </w:rPr>
              <w:t>4.5.2</w:t>
            </w:r>
            <w:r>
              <w:rPr>
                <w:rFonts w:eastAsiaTheme="minorEastAsia" w:cstheme="minorBidi"/>
                <w:noProof/>
                <w:kern w:val="2"/>
                <w:sz w:val="24"/>
                <w:lang w:eastAsia="fr-FR"/>
                <w14:ligatures w14:val="standardContextual"/>
              </w:rPr>
              <w:tab/>
            </w:r>
            <w:r w:rsidRPr="00702681">
              <w:rPr>
                <w:rStyle w:val="Lienhypertexte"/>
                <w:noProof/>
              </w:rPr>
              <w:t>Besoins de financement et conditionnalité</w:t>
            </w:r>
            <w:r>
              <w:rPr>
                <w:noProof/>
                <w:webHidden/>
              </w:rPr>
              <w:tab/>
            </w:r>
            <w:r>
              <w:rPr>
                <w:noProof/>
                <w:webHidden/>
              </w:rPr>
              <w:fldChar w:fldCharType="begin"/>
            </w:r>
            <w:r>
              <w:rPr>
                <w:noProof/>
                <w:webHidden/>
              </w:rPr>
              <w:instrText xml:space="preserve"> PAGEREF _Toc234853895 \h </w:instrText>
            </w:r>
            <w:r>
              <w:rPr>
                <w:noProof/>
                <w:webHidden/>
              </w:rPr>
            </w:r>
            <w:r>
              <w:rPr>
                <w:noProof/>
                <w:webHidden/>
              </w:rPr>
              <w:fldChar w:fldCharType="separate"/>
            </w:r>
            <w:r>
              <w:rPr>
                <w:noProof/>
                <w:webHidden/>
              </w:rPr>
              <w:t>115</w:t>
            </w:r>
            <w:r>
              <w:rPr>
                <w:noProof/>
                <w:webHidden/>
              </w:rPr>
              <w:fldChar w:fldCharType="end"/>
            </w:r>
          </w:hyperlink>
        </w:p>
        <w:p w14:paraId="49DCCDB4" w14:textId="0C011690"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96" w:history="1">
            <w:r w:rsidRPr="00702681">
              <w:rPr>
                <w:rStyle w:val="Lienhypertexte"/>
                <w:noProof/>
              </w:rPr>
              <w:t>4.5.3</w:t>
            </w:r>
            <w:r>
              <w:rPr>
                <w:rFonts w:eastAsiaTheme="minorEastAsia" w:cstheme="minorBidi"/>
                <w:noProof/>
                <w:kern w:val="2"/>
                <w:sz w:val="24"/>
                <w:lang w:eastAsia="fr-FR"/>
                <w14:ligatures w14:val="standardContextual"/>
              </w:rPr>
              <w:tab/>
            </w:r>
            <w:r w:rsidRPr="00702681">
              <w:rPr>
                <w:rStyle w:val="Lienhypertexte"/>
                <w:noProof/>
              </w:rPr>
              <w:t>Risques climatiques ciblés</w:t>
            </w:r>
            <w:r>
              <w:rPr>
                <w:noProof/>
                <w:webHidden/>
              </w:rPr>
              <w:tab/>
            </w:r>
            <w:r>
              <w:rPr>
                <w:noProof/>
                <w:webHidden/>
              </w:rPr>
              <w:fldChar w:fldCharType="begin"/>
            </w:r>
            <w:r>
              <w:rPr>
                <w:noProof/>
                <w:webHidden/>
              </w:rPr>
              <w:instrText xml:space="preserve"> PAGEREF _Toc234853896 \h </w:instrText>
            </w:r>
            <w:r>
              <w:rPr>
                <w:noProof/>
                <w:webHidden/>
              </w:rPr>
            </w:r>
            <w:r>
              <w:rPr>
                <w:noProof/>
                <w:webHidden/>
              </w:rPr>
              <w:fldChar w:fldCharType="separate"/>
            </w:r>
            <w:r>
              <w:rPr>
                <w:noProof/>
                <w:webHidden/>
              </w:rPr>
              <w:t>115</w:t>
            </w:r>
            <w:r>
              <w:rPr>
                <w:noProof/>
                <w:webHidden/>
              </w:rPr>
              <w:fldChar w:fldCharType="end"/>
            </w:r>
          </w:hyperlink>
        </w:p>
        <w:p w14:paraId="36CC48EF" w14:textId="32EA94EA"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897" w:history="1">
            <w:r w:rsidRPr="00702681">
              <w:rPr>
                <w:rStyle w:val="Lienhypertexte"/>
                <w:noProof/>
              </w:rPr>
              <w:t>4.6.</w:t>
            </w:r>
            <w:r>
              <w:rPr>
                <w:rFonts w:eastAsiaTheme="minorEastAsia" w:cstheme="minorBidi"/>
                <w:b w:val="0"/>
                <w:bCs w:val="0"/>
                <w:noProof/>
                <w:kern w:val="2"/>
                <w:sz w:val="24"/>
                <w:lang w:eastAsia="fr-FR"/>
                <w14:ligatures w14:val="standardContextual"/>
              </w:rPr>
              <w:tab/>
            </w:r>
            <w:r w:rsidRPr="00702681">
              <w:rPr>
                <w:rStyle w:val="Lienhypertexte"/>
                <w:noProof/>
              </w:rPr>
              <w:t>Eau</w:t>
            </w:r>
            <w:r>
              <w:rPr>
                <w:noProof/>
                <w:webHidden/>
              </w:rPr>
              <w:tab/>
            </w:r>
            <w:r>
              <w:rPr>
                <w:noProof/>
                <w:webHidden/>
              </w:rPr>
              <w:fldChar w:fldCharType="begin"/>
            </w:r>
            <w:r>
              <w:rPr>
                <w:noProof/>
                <w:webHidden/>
              </w:rPr>
              <w:instrText xml:space="preserve"> PAGEREF _Toc234853897 \h </w:instrText>
            </w:r>
            <w:r>
              <w:rPr>
                <w:noProof/>
                <w:webHidden/>
              </w:rPr>
            </w:r>
            <w:r>
              <w:rPr>
                <w:noProof/>
                <w:webHidden/>
              </w:rPr>
              <w:fldChar w:fldCharType="separate"/>
            </w:r>
            <w:r>
              <w:rPr>
                <w:noProof/>
                <w:webHidden/>
              </w:rPr>
              <w:t>116</w:t>
            </w:r>
            <w:r>
              <w:rPr>
                <w:noProof/>
                <w:webHidden/>
              </w:rPr>
              <w:fldChar w:fldCharType="end"/>
            </w:r>
          </w:hyperlink>
        </w:p>
        <w:p w14:paraId="5616CACB" w14:textId="2E47C68E"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98" w:history="1">
            <w:r w:rsidRPr="00702681">
              <w:rPr>
                <w:rStyle w:val="Lienhypertexte"/>
                <w:noProof/>
              </w:rPr>
              <w:t>4.6.1</w:t>
            </w:r>
            <w:r>
              <w:rPr>
                <w:rFonts w:eastAsiaTheme="minorEastAsia" w:cstheme="minorBidi"/>
                <w:noProof/>
                <w:kern w:val="2"/>
                <w:sz w:val="24"/>
                <w:lang w:eastAsia="fr-FR"/>
                <w14:ligatures w14:val="standardContextual"/>
              </w:rPr>
              <w:tab/>
            </w:r>
            <w:r w:rsidRPr="00702681">
              <w:rPr>
                <w:rStyle w:val="Lienhypertexte"/>
                <w:noProof/>
              </w:rPr>
              <w:t>Projets d’adaptation prioritaires retenus dans le cadre de la CDN 3 0</w:t>
            </w:r>
            <w:r>
              <w:rPr>
                <w:noProof/>
                <w:webHidden/>
              </w:rPr>
              <w:tab/>
            </w:r>
            <w:r>
              <w:rPr>
                <w:noProof/>
                <w:webHidden/>
              </w:rPr>
              <w:fldChar w:fldCharType="begin"/>
            </w:r>
            <w:r>
              <w:rPr>
                <w:noProof/>
                <w:webHidden/>
              </w:rPr>
              <w:instrText xml:space="preserve"> PAGEREF _Toc234853898 \h </w:instrText>
            </w:r>
            <w:r>
              <w:rPr>
                <w:noProof/>
                <w:webHidden/>
              </w:rPr>
            </w:r>
            <w:r>
              <w:rPr>
                <w:noProof/>
                <w:webHidden/>
              </w:rPr>
              <w:fldChar w:fldCharType="separate"/>
            </w:r>
            <w:r>
              <w:rPr>
                <w:noProof/>
                <w:webHidden/>
              </w:rPr>
              <w:t>116</w:t>
            </w:r>
            <w:r>
              <w:rPr>
                <w:noProof/>
                <w:webHidden/>
              </w:rPr>
              <w:fldChar w:fldCharType="end"/>
            </w:r>
          </w:hyperlink>
        </w:p>
        <w:p w14:paraId="436EC302" w14:textId="1536972B"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899" w:history="1">
            <w:r w:rsidRPr="00702681">
              <w:rPr>
                <w:rStyle w:val="Lienhypertexte"/>
                <w:noProof/>
              </w:rPr>
              <w:t>4.6.2</w:t>
            </w:r>
            <w:r>
              <w:rPr>
                <w:rFonts w:eastAsiaTheme="minorEastAsia" w:cstheme="minorBidi"/>
                <w:noProof/>
                <w:kern w:val="2"/>
                <w:sz w:val="24"/>
                <w:lang w:eastAsia="fr-FR"/>
                <w14:ligatures w14:val="standardContextual"/>
              </w:rPr>
              <w:tab/>
            </w:r>
            <w:r w:rsidRPr="00702681">
              <w:rPr>
                <w:rStyle w:val="Lienhypertexte"/>
                <w:noProof/>
              </w:rPr>
              <w:t>Besoins de financement et conditionnalité</w:t>
            </w:r>
            <w:r>
              <w:rPr>
                <w:noProof/>
                <w:webHidden/>
              </w:rPr>
              <w:tab/>
            </w:r>
            <w:r>
              <w:rPr>
                <w:noProof/>
                <w:webHidden/>
              </w:rPr>
              <w:fldChar w:fldCharType="begin"/>
            </w:r>
            <w:r>
              <w:rPr>
                <w:noProof/>
                <w:webHidden/>
              </w:rPr>
              <w:instrText xml:space="preserve"> PAGEREF _Toc234853899 \h </w:instrText>
            </w:r>
            <w:r>
              <w:rPr>
                <w:noProof/>
                <w:webHidden/>
              </w:rPr>
            </w:r>
            <w:r>
              <w:rPr>
                <w:noProof/>
                <w:webHidden/>
              </w:rPr>
              <w:fldChar w:fldCharType="separate"/>
            </w:r>
            <w:r>
              <w:rPr>
                <w:noProof/>
                <w:webHidden/>
              </w:rPr>
              <w:t>118</w:t>
            </w:r>
            <w:r>
              <w:rPr>
                <w:noProof/>
                <w:webHidden/>
              </w:rPr>
              <w:fldChar w:fldCharType="end"/>
            </w:r>
          </w:hyperlink>
        </w:p>
        <w:p w14:paraId="0B3C07D6" w14:textId="69363598"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900" w:history="1">
            <w:r w:rsidRPr="00702681">
              <w:rPr>
                <w:rStyle w:val="Lienhypertexte"/>
                <w:noProof/>
              </w:rPr>
              <w:t>4.6.3</w:t>
            </w:r>
            <w:r>
              <w:rPr>
                <w:rFonts w:eastAsiaTheme="minorEastAsia" w:cstheme="minorBidi"/>
                <w:noProof/>
                <w:kern w:val="2"/>
                <w:sz w:val="24"/>
                <w:lang w:eastAsia="fr-FR"/>
                <w14:ligatures w14:val="standardContextual"/>
              </w:rPr>
              <w:tab/>
            </w:r>
            <w:r w:rsidRPr="00702681">
              <w:rPr>
                <w:rStyle w:val="Lienhypertexte"/>
                <w:noProof/>
              </w:rPr>
              <w:t>Risques climatiques ciblés</w:t>
            </w:r>
            <w:r>
              <w:rPr>
                <w:noProof/>
                <w:webHidden/>
              </w:rPr>
              <w:tab/>
            </w:r>
            <w:r>
              <w:rPr>
                <w:noProof/>
                <w:webHidden/>
              </w:rPr>
              <w:fldChar w:fldCharType="begin"/>
            </w:r>
            <w:r>
              <w:rPr>
                <w:noProof/>
                <w:webHidden/>
              </w:rPr>
              <w:instrText xml:space="preserve"> PAGEREF _Toc234853900 \h </w:instrText>
            </w:r>
            <w:r>
              <w:rPr>
                <w:noProof/>
                <w:webHidden/>
              </w:rPr>
            </w:r>
            <w:r>
              <w:rPr>
                <w:noProof/>
                <w:webHidden/>
              </w:rPr>
              <w:fldChar w:fldCharType="separate"/>
            </w:r>
            <w:r>
              <w:rPr>
                <w:noProof/>
                <w:webHidden/>
              </w:rPr>
              <w:t>118</w:t>
            </w:r>
            <w:r>
              <w:rPr>
                <w:noProof/>
                <w:webHidden/>
              </w:rPr>
              <w:fldChar w:fldCharType="end"/>
            </w:r>
          </w:hyperlink>
        </w:p>
        <w:p w14:paraId="190543A2" w14:textId="6F0F8EAB"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901" w:history="1">
            <w:r w:rsidRPr="00702681">
              <w:rPr>
                <w:rStyle w:val="Lienhypertexte"/>
                <w:noProof/>
              </w:rPr>
              <w:t>4.7.</w:t>
            </w:r>
            <w:r>
              <w:rPr>
                <w:rFonts w:eastAsiaTheme="minorEastAsia" w:cstheme="minorBidi"/>
                <w:b w:val="0"/>
                <w:bCs w:val="0"/>
                <w:noProof/>
                <w:kern w:val="2"/>
                <w:sz w:val="24"/>
                <w:lang w:eastAsia="fr-FR"/>
                <w14:ligatures w14:val="standardContextual"/>
              </w:rPr>
              <w:tab/>
            </w:r>
            <w:r w:rsidRPr="00702681">
              <w:rPr>
                <w:rStyle w:val="Lienhypertexte"/>
                <w:noProof/>
              </w:rPr>
              <w:t>Biodiversité</w:t>
            </w:r>
            <w:r>
              <w:rPr>
                <w:noProof/>
                <w:webHidden/>
              </w:rPr>
              <w:tab/>
            </w:r>
            <w:r>
              <w:rPr>
                <w:noProof/>
                <w:webHidden/>
              </w:rPr>
              <w:fldChar w:fldCharType="begin"/>
            </w:r>
            <w:r>
              <w:rPr>
                <w:noProof/>
                <w:webHidden/>
              </w:rPr>
              <w:instrText xml:space="preserve"> PAGEREF _Toc234853901 \h </w:instrText>
            </w:r>
            <w:r>
              <w:rPr>
                <w:noProof/>
                <w:webHidden/>
              </w:rPr>
            </w:r>
            <w:r>
              <w:rPr>
                <w:noProof/>
                <w:webHidden/>
              </w:rPr>
              <w:fldChar w:fldCharType="separate"/>
            </w:r>
            <w:r>
              <w:rPr>
                <w:noProof/>
                <w:webHidden/>
              </w:rPr>
              <w:t>119</w:t>
            </w:r>
            <w:r>
              <w:rPr>
                <w:noProof/>
                <w:webHidden/>
              </w:rPr>
              <w:fldChar w:fldCharType="end"/>
            </w:r>
          </w:hyperlink>
        </w:p>
        <w:p w14:paraId="7A005BBD" w14:textId="51394A93"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902" w:history="1">
            <w:r w:rsidRPr="00702681">
              <w:rPr>
                <w:rStyle w:val="Lienhypertexte"/>
                <w:noProof/>
              </w:rPr>
              <w:t>4.7.1</w:t>
            </w:r>
            <w:r>
              <w:rPr>
                <w:rFonts w:eastAsiaTheme="minorEastAsia" w:cstheme="minorBidi"/>
                <w:noProof/>
                <w:kern w:val="2"/>
                <w:sz w:val="24"/>
                <w:lang w:eastAsia="fr-FR"/>
                <w14:ligatures w14:val="standardContextual"/>
              </w:rPr>
              <w:tab/>
            </w:r>
            <w:r w:rsidRPr="00702681">
              <w:rPr>
                <w:rStyle w:val="Lienhypertexte"/>
                <w:noProof/>
              </w:rPr>
              <w:t>Projets d’adaptation prioritaires retenus dans le cadre de la CDN 3 0</w:t>
            </w:r>
            <w:r>
              <w:rPr>
                <w:noProof/>
                <w:webHidden/>
              </w:rPr>
              <w:tab/>
            </w:r>
            <w:r>
              <w:rPr>
                <w:noProof/>
                <w:webHidden/>
              </w:rPr>
              <w:fldChar w:fldCharType="begin"/>
            </w:r>
            <w:r>
              <w:rPr>
                <w:noProof/>
                <w:webHidden/>
              </w:rPr>
              <w:instrText xml:space="preserve"> PAGEREF _Toc234853902 \h </w:instrText>
            </w:r>
            <w:r>
              <w:rPr>
                <w:noProof/>
                <w:webHidden/>
              </w:rPr>
            </w:r>
            <w:r>
              <w:rPr>
                <w:noProof/>
                <w:webHidden/>
              </w:rPr>
              <w:fldChar w:fldCharType="separate"/>
            </w:r>
            <w:r>
              <w:rPr>
                <w:noProof/>
                <w:webHidden/>
              </w:rPr>
              <w:t>119</w:t>
            </w:r>
            <w:r>
              <w:rPr>
                <w:noProof/>
                <w:webHidden/>
              </w:rPr>
              <w:fldChar w:fldCharType="end"/>
            </w:r>
          </w:hyperlink>
        </w:p>
        <w:p w14:paraId="7ACC6335" w14:textId="6F542A32"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903" w:history="1">
            <w:r w:rsidRPr="00702681">
              <w:rPr>
                <w:rStyle w:val="Lienhypertexte"/>
                <w:noProof/>
              </w:rPr>
              <w:t>4.7.2</w:t>
            </w:r>
            <w:r>
              <w:rPr>
                <w:rFonts w:eastAsiaTheme="minorEastAsia" w:cstheme="minorBidi"/>
                <w:noProof/>
                <w:kern w:val="2"/>
                <w:sz w:val="24"/>
                <w:lang w:eastAsia="fr-FR"/>
                <w14:ligatures w14:val="standardContextual"/>
              </w:rPr>
              <w:tab/>
            </w:r>
            <w:r w:rsidRPr="00702681">
              <w:rPr>
                <w:rStyle w:val="Lienhypertexte"/>
                <w:noProof/>
              </w:rPr>
              <w:t>Besoins de financement et conditionnalité</w:t>
            </w:r>
            <w:r>
              <w:rPr>
                <w:noProof/>
                <w:webHidden/>
              </w:rPr>
              <w:tab/>
            </w:r>
            <w:r>
              <w:rPr>
                <w:noProof/>
                <w:webHidden/>
              </w:rPr>
              <w:fldChar w:fldCharType="begin"/>
            </w:r>
            <w:r>
              <w:rPr>
                <w:noProof/>
                <w:webHidden/>
              </w:rPr>
              <w:instrText xml:space="preserve"> PAGEREF _Toc234853903 \h </w:instrText>
            </w:r>
            <w:r>
              <w:rPr>
                <w:noProof/>
                <w:webHidden/>
              </w:rPr>
            </w:r>
            <w:r>
              <w:rPr>
                <w:noProof/>
                <w:webHidden/>
              </w:rPr>
              <w:fldChar w:fldCharType="separate"/>
            </w:r>
            <w:r>
              <w:rPr>
                <w:noProof/>
                <w:webHidden/>
              </w:rPr>
              <w:t>119</w:t>
            </w:r>
            <w:r>
              <w:rPr>
                <w:noProof/>
                <w:webHidden/>
              </w:rPr>
              <w:fldChar w:fldCharType="end"/>
            </w:r>
          </w:hyperlink>
        </w:p>
        <w:p w14:paraId="0E06EAB5" w14:textId="5DF8CC3D"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904" w:history="1">
            <w:r w:rsidRPr="00702681">
              <w:rPr>
                <w:rStyle w:val="Lienhypertexte"/>
                <w:noProof/>
              </w:rPr>
              <w:t>4.7.3</w:t>
            </w:r>
            <w:r>
              <w:rPr>
                <w:rFonts w:eastAsiaTheme="minorEastAsia" w:cstheme="minorBidi"/>
                <w:noProof/>
                <w:kern w:val="2"/>
                <w:sz w:val="24"/>
                <w:lang w:eastAsia="fr-FR"/>
                <w14:ligatures w14:val="standardContextual"/>
              </w:rPr>
              <w:tab/>
            </w:r>
            <w:r w:rsidRPr="00702681">
              <w:rPr>
                <w:rStyle w:val="Lienhypertexte"/>
                <w:noProof/>
              </w:rPr>
              <w:t>Risques climatiques ciblés</w:t>
            </w:r>
            <w:r>
              <w:rPr>
                <w:noProof/>
                <w:webHidden/>
              </w:rPr>
              <w:tab/>
            </w:r>
            <w:r>
              <w:rPr>
                <w:noProof/>
                <w:webHidden/>
              </w:rPr>
              <w:fldChar w:fldCharType="begin"/>
            </w:r>
            <w:r>
              <w:rPr>
                <w:noProof/>
                <w:webHidden/>
              </w:rPr>
              <w:instrText xml:space="preserve"> PAGEREF _Toc234853904 \h </w:instrText>
            </w:r>
            <w:r>
              <w:rPr>
                <w:noProof/>
                <w:webHidden/>
              </w:rPr>
            </w:r>
            <w:r>
              <w:rPr>
                <w:noProof/>
                <w:webHidden/>
              </w:rPr>
              <w:fldChar w:fldCharType="separate"/>
            </w:r>
            <w:r>
              <w:rPr>
                <w:noProof/>
                <w:webHidden/>
              </w:rPr>
              <w:t>120</w:t>
            </w:r>
            <w:r>
              <w:rPr>
                <w:noProof/>
                <w:webHidden/>
              </w:rPr>
              <w:fldChar w:fldCharType="end"/>
            </w:r>
          </w:hyperlink>
        </w:p>
        <w:p w14:paraId="3A66DE5F" w14:textId="6019EA86"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905" w:history="1">
            <w:r w:rsidRPr="00702681">
              <w:rPr>
                <w:rStyle w:val="Lienhypertexte"/>
                <w:noProof/>
              </w:rPr>
              <w:t>4.8.</w:t>
            </w:r>
            <w:r>
              <w:rPr>
                <w:rFonts w:eastAsiaTheme="minorEastAsia" w:cstheme="minorBidi"/>
                <w:b w:val="0"/>
                <w:bCs w:val="0"/>
                <w:noProof/>
                <w:kern w:val="2"/>
                <w:sz w:val="24"/>
                <w:lang w:eastAsia="fr-FR"/>
                <w14:ligatures w14:val="standardContextual"/>
              </w:rPr>
              <w:tab/>
            </w:r>
            <w:r w:rsidRPr="00702681">
              <w:rPr>
                <w:rStyle w:val="Lienhypertexte"/>
                <w:noProof/>
              </w:rPr>
              <w:t>Infrastructures</w:t>
            </w:r>
            <w:r>
              <w:rPr>
                <w:noProof/>
                <w:webHidden/>
              </w:rPr>
              <w:tab/>
            </w:r>
            <w:r>
              <w:rPr>
                <w:noProof/>
                <w:webHidden/>
              </w:rPr>
              <w:fldChar w:fldCharType="begin"/>
            </w:r>
            <w:r>
              <w:rPr>
                <w:noProof/>
                <w:webHidden/>
              </w:rPr>
              <w:instrText xml:space="preserve"> PAGEREF _Toc234853905 \h </w:instrText>
            </w:r>
            <w:r>
              <w:rPr>
                <w:noProof/>
                <w:webHidden/>
              </w:rPr>
            </w:r>
            <w:r>
              <w:rPr>
                <w:noProof/>
                <w:webHidden/>
              </w:rPr>
              <w:fldChar w:fldCharType="separate"/>
            </w:r>
            <w:r>
              <w:rPr>
                <w:noProof/>
                <w:webHidden/>
              </w:rPr>
              <w:t>120</w:t>
            </w:r>
            <w:r>
              <w:rPr>
                <w:noProof/>
                <w:webHidden/>
              </w:rPr>
              <w:fldChar w:fldCharType="end"/>
            </w:r>
          </w:hyperlink>
        </w:p>
        <w:p w14:paraId="176DBA55" w14:textId="097122DB"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906" w:history="1">
            <w:r w:rsidRPr="00702681">
              <w:rPr>
                <w:rStyle w:val="Lienhypertexte"/>
                <w:noProof/>
              </w:rPr>
              <w:t>4.8.1</w:t>
            </w:r>
            <w:r>
              <w:rPr>
                <w:rFonts w:eastAsiaTheme="minorEastAsia" w:cstheme="minorBidi"/>
                <w:noProof/>
                <w:kern w:val="2"/>
                <w:sz w:val="24"/>
                <w:lang w:eastAsia="fr-FR"/>
                <w14:ligatures w14:val="standardContextual"/>
              </w:rPr>
              <w:tab/>
            </w:r>
            <w:r w:rsidRPr="00702681">
              <w:rPr>
                <w:rStyle w:val="Lienhypertexte"/>
                <w:noProof/>
              </w:rPr>
              <w:t>Projets d’adaptation prioritaires retenus dans le cadre de la CDN 3 0</w:t>
            </w:r>
            <w:r>
              <w:rPr>
                <w:noProof/>
                <w:webHidden/>
              </w:rPr>
              <w:tab/>
            </w:r>
            <w:r>
              <w:rPr>
                <w:noProof/>
                <w:webHidden/>
              </w:rPr>
              <w:fldChar w:fldCharType="begin"/>
            </w:r>
            <w:r>
              <w:rPr>
                <w:noProof/>
                <w:webHidden/>
              </w:rPr>
              <w:instrText xml:space="preserve"> PAGEREF _Toc234853906 \h </w:instrText>
            </w:r>
            <w:r>
              <w:rPr>
                <w:noProof/>
                <w:webHidden/>
              </w:rPr>
            </w:r>
            <w:r>
              <w:rPr>
                <w:noProof/>
                <w:webHidden/>
              </w:rPr>
              <w:fldChar w:fldCharType="separate"/>
            </w:r>
            <w:r>
              <w:rPr>
                <w:noProof/>
                <w:webHidden/>
              </w:rPr>
              <w:t>120</w:t>
            </w:r>
            <w:r>
              <w:rPr>
                <w:noProof/>
                <w:webHidden/>
              </w:rPr>
              <w:fldChar w:fldCharType="end"/>
            </w:r>
          </w:hyperlink>
        </w:p>
        <w:p w14:paraId="6791FDDB" w14:textId="0D202CF7"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907" w:history="1">
            <w:r w:rsidRPr="00702681">
              <w:rPr>
                <w:rStyle w:val="Lienhypertexte"/>
                <w:noProof/>
              </w:rPr>
              <w:t>4.8.2</w:t>
            </w:r>
            <w:r>
              <w:rPr>
                <w:rFonts w:eastAsiaTheme="minorEastAsia" w:cstheme="minorBidi"/>
                <w:noProof/>
                <w:kern w:val="2"/>
                <w:sz w:val="24"/>
                <w:lang w:eastAsia="fr-FR"/>
                <w14:ligatures w14:val="standardContextual"/>
              </w:rPr>
              <w:tab/>
            </w:r>
            <w:r w:rsidRPr="00702681">
              <w:rPr>
                <w:rStyle w:val="Lienhypertexte"/>
                <w:noProof/>
              </w:rPr>
              <w:t>Besoins de financement et conditionnalité</w:t>
            </w:r>
            <w:r>
              <w:rPr>
                <w:noProof/>
                <w:webHidden/>
              </w:rPr>
              <w:tab/>
            </w:r>
            <w:r>
              <w:rPr>
                <w:noProof/>
                <w:webHidden/>
              </w:rPr>
              <w:fldChar w:fldCharType="begin"/>
            </w:r>
            <w:r>
              <w:rPr>
                <w:noProof/>
                <w:webHidden/>
              </w:rPr>
              <w:instrText xml:space="preserve"> PAGEREF _Toc234853907 \h </w:instrText>
            </w:r>
            <w:r>
              <w:rPr>
                <w:noProof/>
                <w:webHidden/>
              </w:rPr>
            </w:r>
            <w:r>
              <w:rPr>
                <w:noProof/>
                <w:webHidden/>
              </w:rPr>
              <w:fldChar w:fldCharType="separate"/>
            </w:r>
            <w:r>
              <w:rPr>
                <w:noProof/>
                <w:webHidden/>
              </w:rPr>
              <w:t>122</w:t>
            </w:r>
            <w:r>
              <w:rPr>
                <w:noProof/>
                <w:webHidden/>
              </w:rPr>
              <w:fldChar w:fldCharType="end"/>
            </w:r>
          </w:hyperlink>
        </w:p>
        <w:p w14:paraId="66C4B67D" w14:textId="4379827B" w:rsidR="00120ACC" w:rsidRDefault="00120ACC">
          <w:pPr>
            <w:pStyle w:val="TM3"/>
            <w:tabs>
              <w:tab w:val="left" w:pos="1100"/>
              <w:tab w:val="right" w:leader="dot" w:pos="9394"/>
            </w:tabs>
            <w:rPr>
              <w:rFonts w:eastAsiaTheme="minorEastAsia" w:cstheme="minorBidi"/>
              <w:noProof/>
              <w:kern w:val="2"/>
              <w:sz w:val="24"/>
              <w:lang w:eastAsia="fr-FR"/>
              <w14:ligatures w14:val="standardContextual"/>
            </w:rPr>
          </w:pPr>
          <w:hyperlink w:anchor="_Toc234853908" w:history="1">
            <w:r w:rsidRPr="00702681">
              <w:rPr>
                <w:rStyle w:val="Lienhypertexte"/>
                <w:noProof/>
              </w:rPr>
              <w:t>4.8.3</w:t>
            </w:r>
            <w:r>
              <w:rPr>
                <w:rFonts w:eastAsiaTheme="minorEastAsia" w:cstheme="minorBidi"/>
                <w:noProof/>
                <w:kern w:val="2"/>
                <w:sz w:val="24"/>
                <w:lang w:eastAsia="fr-FR"/>
                <w14:ligatures w14:val="standardContextual"/>
              </w:rPr>
              <w:tab/>
            </w:r>
            <w:r w:rsidRPr="00702681">
              <w:rPr>
                <w:rStyle w:val="Lienhypertexte"/>
                <w:noProof/>
              </w:rPr>
              <w:t>Risques climatiques ciblés</w:t>
            </w:r>
            <w:r>
              <w:rPr>
                <w:noProof/>
                <w:webHidden/>
              </w:rPr>
              <w:tab/>
            </w:r>
            <w:r>
              <w:rPr>
                <w:noProof/>
                <w:webHidden/>
              </w:rPr>
              <w:fldChar w:fldCharType="begin"/>
            </w:r>
            <w:r>
              <w:rPr>
                <w:noProof/>
                <w:webHidden/>
              </w:rPr>
              <w:instrText xml:space="preserve"> PAGEREF _Toc234853908 \h </w:instrText>
            </w:r>
            <w:r>
              <w:rPr>
                <w:noProof/>
                <w:webHidden/>
              </w:rPr>
            </w:r>
            <w:r>
              <w:rPr>
                <w:noProof/>
                <w:webHidden/>
              </w:rPr>
              <w:fldChar w:fldCharType="separate"/>
            </w:r>
            <w:r>
              <w:rPr>
                <w:noProof/>
                <w:webHidden/>
              </w:rPr>
              <w:t>122</w:t>
            </w:r>
            <w:r>
              <w:rPr>
                <w:noProof/>
                <w:webHidden/>
              </w:rPr>
              <w:fldChar w:fldCharType="end"/>
            </w:r>
          </w:hyperlink>
        </w:p>
        <w:p w14:paraId="2399C3E3" w14:textId="48D9B17B" w:rsidR="00120ACC" w:rsidRDefault="00120ACC">
          <w:pPr>
            <w:pStyle w:val="TM2"/>
            <w:tabs>
              <w:tab w:val="left" w:pos="1100"/>
              <w:tab w:val="right" w:leader="dot" w:pos="9394"/>
            </w:tabs>
            <w:rPr>
              <w:rFonts w:eastAsiaTheme="minorEastAsia" w:cstheme="minorBidi"/>
              <w:b w:val="0"/>
              <w:bCs w:val="0"/>
              <w:noProof/>
              <w:kern w:val="2"/>
              <w:sz w:val="24"/>
              <w:lang w:eastAsia="fr-FR"/>
              <w14:ligatures w14:val="standardContextual"/>
            </w:rPr>
          </w:pPr>
          <w:hyperlink w:anchor="_Toc234853909" w:history="1">
            <w:r w:rsidRPr="00702681">
              <w:rPr>
                <w:rStyle w:val="Lienhypertexte"/>
                <w:noProof/>
              </w:rPr>
              <w:t>4.9.</w:t>
            </w:r>
            <w:r>
              <w:rPr>
                <w:rFonts w:eastAsiaTheme="minorEastAsia" w:cstheme="minorBidi"/>
                <w:b w:val="0"/>
                <w:bCs w:val="0"/>
                <w:noProof/>
                <w:kern w:val="2"/>
                <w:sz w:val="24"/>
                <w:lang w:eastAsia="fr-FR"/>
                <w14:ligatures w14:val="standardContextual"/>
              </w:rPr>
              <w:tab/>
            </w:r>
            <w:r w:rsidRPr="00702681">
              <w:rPr>
                <w:rStyle w:val="Lienhypertexte"/>
                <w:noProof/>
              </w:rPr>
              <w:t>Renforcement des capacités</w:t>
            </w:r>
            <w:r>
              <w:rPr>
                <w:noProof/>
                <w:webHidden/>
              </w:rPr>
              <w:tab/>
            </w:r>
            <w:r>
              <w:rPr>
                <w:noProof/>
                <w:webHidden/>
              </w:rPr>
              <w:fldChar w:fldCharType="begin"/>
            </w:r>
            <w:r>
              <w:rPr>
                <w:noProof/>
                <w:webHidden/>
              </w:rPr>
              <w:instrText xml:space="preserve"> PAGEREF _Toc234853909 \h </w:instrText>
            </w:r>
            <w:r>
              <w:rPr>
                <w:noProof/>
                <w:webHidden/>
              </w:rPr>
            </w:r>
            <w:r>
              <w:rPr>
                <w:noProof/>
                <w:webHidden/>
              </w:rPr>
              <w:fldChar w:fldCharType="separate"/>
            </w:r>
            <w:r>
              <w:rPr>
                <w:noProof/>
                <w:webHidden/>
              </w:rPr>
              <w:t>123</w:t>
            </w:r>
            <w:r>
              <w:rPr>
                <w:noProof/>
                <w:webHidden/>
              </w:rPr>
              <w:fldChar w:fldCharType="end"/>
            </w:r>
          </w:hyperlink>
        </w:p>
        <w:p w14:paraId="5CFC9336" w14:textId="11AD7F8A" w:rsidR="00120ACC" w:rsidRDefault="00120ACC">
          <w:pPr>
            <w:pStyle w:val="TM1"/>
            <w:tabs>
              <w:tab w:val="left" w:pos="440"/>
              <w:tab w:val="right" w:leader="dot" w:pos="9394"/>
            </w:tabs>
            <w:rPr>
              <w:rFonts w:asciiTheme="minorHAnsi" w:eastAsiaTheme="minorEastAsia" w:hAnsiTheme="minorHAnsi" w:cstheme="minorBidi"/>
              <w:b w:val="0"/>
              <w:bCs w:val="0"/>
              <w:caps w:val="0"/>
              <w:noProof/>
              <w:kern w:val="2"/>
              <w:szCs w:val="24"/>
              <w:lang w:eastAsia="fr-FR"/>
              <w14:ligatures w14:val="standardContextual"/>
            </w:rPr>
          </w:pPr>
          <w:hyperlink w:anchor="_Toc234853910" w:history="1">
            <w:r w:rsidRPr="00702681">
              <w:rPr>
                <w:rStyle w:val="Lienhypertexte"/>
                <w:noProof/>
              </w:rPr>
              <w:t>5.</w:t>
            </w:r>
            <w:r>
              <w:rPr>
                <w:rFonts w:asciiTheme="minorHAnsi" w:eastAsiaTheme="minorEastAsia" w:hAnsiTheme="minorHAnsi" w:cstheme="minorBidi"/>
                <w:b w:val="0"/>
                <w:bCs w:val="0"/>
                <w:caps w:val="0"/>
                <w:noProof/>
                <w:kern w:val="2"/>
                <w:szCs w:val="24"/>
                <w:lang w:eastAsia="fr-FR"/>
                <w14:ligatures w14:val="standardContextual"/>
              </w:rPr>
              <w:tab/>
            </w:r>
            <w:r w:rsidRPr="00702681">
              <w:rPr>
                <w:rStyle w:val="Lienhypertexte"/>
                <w:noProof/>
              </w:rPr>
              <w:t>Conclusion générale</w:t>
            </w:r>
            <w:r>
              <w:rPr>
                <w:noProof/>
                <w:webHidden/>
              </w:rPr>
              <w:tab/>
            </w:r>
            <w:r>
              <w:rPr>
                <w:noProof/>
                <w:webHidden/>
              </w:rPr>
              <w:fldChar w:fldCharType="begin"/>
            </w:r>
            <w:r>
              <w:rPr>
                <w:noProof/>
                <w:webHidden/>
              </w:rPr>
              <w:instrText xml:space="preserve"> PAGEREF _Toc234853910 \h </w:instrText>
            </w:r>
            <w:r>
              <w:rPr>
                <w:noProof/>
                <w:webHidden/>
              </w:rPr>
            </w:r>
            <w:r>
              <w:rPr>
                <w:noProof/>
                <w:webHidden/>
              </w:rPr>
              <w:fldChar w:fldCharType="separate"/>
            </w:r>
            <w:r>
              <w:rPr>
                <w:noProof/>
                <w:webHidden/>
              </w:rPr>
              <w:t>124</w:t>
            </w:r>
            <w:r>
              <w:rPr>
                <w:noProof/>
                <w:webHidden/>
              </w:rPr>
              <w:fldChar w:fldCharType="end"/>
            </w:r>
          </w:hyperlink>
        </w:p>
        <w:p w14:paraId="1F03BD5F" w14:textId="603F9697" w:rsidR="002D4162" w:rsidRDefault="000A5363" w:rsidP="00274201">
          <w:pPr>
            <w:spacing w:line="360" w:lineRule="auto"/>
            <w:ind w:left="142"/>
          </w:pPr>
          <w:r w:rsidRPr="00754AB1">
            <w:rPr>
              <w:rFonts w:asciiTheme="minorHAnsi" w:eastAsiaTheme="majorEastAsia" w:hAnsiTheme="minorHAnsi" w:cstheme="minorHAnsi"/>
              <w:b/>
              <w:bCs/>
              <w:noProof/>
              <w:sz w:val="24"/>
              <w:szCs w:val="24"/>
              <w:lang w:val="fr-CA"/>
            </w:rPr>
            <w:fldChar w:fldCharType="end"/>
          </w:r>
        </w:p>
      </w:sdtContent>
    </w:sdt>
    <w:p w14:paraId="34B75499" w14:textId="77777777" w:rsidR="004D5051" w:rsidRDefault="004D5051" w:rsidP="00BA7EA7">
      <w:pPr>
        <w:widowControl w:val="0"/>
        <w:pBdr>
          <w:top w:val="nil"/>
          <w:left w:val="nil"/>
          <w:bottom w:val="nil"/>
          <w:right w:val="nil"/>
          <w:between w:val="nil"/>
        </w:pBdr>
        <w:spacing w:after="0" w:line="276" w:lineRule="auto"/>
        <w:rPr>
          <w:color w:val="0070C0"/>
          <w:sz w:val="32"/>
          <w:szCs w:val="32"/>
        </w:rPr>
      </w:pPr>
    </w:p>
    <w:p w14:paraId="2DDAD415" w14:textId="77777777" w:rsidR="004D5051" w:rsidRDefault="004D5051" w:rsidP="00BA7EA7">
      <w:pPr>
        <w:widowControl w:val="0"/>
        <w:pBdr>
          <w:top w:val="nil"/>
          <w:left w:val="nil"/>
          <w:bottom w:val="nil"/>
          <w:right w:val="nil"/>
          <w:between w:val="nil"/>
        </w:pBdr>
        <w:spacing w:after="0" w:line="276" w:lineRule="auto"/>
        <w:rPr>
          <w:color w:val="0070C0"/>
          <w:sz w:val="32"/>
          <w:szCs w:val="32"/>
        </w:rPr>
      </w:pPr>
    </w:p>
    <w:p w14:paraId="00000040" w14:textId="78353FBB" w:rsidR="000334A0" w:rsidRPr="008F3344" w:rsidRDefault="003E69CF" w:rsidP="00BA7EA7">
      <w:pPr>
        <w:widowControl w:val="0"/>
        <w:pBdr>
          <w:top w:val="nil"/>
          <w:left w:val="nil"/>
          <w:bottom w:val="nil"/>
          <w:right w:val="nil"/>
          <w:between w:val="nil"/>
        </w:pBdr>
        <w:spacing w:after="0" w:line="276" w:lineRule="auto"/>
        <w:rPr>
          <w:color w:val="0070C0"/>
          <w:sz w:val="32"/>
          <w:szCs w:val="32"/>
        </w:rPr>
      </w:pPr>
      <w:r w:rsidRPr="008F3344">
        <w:rPr>
          <w:color w:val="0070C0"/>
          <w:sz w:val="32"/>
          <w:szCs w:val="32"/>
        </w:rPr>
        <w:lastRenderedPageBreak/>
        <w:t>Liste des figures</w:t>
      </w:r>
    </w:p>
    <w:p w14:paraId="32D44A59" w14:textId="12391D43" w:rsidR="00120ACC" w:rsidRDefault="00BA7EA7">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r w:rsidRPr="00120ACC">
        <w:rPr>
          <w:b/>
          <w:bCs/>
          <w:noProof/>
          <w:sz w:val="24"/>
          <w:szCs w:val="28"/>
          <w:lang w:val="en-US"/>
        </w:rPr>
        <w:fldChar w:fldCharType="begin"/>
      </w:r>
      <w:r w:rsidRPr="00120ACC">
        <w:rPr>
          <w:b/>
          <w:bCs/>
          <w:noProof/>
          <w:sz w:val="24"/>
          <w:szCs w:val="28"/>
          <w:lang w:val="en-US"/>
        </w:rPr>
        <w:instrText xml:space="preserve"> TOC \h \z \c "Figure" </w:instrText>
      </w:r>
      <w:r w:rsidRPr="00120ACC">
        <w:rPr>
          <w:b/>
          <w:bCs/>
          <w:noProof/>
          <w:sz w:val="24"/>
          <w:szCs w:val="28"/>
          <w:lang w:val="en-US"/>
        </w:rPr>
        <w:fldChar w:fldCharType="separate"/>
      </w:r>
      <w:hyperlink w:anchor="_Toc234853911" w:history="1">
        <w:r w:rsidR="00120ACC" w:rsidRPr="002C3391">
          <w:rPr>
            <w:rStyle w:val="Lienhypertexte"/>
            <w:noProof/>
          </w:rPr>
          <w:t>Figure 1 : Répartition sectorielle et sous sectorielle dans le LEAP</w:t>
        </w:r>
        <w:r w:rsidR="00120ACC">
          <w:rPr>
            <w:noProof/>
            <w:webHidden/>
          </w:rPr>
          <w:tab/>
        </w:r>
        <w:r w:rsidR="00120ACC">
          <w:rPr>
            <w:noProof/>
            <w:webHidden/>
          </w:rPr>
          <w:fldChar w:fldCharType="begin"/>
        </w:r>
        <w:r w:rsidR="00120ACC">
          <w:rPr>
            <w:noProof/>
            <w:webHidden/>
          </w:rPr>
          <w:instrText xml:space="preserve"> PAGEREF _Toc234853911 \h </w:instrText>
        </w:r>
        <w:r w:rsidR="00120ACC">
          <w:rPr>
            <w:noProof/>
            <w:webHidden/>
          </w:rPr>
        </w:r>
        <w:r w:rsidR="00120ACC">
          <w:rPr>
            <w:noProof/>
            <w:webHidden/>
          </w:rPr>
          <w:fldChar w:fldCharType="separate"/>
        </w:r>
        <w:r w:rsidR="00120ACC">
          <w:rPr>
            <w:noProof/>
            <w:webHidden/>
          </w:rPr>
          <w:t>56</w:t>
        </w:r>
        <w:r w:rsidR="00120ACC">
          <w:rPr>
            <w:noProof/>
            <w:webHidden/>
          </w:rPr>
          <w:fldChar w:fldCharType="end"/>
        </w:r>
      </w:hyperlink>
    </w:p>
    <w:p w14:paraId="153505E3" w14:textId="6F478B63"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12" w:history="1">
        <w:r w:rsidRPr="002C3391">
          <w:rPr>
            <w:rStyle w:val="Lienhypertexte"/>
            <w:noProof/>
          </w:rPr>
          <w:t>Figure 2 : Extrait du paramétrage du parc de production électrique malien sous LEAP</w:t>
        </w:r>
        <w:r>
          <w:rPr>
            <w:noProof/>
            <w:webHidden/>
          </w:rPr>
          <w:tab/>
        </w:r>
        <w:r>
          <w:rPr>
            <w:noProof/>
            <w:webHidden/>
          </w:rPr>
          <w:fldChar w:fldCharType="begin"/>
        </w:r>
        <w:r>
          <w:rPr>
            <w:noProof/>
            <w:webHidden/>
          </w:rPr>
          <w:instrText xml:space="preserve"> PAGEREF _Toc234853912 \h </w:instrText>
        </w:r>
        <w:r>
          <w:rPr>
            <w:noProof/>
            <w:webHidden/>
          </w:rPr>
        </w:r>
        <w:r>
          <w:rPr>
            <w:noProof/>
            <w:webHidden/>
          </w:rPr>
          <w:fldChar w:fldCharType="separate"/>
        </w:r>
        <w:r>
          <w:rPr>
            <w:noProof/>
            <w:webHidden/>
          </w:rPr>
          <w:t>58</w:t>
        </w:r>
        <w:r>
          <w:rPr>
            <w:noProof/>
            <w:webHidden/>
          </w:rPr>
          <w:fldChar w:fldCharType="end"/>
        </w:r>
      </w:hyperlink>
    </w:p>
    <w:p w14:paraId="2E2F88DE" w14:textId="7AC7EF7D"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13" w:history="1">
        <w:r w:rsidRPr="002C3391">
          <w:rPr>
            <w:rStyle w:val="Lienhypertexte"/>
            <w:noProof/>
          </w:rPr>
          <w:t>Figure 3 : Evolution des émissions du secteur de l'énergie - Scénario de référence</w:t>
        </w:r>
        <w:r>
          <w:rPr>
            <w:noProof/>
            <w:webHidden/>
          </w:rPr>
          <w:tab/>
        </w:r>
        <w:r>
          <w:rPr>
            <w:noProof/>
            <w:webHidden/>
          </w:rPr>
          <w:fldChar w:fldCharType="begin"/>
        </w:r>
        <w:r>
          <w:rPr>
            <w:noProof/>
            <w:webHidden/>
          </w:rPr>
          <w:instrText xml:space="preserve"> PAGEREF _Toc234853913 \h </w:instrText>
        </w:r>
        <w:r>
          <w:rPr>
            <w:noProof/>
            <w:webHidden/>
          </w:rPr>
        </w:r>
        <w:r>
          <w:rPr>
            <w:noProof/>
            <w:webHidden/>
          </w:rPr>
          <w:fldChar w:fldCharType="separate"/>
        </w:r>
        <w:r>
          <w:rPr>
            <w:noProof/>
            <w:webHidden/>
          </w:rPr>
          <w:t>59</w:t>
        </w:r>
        <w:r>
          <w:rPr>
            <w:noProof/>
            <w:webHidden/>
          </w:rPr>
          <w:fldChar w:fldCharType="end"/>
        </w:r>
      </w:hyperlink>
    </w:p>
    <w:p w14:paraId="70A27759" w14:textId="7B73F5E4"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14" w:history="1">
        <w:r w:rsidRPr="002C3391">
          <w:rPr>
            <w:rStyle w:val="Lienhypertexte"/>
            <w:noProof/>
          </w:rPr>
          <w:t>Figure 4 : Répartition des émissions du secteur énergie par sous-secteur pour le scénario de base - Année 2022</w:t>
        </w:r>
        <w:r>
          <w:rPr>
            <w:noProof/>
            <w:webHidden/>
          </w:rPr>
          <w:tab/>
        </w:r>
        <w:r>
          <w:rPr>
            <w:noProof/>
            <w:webHidden/>
          </w:rPr>
          <w:fldChar w:fldCharType="begin"/>
        </w:r>
        <w:r>
          <w:rPr>
            <w:noProof/>
            <w:webHidden/>
          </w:rPr>
          <w:instrText xml:space="preserve"> PAGEREF _Toc234853914 \h </w:instrText>
        </w:r>
        <w:r>
          <w:rPr>
            <w:noProof/>
            <w:webHidden/>
          </w:rPr>
        </w:r>
        <w:r>
          <w:rPr>
            <w:noProof/>
            <w:webHidden/>
          </w:rPr>
          <w:fldChar w:fldCharType="separate"/>
        </w:r>
        <w:r>
          <w:rPr>
            <w:noProof/>
            <w:webHidden/>
          </w:rPr>
          <w:t>59</w:t>
        </w:r>
        <w:r>
          <w:rPr>
            <w:noProof/>
            <w:webHidden/>
          </w:rPr>
          <w:fldChar w:fldCharType="end"/>
        </w:r>
      </w:hyperlink>
    </w:p>
    <w:p w14:paraId="23C99535" w14:textId="4DD5BF61"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15" w:history="1">
        <w:r w:rsidRPr="002C3391">
          <w:rPr>
            <w:rStyle w:val="Lienhypertexte"/>
            <w:noProof/>
          </w:rPr>
          <w:t>Figure 5 : Répartition des émissions du secteur énergie par sous-secteur pour le scénario de base - Année 2035</w:t>
        </w:r>
        <w:r>
          <w:rPr>
            <w:noProof/>
            <w:webHidden/>
          </w:rPr>
          <w:tab/>
        </w:r>
        <w:r>
          <w:rPr>
            <w:noProof/>
            <w:webHidden/>
          </w:rPr>
          <w:fldChar w:fldCharType="begin"/>
        </w:r>
        <w:r>
          <w:rPr>
            <w:noProof/>
            <w:webHidden/>
          </w:rPr>
          <w:instrText xml:space="preserve"> PAGEREF _Toc234853915 \h </w:instrText>
        </w:r>
        <w:r>
          <w:rPr>
            <w:noProof/>
            <w:webHidden/>
          </w:rPr>
        </w:r>
        <w:r>
          <w:rPr>
            <w:noProof/>
            <w:webHidden/>
          </w:rPr>
          <w:fldChar w:fldCharType="separate"/>
        </w:r>
        <w:r>
          <w:rPr>
            <w:noProof/>
            <w:webHidden/>
          </w:rPr>
          <w:t>60</w:t>
        </w:r>
        <w:r>
          <w:rPr>
            <w:noProof/>
            <w:webHidden/>
          </w:rPr>
          <w:fldChar w:fldCharType="end"/>
        </w:r>
      </w:hyperlink>
    </w:p>
    <w:p w14:paraId="076DE01C" w14:textId="6F73EB7B"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16" w:history="1">
        <w:r w:rsidRPr="002C3391">
          <w:rPr>
            <w:rStyle w:val="Lienhypertexte"/>
            <w:noProof/>
          </w:rPr>
          <w:t>Figure 6 : Evolution des émissions du scénario de référence VS scénario d'atténuation pour le secteur de l'énergie</w:t>
        </w:r>
        <w:r>
          <w:rPr>
            <w:noProof/>
            <w:webHidden/>
          </w:rPr>
          <w:tab/>
        </w:r>
        <w:r>
          <w:rPr>
            <w:noProof/>
            <w:webHidden/>
          </w:rPr>
          <w:fldChar w:fldCharType="begin"/>
        </w:r>
        <w:r>
          <w:rPr>
            <w:noProof/>
            <w:webHidden/>
          </w:rPr>
          <w:instrText xml:space="preserve"> PAGEREF _Toc234853916 \h </w:instrText>
        </w:r>
        <w:r>
          <w:rPr>
            <w:noProof/>
            <w:webHidden/>
          </w:rPr>
        </w:r>
        <w:r>
          <w:rPr>
            <w:noProof/>
            <w:webHidden/>
          </w:rPr>
          <w:fldChar w:fldCharType="separate"/>
        </w:r>
        <w:r>
          <w:rPr>
            <w:noProof/>
            <w:webHidden/>
          </w:rPr>
          <w:t>67</w:t>
        </w:r>
        <w:r>
          <w:rPr>
            <w:noProof/>
            <w:webHidden/>
          </w:rPr>
          <w:fldChar w:fldCharType="end"/>
        </w:r>
      </w:hyperlink>
    </w:p>
    <w:p w14:paraId="1D3B3B16" w14:textId="08095653"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17" w:history="1">
        <w:r w:rsidRPr="002C3391">
          <w:rPr>
            <w:rStyle w:val="Lienhypertexte"/>
            <w:noProof/>
          </w:rPr>
          <w:t>Figure 7 : Evolution des émissions de la ligne de base pour le secteur de l'Agriculture</w:t>
        </w:r>
        <w:r>
          <w:rPr>
            <w:noProof/>
            <w:webHidden/>
          </w:rPr>
          <w:tab/>
        </w:r>
        <w:r>
          <w:rPr>
            <w:noProof/>
            <w:webHidden/>
          </w:rPr>
          <w:fldChar w:fldCharType="begin"/>
        </w:r>
        <w:r>
          <w:rPr>
            <w:noProof/>
            <w:webHidden/>
          </w:rPr>
          <w:instrText xml:space="preserve"> PAGEREF _Toc234853917 \h </w:instrText>
        </w:r>
        <w:r>
          <w:rPr>
            <w:noProof/>
            <w:webHidden/>
          </w:rPr>
        </w:r>
        <w:r>
          <w:rPr>
            <w:noProof/>
            <w:webHidden/>
          </w:rPr>
          <w:fldChar w:fldCharType="separate"/>
        </w:r>
        <w:r>
          <w:rPr>
            <w:noProof/>
            <w:webHidden/>
          </w:rPr>
          <w:t>72</w:t>
        </w:r>
        <w:r>
          <w:rPr>
            <w:noProof/>
            <w:webHidden/>
          </w:rPr>
          <w:fldChar w:fldCharType="end"/>
        </w:r>
      </w:hyperlink>
    </w:p>
    <w:p w14:paraId="04567537" w14:textId="0F61AB99"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18" w:history="1">
        <w:r w:rsidRPr="002C3391">
          <w:rPr>
            <w:rStyle w:val="Lienhypertexte"/>
            <w:noProof/>
          </w:rPr>
          <w:t>Figure 8: Évolution comparée des émissions du secteur Agriculture</w:t>
        </w:r>
        <w:r>
          <w:rPr>
            <w:noProof/>
            <w:webHidden/>
          </w:rPr>
          <w:tab/>
        </w:r>
        <w:r>
          <w:rPr>
            <w:noProof/>
            <w:webHidden/>
          </w:rPr>
          <w:fldChar w:fldCharType="begin"/>
        </w:r>
        <w:r>
          <w:rPr>
            <w:noProof/>
            <w:webHidden/>
          </w:rPr>
          <w:instrText xml:space="preserve"> PAGEREF _Toc234853918 \h </w:instrText>
        </w:r>
        <w:r>
          <w:rPr>
            <w:noProof/>
            <w:webHidden/>
          </w:rPr>
        </w:r>
        <w:r>
          <w:rPr>
            <w:noProof/>
            <w:webHidden/>
          </w:rPr>
          <w:fldChar w:fldCharType="separate"/>
        </w:r>
        <w:r>
          <w:rPr>
            <w:noProof/>
            <w:webHidden/>
          </w:rPr>
          <w:t>76</w:t>
        </w:r>
        <w:r>
          <w:rPr>
            <w:noProof/>
            <w:webHidden/>
          </w:rPr>
          <w:fldChar w:fldCharType="end"/>
        </w:r>
      </w:hyperlink>
    </w:p>
    <w:p w14:paraId="03DB77A1" w14:textId="07671382"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19" w:history="1">
        <w:r w:rsidRPr="002C3391">
          <w:rPr>
            <w:rStyle w:val="Lienhypertexte"/>
            <w:noProof/>
          </w:rPr>
          <w:t>Figure 9 : Ligne de base du secteur des forêts sur la période 2026-2035</w:t>
        </w:r>
        <w:r>
          <w:rPr>
            <w:noProof/>
            <w:webHidden/>
          </w:rPr>
          <w:tab/>
        </w:r>
        <w:r>
          <w:rPr>
            <w:noProof/>
            <w:webHidden/>
          </w:rPr>
          <w:fldChar w:fldCharType="begin"/>
        </w:r>
        <w:r>
          <w:rPr>
            <w:noProof/>
            <w:webHidden/>
          </w:rPr>
          <w:instrText xml:space="preserve"> PAGEREF _Toc234853919 \h </w:instrText>
        </w:r>
        <w:r>
          <w:rPr>
            <w:noProof/>
            <w:webHidden/>
          </w:rPr>
        </w:r>
        <w:r>
          <w:rPr>
            <w:noProof/>
            <w:webHidden/>
          </w:rPr>
          <w:fldChar w:fldCharType="separate"/>
        </w:r>
        <w:r>
          <w:rPr>
            <w:noProof/>
            <w:webHidden/>
          </w:rPr>
          <w:t>85</w:t>
        </w:r>
        <w:r>
          <w:rPr>
            <w:noProof/>
            <w:webHidden/>
          </w:rPr>
          <w:fldChar w:fldCharType="end"/>
        </w:r>
      </w:hyperlink>
    </w:p>
    <w:p w14:paraId="15891B41" w14:textId="54DD7253"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20" w:history="1">
        <w:r w:rsidRPr="002C3391">
          <w:rPr>
            <w:rStyle w:val="Lienhypertexte"/>
            <w:noProof/>
          </w:rPr>
          <w:t>Figure 10 : Comparaison entre la ligne de base et la ligne d’atténuation du secteur des forêts, 2026-2035</w:t>
        </w:r>
        <w:r>
          <w:rPr>
            <w:noProof/>
            <w:webHidden/>
          </w:rPr>
          <w:tab/>
        </w:r>
        <w:r>
          <w:rPr>
            <w:noProof/>
            <w:webHidden/>
          </w:rPr>
          <w:fldChar w:fldCharType="begin"/>
        </w:r>
        <w:r>
          <w:rPr>
            <w:noProof/>
            <w:webHidden/>
          </w:rPr>
          <w:instrText xml:space="preserve"> PAGEREF _Toc234853920 \h </w:instrText>
        </w:r>
        <w:r>
          <w:rPr>
            <w:noProof/>
            <w:webHidden/>
          </w:rPr>
        </w:r>
        <w:r>
          <w:rPr>
            <w:noProof/>
            <w:webHidden/>
          </w:rPr>
          <w:fldChar w:fldCharType="separate"/>
        </w:r>
        <w:r>
          <w:rPr>
            <w:noProof/>
            <w:webHidden/>
          </w:rPr>
          <w:t>87</w:t>
        </w:r>
        <w:r>
          <w:rPr>
            <w:noProof/>
            <w:webHidden/>
          </w:rPr>
          <w:fldChar w:fldCharType="end"/>
        </w:r>
      </w:hyperlink>
    </w:p>
    <w:p w14:paraId="47E75631" w14:textId="64C4A077"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21" w:history="1">
        <w:r w:rsidRPr="002C3391">
          <w:rPr>
            <w:rStyle w:val="Lienhypertexte"/>
            <w:noProof/>
          </w:rPr>
          <w:t>Figure 11 : Ligne de base du secteur déchet en KtCO</w:t>
        </w:r>
        <w:r w:rsidRPr="002C3391">
          <w:rPr>
            <w:rStyle w:val="Lienhypertexte"/>
            <w:noProof/>
            <w:vertAlign w:val="subscript"/>
          </w:rPr>
          <w:t>2</w:t>
        </w:r>
        <w:r w:rsidRPr="002C3391">
          <w:rPr>
            <w:rStyle w:val="Lienhypertexte"/>
            <w:noProof/>
          </w:rPr>
          <w:t>eq</w:t>
        </w:r>
        <w:r>
          <w:rPr>
            <w:noProof/>
            <w:webHidden/>
          </w:rPr>
          <w:tab/>
        </w:r>
        <w:r>
          <w:rPr>
            <w:noProof/>
            <w:webHidden/>
          </w:rPr>
          <w:fldChar w:fldCharType="begin"/>
        </w:r>
        <w:r>
          <w:rPr>
            <w:noProof/>
            <w:webHidden/>
          </w:rPr>
          <w:instrText xml:space="preserve"> PAGEREF _Toc234853921 \h </w:instrText>
        </w:r>
        <w:r>
          <w:rPr>
            <w:noProof/>
            <w:webHidden/>
          </w:rPr>
        </w:r>
        <w:r>
          <w:rPr>
            <w:noProof/>
            <w:webHidden/>
          </w:rPr>
          <w:fldChar w:fldCharType="separate"/>
        </w:r>
        <w:r>
          <w:rPr>
            <w:noProof/>
            <w:webHidden/>
          </w:rPr>
          <w:t>94</w:t>
        </w:r>
        <w:r>
          <w:rPr>
            <w:noProof/>
            <w:webHidden/>
          </w:rPr>
          <w:fldChar w:fldCharType="end"/>
        </w:r>
      </w:hyperlink>
    </w:p>
    <w:p w14:paraId="10E27DE1" w14:textId="2DCA3F07"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22" w:history="1">
        <w:r w:rsidRPr="002C3391">
          <w:rPr>
            <w:rStyle w:val="Lienhypertexte"/>
            <w:noProof/>
          </w:rPr>
          <w:t>Figure 12 : ligne de base et la ligne d’atténuation du secteur des déchets, 2026-2035</w:t>
        </w:r>
        <w:r>
          <w:rPr>
            <w:noProof/>
            <w:webHidden/>
          </w:rPr>
          <w:tab/>
        </w:r>
        <w:r>
          <w:rPr>
            <w:noProof/>
            <w:webHidden/>
          </w:rPr>
          <w:fldChar w:fldCharType="begin"/>
        </w:r>
        <w:r>
          <w:rPr>
            <w:noProof/>
            <w:webHidden/>
          </w:rPr>
          <w:instrText xml:space="preserve"> PAGEREF _Toc234853922 \h </w:instrText>
        </w:r>
        <w:r>
          <w:rPr>
            <w:noProof/>
            <w:webHidden/>
          </w:rPr>
        </w:r>
        <w:r>
          <w:rPr>
            <w:noProof/>
            <w:webHidden/>
          </w:rPr>
          <w:fldChar w:fldCharType="separate"/>
        </w:r>
        <w:r>
          <w:rPr>
            <w:noProof/>
            <w:webHidden/>
          </w:rPr>
          <w:t>96</w:t>
        </w:r>
        <w:r>
          <w:rPr>
            <w:noProof/>
            <w:webHidden/>
          </w:rPr>
          <w:fldChar w:fldCharType="end"/>
        </w:r>
      </w:hyperlink>
    </w:p>
    <w:p w14:paraId="5C03DFAD" w14:textId="4407ECDE"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23" w:history="1">
        <w:r w:rsidRPr="002C3391">
          <w:rPr>
            <w:rStyle w:val="Lienhypertexte"/>
            <w:noProof/>
          </w:rPr>
          <w:t>Figure 13 : Trajectoire des émissions du Mali sur le périmètre des secteurs émetteurs — scénario de référence et scénario d'atténuation CDN 3.0 (2022-2035, hors UTCATF)</w:t>
        </w:r>
        <w:r>
          <w:rPr>
            <w:noProof/>
            <w:webHidden/>
          </w:rPr>
          <w:tab/>
        </w:r>
        <w:r>
          <w:rPr>
            <w:noProof/>
            <w:webHidden/>
          </w:rPr>
          <w:fldChar w:fldCharType="begin"/>
        </w:r>
        <w:r>
          <w:rPr>
            <w:noProof/>
            <w:webHidden/>
          </w:rPr>
          <w:instrText xml:space="preserve"> PAGEREF _Toc234853923 \h </w:instrText>
        </w:r>
        <w:r>
          <w:rPr>
            <w:noProof/>
            <w:webHidden/>
          </w:rPr>
        </w:r>
        <w:r>
          <w:rPr>
            <w:noProof/>
            <w:webHidden/>
          </w:rPr>
          <w:fldChar w:fldCharType="separate"/>
        </w:r>
        <w:r>
          <w:rPr>
            <w:noProof/>
            <w:webHidden/>
          </w:rPr>
          <w:t>100</w:t>
        </w:r>
        <w:r>
          <w:rPr>
            <w:noProof/>
            <w:webHidden/>
          </w:rPr>
          <w:fldChar w:fldCharType="end"/>
        </w:r>
      </w:hyperlink>
    </w:p>
    <w:p w14:paraId="1BA8DFDE" w14:textId="2D77C02D"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24" w:history="1">
        <w:r w:rsidRPr="002C3391">
          <w:rPr>
            <w:rStyle w:val="Lienhypertexte"/>
            <w:noProof/>
          </w:rPr>
          <w:t>Figure 14 : Évolution des émissions globales nettes du Mali — scénario de référence et scénario d'atténuation CDN 3.0 (2022-2035, incluant UTCATF)</w:t>
        </w:r>
        <w:r>
          <w:rPr>
            <w:noProof/>
            <w:webHidden/>
          </w:rPr>
          <w:tab/>
        </w:r>
        <w:r>
          <w:rPr>
            <w:noProof/>
            <w:webHidden/>
          </w:rPr>
          <w:fldChar w:fldCharType="begin"/>
        </w:r>
        <w:r>
          <w:rPr>
            <w:noProof/>
            <w:webHidden/>
          </w:rPr>
          <w:instrText xml:space="preserve"> PAGEREF _Toc234853924 \h </w:instrText>
        </w:r>
        <w:r>
          <w:rPr>
            <w:noProof/>
            <w:webHidden/>
          </w:rPr>
        </w:r>
        <w:r>
          <w:rPr>
            <w:noProof/>
            <w:webHidden/>
          </w:rPr>
          <w:fldChar w:fldCharType="separate"/>
        </w:r>
        <w:r>
          <w:rPr>
            <w:noProof/>
            <w:webHidden/>
          </w:rPr>
          <w:t>101</w:t>
        </w:r>
        <w:r>
          <w:rPr>
            <w:noProof/>
            <w:webHidden/>
          </w:rPr>
          <w:fldChar w:fldCharType="end"/>
        </w:r>
      </w:hyperlink>
    </w:p>
    <w:p w14:paraId="00000045" w14:textId="38A11054" w:rsidR="000334A0" w:rsidRPr="001642EF" w:rsidRDefault="00BA7EA7" w:rsidP="001642EF">
      <w:pPr>
        <w:spacing w:after="0"/>
        <w:rPr>
          <w:rFonts w:eastAsia="Times New Roman" w:cs="Times New Roman"/>
          <w:b/>
          <w:bCs/>
          <w:noProof/>
          <w:szCs w:val="24"/>
          <w:lang w:val="en-US"/>
        </w:rPr>
      </w:pPr>
      <w:r w:rsidRPr="00120ACC">
        <w:rPr>
          <w:rFonts w:eastAsia="Times New Roman" w:cs="Times New Roman"/>
          <w:b/>
          <w:bCs/>
          <w:noProof/>
          <w:sz w:val="24"/>
          <w:szCs w:val="28"/>
          <w:lang w:val="en-US"/>
        </w:rPr>
        <w:fldChar w:fldCharType="end"/>
      </w:r>
    </w:p>
    <w:p w14:paraId="00000056" w14:textId="77777777" w:rsidR="000334A0" w:rsidRPr="008F3344" w:rsidRDefault="000334A0">
      <w:pPr>
        <w:widowControl w:val="0"/>
        <w:pBdr>
          <w:top w:val="nil"/>
          <w:left w:val="nil"/>
          <w:bottom w:val="nil"/>
          <w:right w:val="nil"/>
          <w:between w:val="nil"/>
        </w:pBdr>
        <w:tabs>
          <w:tab w:val="right" w:pos="9062"/>
        </w:tabs>
        <w:spacing w:after="0"/>
        <w:jc w:val="both"/>
        <w:rPr>
          <w:color w:val="0070C0"/>
          <w:sz w:val="32"/>
          <w:szCs w:val="32"/>
        </w:rPr>
      </w:pPr>
    </w:p>
    <w:p w14:paraId="00000057" w14:textId="7BF3BE5B" w:rsidR="000334A0" w:rsidRPr="008F3344" w:rsidRDefault="003E69CF" w:rsidP="005C6A78">
      <w:pPr>
        <w:rPr>
          <w:color w:val="0070C0"/>
          <w:sz w:val="32"/>
          <w:szCs w:val="32"/>
        </w:rPr>
      </w:pPr>
      <w:r w:rsidRPr="008F3344">
        <w:rPr>
          <w:color w:val="0070C0"/>
          <w:sz w:val="32"/>
          <w:szCs w:val="32"/>
        </w:rPr>
        <w:t>Liste des tableaux</w:t>
      </w:r>
    </w:p>
    <w:p w14:paraId="6B94A859" w14:textId="0384CCED" w:rsidR="00120ACC" w:rsidRDefault="005C6A78">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r w:rsidRPr="008B1817">
        <w:rPr>
          <w:sz w:val="20"/>
          <w:szCs w:val="20"/>
        </w:rPr>
        <w:fldChar w:fldCharType="begin"/>
      </w:r>
      <w:r w:rsidRPr="008B1817">
        <w:rPr>
          <w:sz w:val="20"/>
          <w:szCs w:val="20"/>
          <w:lang w:val="en-US"/>
        </w:rPr>
        <w:instrText xml:space="preserve"> TOC \h \z \c "Tableau" </w:instrText>
      </w:r>
      <w:r w:rsidRPr="008B1817">
        <w:rPr>
          <w:sz w:val="20"/>
          <w:szCs w:val="20"/>
        </w:rPr>
        <w:fldChar w:fldCharType="separate"/>
      </w:r>
      <w:hyperlink w:anchor="_Toc234853925" w:history="1">
        <w:r w:rsidR="00120ACC" w:rsidRPr="0031310A">
          <w:rPr>
            <w:rStyle w:val="Lienhypertexte"/>
            <w:noProof/>
          </w:rPr>
          <w:t>Tableau 1 : Synthèse des référentiels stratégiques transversaux en matière de changements climatiques au Mali</w:t>
        </w:r>
        <w:r w:rsidR="00120ACC">
          <w:rPr>
            <w:noProof/>
            <w:webHidden/>
          </w:rPr>
          <w:tab/>
        </w:r>
        <w:r w:rsidR="00120ACC">
          <w:rPr>
            <w:noProof/>
            <w:webHidden/>
          </w:rPr>
          <w:fldChar w:fldCharType="begin"/>
        </w:r>
        <w:r w:rsidR="00120ACC">
          <w:rPr>
            <w:noProof/>
            <w:webHidden/>
          </w:rPr>
          <w:instrText xml:space="preserve"> PAGEREF _Toc234853925 \h </w:instrText>
        </w:r>
        <w:r w:rsidR="00120ACC">
          <w:rPr>
            <w:noProof/>
            <w:webHidden/>
          </w:rPr>
        </w:r>
        <w:r w:rsidR="00120ACC">
          <w:rPr>
            <w:noProof/>
            <w:webHidden/>
          </w:rPr>
          <w:fldChar w:fldCharType="separate"/>
        </w:r>
        <w:r w:rsidR="00120ACC">
          <w:rPr>
            <w:noProof/>
            <w:webHidden/>
          </w:rPr>
          <w:t>10</w:t>
        </w:r>
        <w:r w:rsidR="00120ACC">
          <w:rPr>
            <w:noProof/>
            <w:webHidden/>
          </w:rPr>
          <w:fldChar w:fldCharType="end"/>
        </w:r>
      </w:hyperlink>
    </w:p>
    <w:p w14:paraId="410B60A2" w14:textId="2446D05F"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26" w:history="1">
        <w:r w:rsidRPr="0031310A">
          <w:rPr>
            <w:rStyle w:val="Lienhypertexte"/>
            <w:noProof/>
          </w:rPr>
          <w:t>Tableau 2 : Politiques et stratégies analysées dans le secteur de l’énergie</w:t>
        </w:r>
        <w:r>
          <w:rPr>
            <w:noProof/>
            <w:webHidden/>
          </w:rPr>
          <w:tab/>
        </w:r>
        <w:r>
          <w:rPr>
            <w:noProof/>
            <w:webHidden/>
          </w:rPr>
          <w:fldChar w:fldCharType="begin"/>
        </w:r>
        <w:r>
          <w:rPr>
            <w:noProof/>
            <w:webHidden/>
          </w:rPr>
          <w:instrText xml:space="preserve"> PAGEREF _Toc234853926 \h </w:instrText>
        </w:r>
        <w:r>
          <w:rPr>
            <w:noProof/>
            <w:webHidden/>
          </w:rPr>
        </w:r>
        <w:r>
          <w:rPr>
            <w:noProof/>
            <w:webHidden/>
          </w:rPr>
          <w:fldChar w:fldCharType="separate"/>
        </w:r>
        <w:r>
          <w:rPr>
            <w:noProof/>
            <w:webHidden/>
          </w:rPr>
          <w:t>12</w:t>
        </w:r>
        <w:r>
          <w:rPr>
            <w:noProof/>
            <w:webHidden/>
          </w:rPr>
          <w:fldChar w:fldCharType="end"/>
        </w:r>
      </w:hyperlink>
    </w:p>
    <w:p w14:paraId="6C86FBE5" w14:textId="69A13BEC"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27" w:history="1">
        <w:r w:rsidRPr="0031310A">
          <w:rPr>
            <w:rStyle w:val="Lienhypertexte"/>
            <w:noProof/>
          </w:rPr>
          <w:t>Tableau 3 : Politiques et stratégies analysées dans le secteur de l’agriculture</w:t>
        </w:r>
        <w:r>
          <w:rPr>
            <w:noProof/>
            <w:webHidden/>
          </w:rPr>
          <w:tab/>
        </w:r>
        <w:r>
          <w:rPr>
            <w:noProof/>
            <w:webHidden/>
          </w:rPr>
          <w:fldChar w:fldCharType="begin"/>
        </w:r>
        <w:r>
          <w:rPr>
            <w:noProof/>
            <w:webHidden/>
          </w:rPr>
          <w:instrText xml:space="preserve"> PAGEREF _Toc234853927 \h </w:instrText>
        </w:r>
        <w:r>
          <w:rPr>
            <w:noProof/>
            <w:webHidden/>
          </w:rPr>
        </w:r>
        <w:r>
          <w:rPr>
            <w:noProof/>
            <w:webHidden/>
          </w:rPr>
          <w:fldChar w:fldCharType="separate"/>
        </w:r>
        <w:r>
          <w:rPr>
            <w:noProof/>
            <w:webHidden/>
          </w:rPr>
          <w:t>16</w:t>
        </w:r>
        <w:r>
          <w:rPr>
            <w:noProof/>
            <w:webHidden/>
          </w:rPr>
          <w:fldChar w:fldCharType="end"/>
        </w:r>
      </w:hyperlink>
    </w:p>
    <w:p w14:paraId="117A6041" w14:textId="221C59E3"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28" w:history="1">
        <w:r w:rsidRPr="0031310A">
          <w:rPr>
            <w:rStyle w:val="Lienhypertexte"/>
            <w:noProof/>
          </w:rPr>
          <w:t>Tableau 4 : Politique et stratégies analysées dans le secteur forêt</w:t>
        </w:r>
        <w:r>
          <w:rPr>
            <w:noProof/>
            <w:webHidden/>
          </w:rPr>
          <w:tab/>
        </w:r>
        <w:r>
          <w:rPr>
            <w:noProof/>
            <w:webHidden/>
          </w:rPr>
          <w:fldChar w:fldCharType="begin"/>
        </w:r>
        <w:r>
          <w:rPr>
            <w:noProof/>
            <w:webHidden/>
          </w:rPr>
          <w:instrText xml:space="preserve"> PAGEREF _Toc234853928 \h </w:instrText>
        </w:r>
        <w:r>
          <w:rPr>
            <w:noProof/>
            <w:webHidden/>
          </w:rPr>
        </w:r>
        <w:r>
          <w:rPr>
            <w:noProof/>
            <w:webHidden/>
          </w:rPr>
          <w:fldChar w:fldCharType="separate"/>
        </w:r>
        <w:r>
          <w:rPr>
            <w:noProof/>
            <w:webHidden/>
          </w:rPr>
          <w:t>22</w:t>
        </w:r>
        <w:r>
          <w:rPr>
            <w:noProof/>
            <w:webHidden/>
          </w:rPr>
          <w:fldChar w:fldCharType="end"/>
        </w:r>
      </w:hyperlink>
    </w:p>
    <w:p w14:paraId="1ECB4BFF" w14:textId="07784928"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29" w:history="1">
        <w:r w:rsidRPr="0031310A">
          <w:rPr>
            <w:rStyle w:val="Lienhypertexte"/>
            <w:noProof/>
          </w:rPr>
          <w:t>Tableau 5 : Politique et stratégies analysées dans le secteur déchet</w:t>
        </w:r>
        <w:r>
          <w:rPr>
            <w:noProof/>
            <w:webHidden/>
          </w:rPr>
          <w:tab/>
        </w:r>
        <w:r>
          <w:rPr>
            <w:noProof/>
            <w:webHidden/>
          </w:rPr>
          <w:fldChar w:fldCharType="begin"/>
        </w:r>
        <w:r>
          <w:rPr>
            <w:noProof/>
            <w:webHidden/>
          </w:rPr>
          <w:instrText xml:space="preserve"> PAGEREF _Toc234853929 \h </w:instrText>
        </w:r>
        <w:r>
          <w:rPr>
            <w:noProof/>
            <w:webHidden/>
          </w:rPr>
        </w:r>
        <w:r>
          <w:rPr>
            <w:noProof/>
            <w:webHidden/>
          </w:rPr>
          <w:fldChar w:fldCharType="separate"/>
        </w:r>
        <w:r>
          <w:rPr>
            <w:noProof/>
            <w:webHidden/>
          </w:rPr>
          <w:t>24</w:t>
        </w:r>
        <w:r>
          <w:rPr>
            <w:noProof/>
            <w:webHidden/>
          </w:rPr>
          <w:fldChar w:fldCharType="end"/>
        </w:r>
      </w:hyperlink>
    </w:p>
    <w:p w14:paraId="782F39D2" w14:textId="5B26C78D"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30" w:history="1">
        <w:r w:rsidRPr="0031310A">
          <w:rPr>
            <w:rStyle w:val="Lienhypertexte"/>
            <w:noProof/>
          </w:rPr>
          <w:t>Tableau 6 : Principales politiques et stratégies agricoles du Mali en lien avec l’adaptation</w:t>
        </w:r>
        <w:r>
          <w:rPr>
            <w:noProof/>
            <w:webHidden/>
          </w:rPr>
          <w:tab/>
        </w:r>
        <w:r>
          <w:rPr>
            <w:noProof/>
            <w:webHidden/>
          </w:rPr>
          <w:fldChar w:fldCharType="begin"/>
        </w:r>
        <w:r>
          <w:rPr>
            <w:noProof/>
            <w:webHidden/>
          </w:rPr>
          <w:instrText xml:space="preserve"> PAGEREF _Toc234853930 \h </w:instrText>
        </w:r>
        <w:r>
          <w:rPr>
            <w:noProof/>
            <w:webHidden/>
          </w:rPr>
        </w:r>
        <w:r>
          <w:rPr>
            <w:noProof/>
            <w:webHidden/>
          </w:rPr>
          <w:fldChar w:fldCharType="separate"/>
        </w:r>
        <w:r>
          <w:rPr>
            <w:noProof/>
            <w:webHidden/>
          </w:rPr>
          <w:t>27</w:t>
        </w:r>
        <w:r>
          <w:rPr>
            <w:noProof/>
            <w:webHidden/>
          </w:rPr>
          <w:fldChar w:fldCharType="end"/>
        </w:r>
      </w:hyperlink>
    </w:p>
    <w:p w14:paraId="46CA125E" w14:textId="2DF81A9F"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31" w:history="1">
        <w:r w:rsidRPr="0031310A">
          <w:rPr>
            <w:rStyle w:val="Lienhypertexte"/>
            <w:noProof/>
          </w:rPr>
          <w:t>Tableau 7 : Politiques et stratégies énergétiques du Mali en lien avec l’adaptation</w:t>
        </w:r>
        <w:r>
          <w:rPr>
            <w:noProof/>
            <w:webHidden/>
          </w:rPr>
          <w:tab/>
        </w:r>
        <w:r>
          <w:rPr>
            <w:noProof/>
            <w:webHidden/>
          </w:rPr>
          <w:fldChar w:fldCharType="begin"/>
        </w:r>
        <w:r>
          <w:rPr>
            <w:noProof/>
            <w:webHidden/>
          </w:rPr>
          <w:instrText xml:space="preserve"> PAGEREF _Toc234853931 \h </w:instrText>
        </w:r>
        <w:r>
          <w:rPr>
            <w:noProof/>
            <w:webHidden/>
          </w:rPr>
        </w:r>
        <w:r>
          <w:rPr>
            <w:noProof/>
            <w:webHidden/>
          </w:rPr>
          <w:fldChar w:fldCharType="separate"/>
        </w:r>
        <w:r>
          <w:rPr>
            <w:noProof/>
            <w:webHidden/>
          </w:rPr>
          <w:t>32</w:t>
        </w:r>
        <w:r>
          <w:rPr>
            <w:noProof/>
            <w:webHidden/>
          </w:rPr>
          <w:fldChar w:fldCharType="end"/>
        </w:r>
      </w:hyperlink>
    </w:p>
    <w:p w14:paraId="512F7B56" w14:textId="11F52AB1"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32" w:history="1">
        <w:r w:rsidRPr="0031310A">
          <w:rPr>
            <w:rStyle w:val="Lienhypertexte"/>
            <w:noProof/>
          </w:rPr>
          <w:t>Tableau 8 : Politiques et stratégies du secteur météorologique et climatique au Mali en lien avec l’adaptation</w:t>
        </w:r>
        <w:r>
          <w:rPr>
            <w:noProof/>
            <w:webHidden/>
          </w:rPr>
          <w:tab/>
        </w:r>
        <w:r>
          <w:rPr>
            <w:noProof/>
            <w:webHidden/>
          </w:rPr>
          <w:fldChar w:fldCharType="begin"/>
        </w:r>
        <w:r>
          <w:rPr>
            <w:noProof/>
            <w:webHidden/>
          </w:rPr>
          <w:instrText xml:space="preserve"> PAGEREF _Toc234853932 \h </w:instrText>
        </w:r>
        <w:r>
          <w:rPr>
            <w:noProof/>
            <w:webHidden/>
          </w:rPr>
        </w:r>
        <w:r>
          <w:rPr>
            <w:noProof/>
            <w:webHidden/>
          </w:rPr>
          <w:fldChar w:fldCharType="separate"/>
        </w:r>
        <w:r>
          <w:rPr>
            <w:noProof/>
            <w:webHidden/>
          </w:rPr>
          <w:t>35</w:t>
        </w:r>
        <w:r>
          <w:rPr>
            <w:noProof/>
            <w:webHidden/>
          </w:rPr>
          <w:fldChar w:fldCharType="end"/>
        </w:r>
      </w:hyperlink>
    </w:p>
    <w:p w14:paraId="259B6E42" w14:textId="38B1265D"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33" w:history="1">
        <w:r w:rsidRPr="0031310A">
          <w:rPr>
            <w:rStyle w:val="Lienhypertexte"/>
            <w:noProof/>
          </w:rPr>
          <w:t>Tableau 9 : Politiques et stratégies du secteur déchets  au Mali en lien avec l’adaptation</w:t>
        </w:r>
        <w:r>
          <w:rPr>
            <w:noProof/>
            <w:webHidden/>
          </w:rPr>
          <w:tab/>
        </w:r>
        <w:r>
          <w:rPr>
            <w:noProof/>
            <w:webHidden/>
          </w:rPr>
          <w:fldChar w:fldCharType="begin"/>
        </w:r>
        <w:r>
          <w:rPr>
            <w:noProof/>
            <w:webHidden/>
          </w:rPr>
          <w:instrText xml:space="preserve"> PAGEREF _Toc234853933 \h </w:instrText>
        </w:r>
        <w:r>
          <w:rPr>
            <w:noProof/>
            <w:webHidden/>
          </w:rPr>
        </w:r>
        <w:r>
          <w:rPr>
            <w:noProof/>
            <w:webHidden/>
          </w:rPr>
          <w:fldChar w:fldCharType="separate"/>
        </w:r>
        <w:r>
          <w:rPr>
            <w:noProof/>
            <w:webHidden/>
          </w:rPr>
          <w:t>38</w:t>
        </w:r>
        <w:r>
          <w:rPr>
            <w:noProof/>
            <w:webHidden/>
          </w:rPr>
          <w:fldChar w:fldCharType="end"/>
        </w:r>
      </w:hyperlink>
    </w:p>
    <w:p w14:paraId="56E18F8D" w14:textId="14702013"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34" w:history="1">
        <w:r w:rsidRPr="0031310A">
          <w:rPr>
            <w:rStyle w:val="Lienhypertexte"/>
            <w:noProof/>
          </w:rPr>
          <w:t>Tableau 10 : Politiques et stratégies du secteur de l’eau au Mali en lien avec l’adaptation</w:t>
        </w:r>
        <w:r>
          <w:rPr>
            <w:noProof/>
            <w:webHidden/>
          </w:rPr>
          <w:tab/>
        </w:r>
        <w:r>
          <w:rPr>
            <w:noProof/>
            <w:webHidden/>
          </w:rPr>
          <w:fldChar w:fldCharType="begin"/>
        </w:r>
        <w:r>
          <w:rPr>
            <w:noProof/>
            <w:webHidden/>
          </w:rPr>
          <w:instrText xml:space="preserve"> PAGEREF _Toc234853934 \h </w:instrText>
        </w:r>
        <w:r>
          <w:rPr>
            <w:noProof/>
            <w:webHidden/>
          </w:rPr>
        </w:r>
        <w:r>
          <w:rPr>
            <w:noProof/>
            <w:webHidden/>
          </w:rPr>
          <w:fldChar w:fldCharType="separate"/>
        </w:r>
        <w:r>
          <w:rPr>
            <w:noProof/>
            <w:webHidden/>
          </w:rPr>
          <w:t>41</w:t>
        </w:r>
        <w:r>
          <w:rPr>
            <w:noProof/>
            <w:webHidden/>
          </w:rPr>
          <w:fldChar w:fldCharType="end"/>
        </w:r>
      </w:hyperlink>
    </w:p>
    <w:p w14:paraId="264CE931" w14:textId="74883C02"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35" w:history="1">
        <w:r w:rsidRPr="0031310A">
          <w:rPr>
            <w:rStyle w:val="Lienhypertexte"/>
            <w:noProof/>
          </w:rPr>
          <w:t>Tableau 11 : Politiques et stratégies du secteur de la biodiversité au Mali en lien avec l’adaptation</w:t>
        </w:r>
        <w:r>
          <w:rPr>
            <w:noProof/>
            <w:webHidden/>
          </w:rPr>
          <w:tab/>
        </w:r>
        <w:r>
          <w:rPr>
            <w:noProof/>
            <w:webHidden/>
          </w:rPr>
          <w:fldChar w:fldCharType="begin"/>
        </w:r>
        <w:r>
          <w:rPr>
            <w:noProof/>
            <w:webHidden/>
          </w:rPr>
          <w:instrText xml:space="preserve"> PAGEREF _Toc234853935 \h </w:instrText>
        </w:r>
        <w:r>
          <w:rPr>
            <w:noProof/>
            <w:webHidden/>
          </w:rPr>
        </w:r>
        <w:r>
          <w:rPr>
            <w:noProof/>
            <w:webHidden/>
          </w:rPr>
          <w:fldChar w:fldCharType="separate"/>
        </w:r>
        <w:r>
          <w:rPr>
            <w:noProof/>
            <w:webHidden/>
          </w:rPr>
          <w:t>44</w:t>
        </w:r>
        <w:r>
          <w:rPr>
            <w:noProof/>
            <w:webHidden/>
          </w:rPr>
          <w:fldChar w:fldCharType="end"/>
        </w:r>
      </w:hyperlink>
    </w:p>
    <w:p w14:paraId="6F9AD5E3" w14:textId="3D850BBF"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36" w:history="1">
        <w:r w:rsidRPr="0031310A">
          <w:rPr>
            <w:rStyle w:val="Lienhypertexte"/>
            <w:noProof/>
          </w:rPr>
          <w:t>Tableau 12 : Politiques et stratégies du secteur de la biodiversité au Mali en lien avec l’adaptation</w:t>
        </w:r>
        <w:r>
          <w:rPr>
            <w:noProof/>
            <w:webHidden/>
          </w:rPr>
          <w:tab/>
        </w:r>
        <w:r>
          <w:rPr>
            <w:noProof/>
            <w:webHidden/>
          </w:rPr>
          <w:fldChar w:fldCharType="begin"/>
        </w:r>
        <w:r>
          <w:rPr>
            <w:noProof/>
            <w:webHidden/>
          </w:rPr>
          <w:instrText xml:space="preserve"> PAGEREF _Toc234853936 \h </w:instrText>
        </w:r>
        <w:r>
          <w:rPr>
            <w:noProof/>
            <w:webHidden/>
          </w:rPr>
        </w:r>
        <w:r>
          <w:rPr>
            <w:noProof/>
            <w:webHidden/>
          </w:rPr>
          <w:fldChar w:fldCharType="separate"/>
        </w:r>
        <w:r>
          <w:rPr>
            <w:noProof/>
            <w:webHidden/>
          </w:rPr>
          <w:t>47</w:t>
        </w:r>
        <w:r>
          <w:rPr>
            <w:noProof/>
            <w:webHidden/>
          </w:rPr>
          <w:fldChar w:fldCharType="end"/>
        </w:r>
      </w:hyperlink>
    </w:p>
    <w:p w14:paraId="220C648C" w14:textId="5B160D3C"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37" w:history="1">
        <w:r w:rsidRPr="0031310A">
          <w:rPr>
            <w:rStyle w:val="Lienhypertexte"/>
            <w:noProof/>
          </w:rPr>
          <w:t>Tableau 13 :  Liste initial des mesures d’atténuation identifiées pour le secteur de l’énergie pour la CDN 3.0</w:t>
        </w:r>
        <w:r>
          <w:rPr>
            <w:noProof/>
            <w:webHidden/>
          </w:rPr>
          <w:tab/>
        </w:r>
        <w:r>
          <w:rPr>
            <w:noProof/>
            <w:webHidden/>
          </w:rPr>
          <w:fldChar w:fldCharType="begin"/>
        </w:r>
        <w:r>
          <w:rPr>
            <w:noProof/>
            <w:webHidden/>
          </w:rPr>
          <w:instrText xml:space="preserve"> PAGEREF _Toc234853937 \h </w:instrText>
        </w:r>
        <w:r>
          <w:rPr>
            <w:noProof/>
            <w:webHidden/>
          </w:rPr>
        </w:r>
        <w:r>
          <w:rPr>
            <w:noProof/>
            <w:webHidden/>
          </w:rPr>
          <w:fldChar w:fldCharType="separate"/>
        </w:r>
        <w:r>
          <w:rPr>
            <w:noProof/>
            <w:webHidden/>
          </w:rPr>
          <w:t>53</w:t>
        </w:r>
        <w:r>
          <w:rPr>
            <w:noProof/>
            <w:webHidden/>
          </w:rPr>
          <w:fldChar w:fldCharType="end"/>
        </w:r>
      </w:hyperlink>
    </w:p>
    <w:p w14:paraId="507A04BB" w14:textId="30EA17BD"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38" w:history="1">
        <w:r w:rsidRPr="0031310A">
          <w:rPr>
            <w:rStyle w:val="Lienhypertexte"/>
            <w:noProof/>
          </w:rPr>
          <w:t>Tableau 14 : Hypothèses retenues pour l'élaboration de la ligne de base de l'énergie - CDN 3.0</w:t>
        </w:r>
        <w:r>
          <w:rPr>
            <w:noProof/>
            <w:webHidden/>
          </w:rPr>
          <w:tab/>
        </w:r>
        <w:r>
          <w:rPr>
            <w:noProof/>
            <w:webHidden/>
          </w:rPr>
          <w:fldChar w:fldCharType="begin"/>
        </w:r>
        <w:r>
          <w:rPr>
            <w:noProof/>
            <w:webHidden/>
          </w:rPr>
          <w:instrText xml:space="preserve"> PAGEREF _Toc234853938 \h </w:instrText>
        </w:r>
        <w:r>
          <w:rPr>
            <w:noProof/>
            <w:webHidden/>
          </w:rPr>
        </w:r>
        <w:r>
          <w:rPr>
            <w:noProof/>
            <w:webHidden/>
          </w:rPr>
          <w:fldChar w:fldCharType="separate"/>
        </w:r>
        <w:r>
          <w:rPr>
            <w:noProof/>
            <w:webHidden/>
          </w:rPr>
          <w:t>57</w:t>
        </w:r>
        <w:r>
          <w:rPr>
            <w:noProof/>
            <w:webHidden/>
          </w:rPr>
          <w:fldChar w:fldCharType="end"/>
        </w:r>
      </w:hyperlink>
    </w:p>
    <w:p w14:paraId="74146AC6" w14:textId="78055AF2"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39" w:history="1">
        <w:r w:rsidRPr="0031310A">
          <w:rPr>
            <w:rStyle w:val="Lienhypertexte"/>
            <w:noProof/>
          </w:rPr>
          <w:t>Tableau 15 : Résultats des émissions de la ligne de base pour le secteur de l’énergie en kTCO</w:t>
        </w:r>
        <w:r w:rsidRPr="0031310A">
          <w:rPr>
            <w:rStyle w:val="Lienhypertexte"/>
            <w:noProof/>
            <w:vertAlign w:val="subscript"/>
          </w:rPr>
          <w:t>2</w:t>
        </w:r>
        <w:r w:rsidRPr="0031310A">
          <w:rPr>
            <w:rStyle w:val="Lienhypertexte"/>
            <w:noProof/>
          </w:rPr>
          <w:t>éq</w:t>
        </w:r>
        <w:r>
          <w:rPr>
            <w:noProof/>
            <w:webHidden/>
          </w:rPr>
          <w:tab/>
        </w:r>
        <w:r>
          <w:rPr>
            <w:noProof/>
            <w:webHidden/>
          </w:rPr>
          <w:fldChar w:fldCharType="begin"/>
        </w:r>
        <w:r>
          <w:rPr>
            <w:noProof/>
            <w:webHidden/>
          </w:rPr>
          <w:instrText xml:space="preserve"> PAGEREF _Toc234853939 \h </w:instrText>
        </w:r>
        <w:r>
          <w:rPr>
            <w:noProof/>
            <w:webHidden/>
          </w:rPr>
        </w:r>
        <w:r>
          <w:rPr>
            <w:noProof/>
            <w:webHidden/>
          </w:rPr>
          <w:fldChar w:fldCharType="separate"/>
        </w:r>
        <w:r>
          <w:rPr>
            <w:noProof/>
            <w:webHidden/>
          </w:rPr>
          <w:t>58</w:t>
        </w:r>
        <w:r>
          <w:rPr>
            <w:noProof/>
            <w:webHidden/>
          </w:rPr>
          <w:fldChar w:fldCharType="end"/>
        </w:r>
      </w:hyperlink>
    </w:p>
    <w:p w14:paraId="4E511CE6" w14:textId="223EA871"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40" w:history="1">
        <w:r w:rsidRPr="0031310A">
          <w:rPr>
            <w:rStyle w:val="Lienhypertexte"/>
            <w:noProof/>
          </w:rPr>
          <w:t>Tableau 16 : Mesures consolidées du portefeuille d'atténuation du secteur de l'énergie</w:t>
        </w:r>
        <w:r>
          <w:rPr>
            <w:noProof/>
            <w:webHidden/>
          </w:rPr>
          <w:tab/>
        </w:r>
        <w:r>
          <w:rPr>
            <w:noProof/>
            <w:webHidden/>
          </w:rPr>
          <w:fldChar w:fldCharType="begin"/>
        </w:r>
        <w:r>
          <w:rPr>
            <w:noProof/>
            <w:webHidden/>
          </w:rPr>
          <w:instrText xml:space="preserve"> PAGEREF _Toc234853940 \h </w:instrText>
        </w:r>
        <w:r>
          <w:rPr>
            <w:noProof/>
            <w:webHidden/>
          </w:rPr>
        </w:r>
        <w:r>
          <w:rPr>
            <w:noProof/>
            <w:webHidden/>
          </w:rPr>
          <w:fldChar w:fldCharType="separate"/>
        </w:r>
        <w:r>
          <w:rPr>
            <w:noProof/>
            <w:webHidden/>
          </w:rPr>
          <w:t>62</w:t>
        </w:r>
        <w:r>
          <w:rPr>
            <w:noProof/>
            <w:webHidden/>
          </w:rPr>
          <w:fldChar w:fldCharType="end"/>
        </w:r>
      </w:hyperlink>
    </w:p>
    <w:p w14:paraId="18CE7DD9" w14:textId="583EF94F"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41" w:history="1">
        <w:r w:rsidRPr="0031310A">
          <w:rPr>
            <w:rStyle w:val="Lienhypertexte"/>
            <w:noProof/>
          </w:rPr>
          <w:t>Tableau 17 : Principaux indicateurs de l'objectif sectoriel énergie</w:t>
        </w:r>
        <w:r>
          <w:rPr>
            <w:noProof/>
            <w:webHidden/>
          </w:rPr>
          <w:tab/>
        </w:r>
        <w:r>
          <w:rPr>
            <w:noProof/>
            <w:webHidden/>
          </w:rPr>
          <w:fldChar w:fldCharType="begin"/>
        </w:r>
        <w:r>
          <w:rPr>
            <w:noProof/>
            <w:webHidden/>
          </w:rPr>
          <w:instrText xml:space="preserve"> PAGEREF _Toc234853941 \h </w:instrText>
        </w:r>
        <w:r>
          <w:rPr>
            <w:noProof/>
            <w:webHidden/>
          </w:rPr>
        </w:r>
        <w:r>
          <w:rPr>
            <w:noProof/>
            <w:webHidden/>
          </w:rPr>
          <w:fldChar w:fldCharType="separate"/>
        </w:r>
        <w:r>
          <w:rPr>
            <w:noProof/>
            <w:webHidden/>
          </w:rPr>
          <w:t>68</w:t>
        </w:r>
        <w:r>
          <w:rPr>
            <w:noProof/>
            <w:webHidden/>
          </w:rPr>
          <w:fldChar w:fldCharType="end"/>
        </w:r>
      </w:hyperlink>
    </w:p>
    <w:p w14:paraId="44BE9C96" w14:textId="2F0F27CF"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42" w:history="1">
        <w:r w:rsidRPr="0031310A">
          <w:rPr>
            <w:rStyle w:val="Lienhypertexte"/>
            <w:noProof/>
          </w:rPr>
          <w:t>Tableau 18 : Liste brute des mesures d’atténuation identifiées pour le secteur Agriculture dans le cadre de la CDN 3.0</w:t>
        </w:r>
        <w:r>
          <w:rPr>
            <w:noProof/>
            <w:webHidden/>
          </w:rPr>
          <w:tab/>
        </w:r>
        <w:r>
          <w:rPr>
            <w:noProof/>
            <w:webHidden/>
          </w:rPr>
          <w:fldChar w:fldCharType="begin"/>
        </w:r>
        <w:r>
          <w:rPr>
            <w:noProof/>
            <w:webHidden/>
          </w:rPr>
          <w:instrText xml:space="preserve"> PAGEREF _Toc234853942 \h </w:instrText>
        </w:r>
        <w:r>
          <w:rPr>
            <w:noProof/>
            <w:webHidden/>
          </w:rPr>
        </w:r>
        <w:r>
          <w:rPr>
            <w:noProof/>
            <w:webHidden/>
          </w:rPr>
          <w:fldChar w:fldCharType="separate"/>
        </w:r>
        <w:r>
          <w:rPr>
            <w:noProof/>
            <w:webHidden/>
          </w:rPr>
          <w:t>70</w:t>
        </w:r>
        <w:r>
          <w:rPr>
            <w:noProof/>
            <w:webHidden/>
          </w:rPr>
          <w:fldChar w:fldCharType="end"/>
        </w:r>
      </w:hyperlink>
    </w:p>
    <w:p w14:paraId="5F8A0D84" w14:textId="386A2E94"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43" w:history="1">
        <w:r w:rsidRPr="0031310A">
          <w:rPr>
            <w:rStyle w:val="Lienhypertexte"/>
            <w:noProof/>
          </w:rPr>
          <w:t>Tableau 19 : Sources d'émissions de GES du secteur agricole — classification GIEC 2006</w:t>
        </w:r>
        <w:r>
          <w:rPr>
            <w:noProof/>
            <w:webHidden/>
          </w:rPr>
          <w:tab/>
        </w:r>
        <w:r>
          <w:rPr>
            <w:noProof/>
            <w:webHidden/>
          </w:rPr>
          <w:fldChar w:fldCharType="begin"/>
        </w:r>
        <w:r>
          <w:rPr>
            <w:noProof/>
            <w:webHidden/>
          </w:rPr>
          <w:instrText xml:space="preserve"> PAGEREF _Toc234853943 \h </w:instrText>
        </w:r>
        <w:r>
          <w:rPr>
            <w:noProof/>
            <w:webHidden/>
          </w:rPr>
        </w:r>
        <w:r>
          <w:rPr>
            <w:noProof/>
            <w:webHidden/>
          </w:rPr>
          <w:fldChar w:fldCharType="separate"/>
        </w:r>
        <w:r>
          <w:rPr>
            <w:noProof/>
            <w:webHidden/>
          </w:rPr>
          <w:t>71</w:t>
        </w:r>
        <w:r>
          <w:rPr>
            <w:noProof/>
            <w:webHidden/>
          </w:rPr>
          <w:fldChar w:fldCharType="end"/>
        </w:r>
      </w:hyperlink>
    </w:p>
    <w:p w14:paraId="4E3577CA" w14:textId="2730E38A"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44" w:history="1">
        <w:r w:rsidRPr="0031310A">
          <w:rPr>
            <w:rStyle w:val="Lienhypertexte"/>
            <w:noProof/>
          </w:rPr>
          <w:t>Tableau 20 :  Portefeuille restructuré des mesures d’atténuation du secteur de l'Agriculture pour la CDN 3.0</w:t>
        </w:r>
        <w:r>
          <w:rPr>
            <w:noProof/>
            <w:webHidden/>
          </w:rPr>
          <w:tab/>
        </w:r>
        <w:r>
          <w:rPr>
            <w:noProof/>
            <w:webHidden/>
          </w:rPr>
          <w:fldChar w:fldCharType="begin"/>
        </w:r>
        <w:r>
          <w:rPr>
            <w:noProof/>
            <w:webHidden/>
          </w:rPr>
          <w:instrText xml:space="preserve"> PAGEREF _Toc234853944 \h </w:instrText>
        </w:r>
        <w:r>
          <w:rPr>
            <w:noProof/>
            <w:webHidden/>
          </w:rPr>
        </w:r>
        <w:r>
          <w:rPr>
            <w:noProof/>
            <w:webHidden/>
          </w:rPr>
          <w:fldChar w:fldCharType="separate"/>
        </w:r>
        <w:r>
          <w:rPr>
            <w:noProof/>
            <w:webHidden/>
          </w:rPr>
          <w:t>73</w:t>
        </w:r>
        <w:r>
          <w:rPr>
            <w:noProof/>
            <w:webHidden/>
          </w:rPr>
          <w:fldChar w:fldCharType="end"/>
        </w:r>
      </w:hyperlink>
    </w:p>
    <w:p w14:paraId="74415D5E" w14:textId="286F3EA2"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45" w:history="1">
        <w:r w:rsidRPr="0031310A">
          <w:rPr>
            <w:rStyle w:val="Lienhypertexte"/>
            <w:noProof/>
          </w:rPr>
          <w:t>Tableau 21 : Émissions évitées par mesure du secteur de l'Agriculture (MtCO₂-eq)</w:t>
        </w:r>
        <w:r>
          <w:rPr>
            <w:noProof/>
            <w:webHidden/>
          </w:rPr>
          <w:tab/>
        </w:r>
        <w:r>
          <w:rPr>
            <w:noProof/>
            <w:webHidden/>
          </w:rPr>
          <w:fldChar w:fldCharType="begin"/>
        </w:r>
        <w:r>
          <w:rPr>
            <w:noProof/>
            <w:webHidden/>
          </w:rPr>
          <w:instrText xml:space="preserve"> PAGEREF _Toc234853945 \h </w:instrText>
        </w:r>
        <w:r>
          <w:rPr>
            <w:noProof/>
            <w:webHidden/>
          </w:rPr>
        </w:r>
        <w:r>
          <w:rPr>
            <w:noProof/>
            <w:webHidden/>
          </w:rPr>
          <w:fldChar w:fldCharType="separate"/>
        </w:r>
        <w:r>
          <w:rPr>
            <w:noProof/>
            <w:webHidden/>
          </w:rPr>
          <w:t>75</w:t>
        </w:r>
        <w:r>
          <w:rPr>
            <w:noProof/>
            <w:webHidden/>
          </w:rPr>
          <w:fldChar w:fldCharType="end"/>
        </w:r>
      </w:hyperlink>
    </w:p>
    <w:p w14:paraId="0AA7C8F3" w14:textId="1AAA3B2F"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46" w:history="1">
        <w:r w:rsidRPr="0031310A">
          <w:rPr>
            <w:rStyle w:val="Lienhypertexte"/>
            <w:noProof/>
          </w:rPr>
          <w:t>Tableau 22: Trajectoire des émissions de l’Agriculture : ligne de base vs ligne d’atténuation (2026</w:t>
        </w:r>
        <w:r w:rsidRPr="0031310A">
          <w:rPr>
            <w:rStyle w:val="Lienhypertexte"/>
            <w:rFonts w:ascii="Cambria Math" w:hAnsi="Cambria Math" w:cs="Cambria Math"/>
            <w:noProof/>
          </w:rPr>
          <w:t>‑</w:t>
        </w:r>
        <w:r w:rsidRPr="0031310A">
          <w:rPr>
            <w:rStyle w:val="Lienhypertexte"/>
            <w:noProof/>
          </w:rPr>
          <w:t>2035)</w:t>
        </w:r>
        <w:r>
          <w:rPr>
            <w:noProof/>
            <w:webHidden/>
          </w:rPr>
          <w:tab/>
        </w:r>
        <w:r>
          <w:rPr>
            <w:noProof/>
            <w:webHidden/>
          </w:rPr>
          <w:fldChar w:fldCharType="begin"/>
        </w:r>
        <w:r>
          <w:rPr>
            <w:noProof/>
            <w:webHidden/>
          </w:rPr>
          <w:instrText xml:space="preserve"> PAGEREF _Toc234853946 \h </w:instrText>
        </w:r>
        <w:r>
          <w:rPr>
            <w:noProof/>
            <w:webHidden/>
          </w:rPr>
        </w:r>
        <w:r>
          <w:rPr>
            <w:noProof/>
            <w:webHidden/>
          </w:rPr>
          <w:fldChar w:fldCharType="separate"/>
        </w:r>
        <w:r>
          <w:rPr>
            <w:noProof/>
            <w:webHidden/>
          </w:rPr>
          <w:t>76</w:t>
        </w:r>
        <w:r>
          <w:rPr>
            <w:noProof/>
            <w:webHidden/>
          </w:rPr>
          <w:fldChar w:fldCharType="end"/>
        </w:r>
      </w:hyperlink>
    </w:p>
    <w:p w14:paraId="61D4D809" w14:textId="053463CF"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47" w:history="1">
        <w:r w:rsidRPr="0031310A">
          <w:rPr>
            <w:rStyle w:val="Lienhypertexte"/>
            <w:noProof/>
          </w:rPr>
          <w:t>Tableau 23 : Liste brute des mesures d’atténuation identifiées pour le secteur des forêts dans le cadre de la CDN 3.0</w:t>
        </w:r>
        <w:r>
          <w:rPr>
            <w:noProof/>
            <w:webHidden/>
          </w:rPr>
          <w:tab/>
        </w:r>
        <w:r>
          <w:rPr>
            <w:noProof/>
            <w:webHidden/>
          </w:rPr>
          <w:fldChar w:fldCharType="begin"/>
        </w:r>
        <w:r>
          <w:rPr>
            <w:noProof/>
            <w:webHidden/>
          </w:rPr>
          <w:instrText xml:space="preserve"> PAGEREF _Toc234853947 \h </w:instrText>
        </w:r>
        <w:r>
          <w:rPr>
            <w:noProof/>
            <w:webHidden/>
          </w:rPr>
        </w:r>
        <w:r>
          <w:rPr>
            <w:noProof/>
            <w:webHidden/>
          </w:rPr>
          <w:fldChar w:fldCharType="separate"/>
        </w:r>
        <w:r>
          <w:rPr>
            <w:noProof/>
            <w:webHidden/>
          </w:rPr>
          <w:t>78</w:t>
        </w:r>
        <w:r>
          <w:rPr>
            <w:noProof/>
            <w:webHidden/>
          </w:rPr>
          <w:fldChar w:fldCharType="end"/>
        </w:r>
      </w:hyperlink>
    </w:p>
    <w:p w14:paraId="3D70AF3B" w14:textId="15C56637"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48" w:history="1">
        <w:r w:rsidRPr="0031310A">
          <w:rPr>
            <w:rStyle w:val="Lienhypertexte"/>
            <w:noProof/>
          </w:rPr>
          <w:t>Tableau 24 : Portefeuille restructuré des mesures d’atténuation du secteur des forêts pour la CDN 3.0</w:t>
        </w:r>
        <w:r>
          <w:rPr>
            <w:noProof/>
            <w:webHidden/>
          </w:rPr>
          <w:tab/>
        </w:r>
        <w:r>
          <w:rPr>
            <w:noProof/>
            <w:webHidden/>
          </w:rPr>
          <w:fldChar w:fldCharType="begin"/>
        </w:r>
        <w:r>
          <w:rPr>
            <w:noProof/>
            <w:webHidden/>
          </w:rPr>
          <w:instrText xml:space="preserve"> PAGEREF _Toc234853948 \h </w:instrText>
        </w:r>
        <w:r>
          <w:rPr>
            <w:noProof/>
            <w:webHidden/>
          </w:rPr>
        </w:r>
        <w:r>
          <w:rPr>
            <w:noProof/>
            <w:webHidden/>
          </w:rPr>
          <w:fldChar w:fldCharType="separate"/>
        </w:r>
        <w:r>
          <w:rPr>
            <w:noProof/>
            <w:webHidden/>
          </w:rPr>
          <w:t>81</w:t>
        </w:r>
        <w:r>
          <w:rPr>
            <w:noProof/>
            <w:webHidden/>
          </w:rPr>
          <w:fldChar w:fldCharType="end"/>
        </w:r>
      </w:hyperlink>
    </w:p>
    <w:p w14:paraId="26FF3BBC" w14:textId="7CCDB188"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49" w:history="1">
        <w:r w:rsidRPr="0031310A">
          <w:rPr>
            <w:rStyle w:val="Lienhypertexte"/>
            <w:noProof/>
          </w:rPr>
          <w:t>Tableau 25 : Ligne de base du secteur des forêts sur la période 2015 - 2035</w:t>
        </w:r>
        <w:r>
          <w:rPr>
            <w:noProof/>
            <w:webHidden/>
          </w:rPr>
          <w:tab/>
        </w:r>
        <w:r>
          <w:rPr>
            <w:noProof/>
            <w:webHidden/>
          </w:rPr>
          <w:fldChar w:fldCharType="begin"/>
        </w:r>
        <w:r>
          <w:rPr>
            <w:noProof/>
            <w:webHidden/>
          </w:rPr>
          <w:instrText xml:space="preserve"> PAGEREF _Toc234853949 \h </w:instrText>
        </w:r>
        <w:r>
          <w:rPr>
            <w:noProof/>
            <w:webHidden/>
          </w:rPr>
        </w:r>
        <w:r>
          <w:rPr>
            <w:noProof/>
            <w:webHidden/>
          </w:rPr>
          <w:fldChar w:fldCharType="separate"/>
        </w:r>
        <w:r>
          <w:rPr>
            <w:noProof/>
            <w:webHidden/>
          </w:rPr>
          <w:t>84</w:t>
        </w:r>
        <w:r>
          <w:rPr>
            <w:noProof/>
            <w:webHidden/>
          </w:rPr>
          <w:fldChar w:fldCharType="end"/>
        </w:r>
      </w:hyperlink>
    </w:p>
    <w:p w14:paraId="28A351D9" w14:textId="54AED335"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50" w:history="1">
        <w:r w:rsidRPr="0031310A">
          <w:rPr>
            <w:rStyle w:val="Lienhypertexte"/>
            <w:noProof/>
          </w:rPr>
          <w:t>Tableau 26 : Séquestration annuelle estimée par mesure du secteur des forêts en KtCO</w:t>
        </w:r>
        <w:r w:rsidRPr="0031310A">
          <w:rPr>
            <w:rStyle w:val="Lienhypertexte"/>
            <w:noProof/>
            <w:vertAlign w:val="subscript"/>
          </w:rPr>
          <w:t>2</w:t>
        </w:r>
        <w:r w:rsidRPr="0031310A">
          <w:rPr>
            <w:rStyle w:val="Lienhypertexte"/>
            <w:noProof/>
          </w:rPr>
          <w:t>eq, 2026-2035</w:t>
        </w:r>
        <w:r>
          <w:rPr>
            <w:noProof/>
            <w:webHidden/>
          </w:rPr>
          <w:tab/>
        </w:r>
        <w:r>
          <w:rPr>
            <w:noProof/>
            <w:webHidden/>
          </w:rPr>
          <w:fldChar w:fldCharType="begin"/>
        </w:r>
        <w:r>
          <w:rPr>
            <w:noProof/>
            <w:webHidden/>
          </w:rPr>
          <w:instrText xml:space="preserve"> PAGEREF _Toc234853950 \h </w:instrText>
        </w:r>
        <w:r>
          <w:rPr>
            <w:noProof/>
            <w:webHidden/>
          </w:rPr>
        </w:r>
        <w:r>
          <w:rPr>
            <w:noProof/>
            <w:webHidden/>
          </w:rPr>
          <w:fldChar w:fldCharType="separate"/>
        </w:r>
        <w:r>
          <w:rPr>
            <w:noProof/>
            <w:webHidden/>
          </w:rPr>
          <w:t>85</w:t>
        </w:r>
        <w:r>
          <w:rPr>
            <w:noProof/>
            <w:webHidden/>
          </w:rPr>
          <w:fldChar w:fldCharType="end"/>
        </w:r>
      </w:hyperlink>
    </w:p>
    <w:p w14:paraId="1C87AE4D" w14:textId="06FB2FAA"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51" w:history="1">
        <w:r w:rsidRPr="0031310A">
          <w:rPr>
            <w:rStyle w:val="Lienhypertexte"/>
            <w:noProof/>
          </w:rPr>
          <w:t>Tableau 27 : Trajectoires de référence et d’atténuation du secteur des forêts sur la période 2026-2035, en ktCO₂e</w:t>
        </w:r>
        <w:r>
          <w:rPr>
            <w:noProof/>
            <w:webHidden/>
          </w:rPr>
          <w:tab/>
        </w:r>
        <w:r>
          <w:rPr>
            <w:noProof/>
            <w:webHidden/>
          </w:rPr>
          <w:fldChar w:fldCharType="begin"/>
        </w:r>
        <w:r>
          <w:rPr>
            <w:noProof/>
            <w:webHidden/>
          </w:rPr>
          <w:instrText xml:space="preserve"> PAGEREF _Toc234853951 \h </w:instrText>
        </w:r>
        <w:r>
          <w:rPr>
            <w:noProof/>
            <w:webHidden/>
          </w:rPr>
        </w:r>
        <w:r>
          <w:rPr>
            <w:noProof/>
            <w:webHidden/>
          </w:rPr>
          <w:fldChar w:fldCharType="separate"/>
        </w:r>
        <w:r>
          <w:rPr>
            <w:noProof/>
            <w:webHidden/>
          </w:rPr>
          <w:t>86</w:t>
        </w:r>
        <w:r>
          <w:rPr>
            <w:noProof/>
            <w:webHidden/>
          </w:rPr>
          <w:fldChar w:fldCharType="end"/>
        </w:r>
      </w:hyperlink>
    </w:p>
    <w:p w14:paraId="1C3689DB" w14:textId="23502FA8"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52" w:history="1">
        <w:r w:rsidRPr="0031310A">
          <w:rPr>
            <w:rStyle w:val="Lienhypertexte"/>
            <w:noProof/>
          </w:rPr>
          <w:t>Tableau 28 : Liste brute des mesures d’atténuation identifiées pour le secteur des déchets dans le cadre de la CDN 3.0</w:t>
        </w:r>
        <w:r>
          <w:rPr>
            <w:noProof/>
            <w:webHidden/>
          </w:rPr>
          <w:tab/>
        </w:r>
        <w:r>
          <w:rPr>
            <w:noProof/>
            <w:webHidden/>
          </w:rPr>
          <w:fldChar w:fldCharType="begin"/>
        </w:r>
        <w:r>
          <w:rPr>
            <w:noProof/>
            <w:webHidden/>
          </w:rPr>
          <w:instrText xml:space="preserve"> PAGEREF _Toc234853952 \h </w:instrText>
        </w:r>
        <w:r>
          <w:rPr>
            <w:noProof/>
            <w:webHidden/>
          </w:rPr>
        </w:r>
        <w:r>
          <w:rPr>
            <w:noProof/>
            <w:webHidden/>
          </w:rPr>
          <w:fldChar w:fldCharType="separate"/>
        </w:r>
        <w:r>
          <w:rPr>
            <w:noProof/>
            <w:webHidden/>
          </w:rPr>
          <w:t>88</w:t>
        </w:r>
        <w:r>
          <w:rPr>
            <w:noProof/>
            <w:webHidden/>
          </w:rPr>
          <w:fldChar w:fldCharType="end"/>
        </w:r>
      </w:hyperlink>
    </w:p>
    <w:p w14:paraId="73534DC7" w14:textId="18066EA8"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53" w:history="1">
        <w:r w:rsidRPr="0031310A">
          <w:rPr>
            <w:rStyle w:val="Lienhypertexte"/>
            <w:noProof/>
          </w:rPr>
          <w:t>Tableau 29 : Portefeuille restructuré des mesures d’atténuation du secteur des déchets pour la CDN 3.0</w:t>
        </w:r>
        <w:r>
          <w:rPr>
            <w:noProof/>
            <w:webHidden/>
          </w:rPr>
          <w:tab/>
        </w:r>
        <w:r>
          <w:rPr>
            <w:noProof/>
            <w:webHidden/>
          </w:rPr>
          <w:fldChar w:fldCharType="begin"/>
        </w:r>
        <w:r>
          <w:rPr>
            <w:noProof/>
            <w:webHidden/>
          </w:rPr>
          <w:instrText xml:space="preserve"> PAGEREF _Toc234853953 \h </w:instrText>
        </w:r>
        <w:r>
          <w:rPr>
            <w:noProof/>
            <w:webHidden/>
          </w:rPr>
        </w:r>
        <w:r>
          <w:rPr>
            <w:noProof/>
            <w:webHidden/>
          </w:rPr>
          <w:fldChar w:fldCharType="separate"/>
        </w:r>
        <w:r>
          <w:rPr>
            <w:noProof/>
            <w:webHidden/>
          </w:rPr>
          <w:t>91</w:t>
        </w:r>
        <w:r>
          <w:rPr>
            <w:noProof/>
            <w:webHidden/>
          </w:rPr>
          <w:fldChar w:fldCharType="end"/>
        </w:r>
      </w:hyperlink>
    </w:p>
    <w:p w14:paraId="5DDBC679" w14:textId="45AFC789"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54" w:history="1">
        <w:r w:rsidRPr="0031310A">
          <w:rPr>
            <w:rStyle w:val="Lienhypertexte"/>
            <w:noProof/>
          </w:rPr>
          <w:t>Tableau 30 : approche méthodologique par mesure</w:t>
        </w:r>
        <w:r>
          <w:rPr>
            <w:noProof/>
            <w:webHidden/>
          </w:rPr>
          <w:tab/>
        </w:r>
        <w:r>
          <w:rPr>
            <w:noProof/>
            <w:webHidden/>
          </w:rPr>
          <w:fldChar w:fldCharType="begin"/>
        </w:r>
        <w:r>
          <w:rPr>
            <w:noProof/>
            <w:webHidden/>
          </w:rPr>
          <w:instrText xml:space="preserve"> PAGEREF _Toc234853954 \h </w:instrText>
        </w:r>
        <w:r>
          <w:rPr>
            <w:noProof/>
            <w:webHidden/>
          </w:rPr>
        </w:r>
        <w:r>
          <w:rPr>
            <w:noProof/>
            <w:webHidden/>
          </w:rPr>
          <w:fldChar w:fldCharType="separate"/>
        </w:r>
        <w:r>
          <w:rPr>
            <w:noProof/>
            <w:webHidden/>
          </w:rPr>
          <w:t>95</w:t>
        </w:r>
        <w:r>
          <w:rPr>
            <w:noProof/>
            <w:webHidden/>
          </w:rPr>
          <w:fldChar w:fldCharType="end"/>
        </w:r>
      </w:hyperlink>
    </w:p>
    <w:p w14:paraId="535A0179" w14:textId="61B82169"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55" w:history="1">
        <w:r w:rsidRPr="0031310A">
          <w:rPr>
            <w:rStyle w:val="Lienhypertexte"/>
            <w:noProof/>
          </w:rPr>
          <w:t>Tableau 31 : Émissions évitées par mesure du secteur des déchets, 2023-2035</w:t>
        </w:r>
        <w:r>
          <w:rPr>
            <w:noProof/>
            <w:webHidden/>
          </w:rPr>
          <w:tab/>
        </w:r>
        <w:r>
          <w:rPr>
            <w:noProof/>
            <w:webHidden/>
          </w:rPr>
          <w:fldChar w:fldCharType="begin"/>
        </w:r>
        <w:r>
          <w:rPr>
            <w:noProof/>
            <w:webHidden/>
          </w:rPr>
          <w:instrText xml:space="preserve"> PAGEREF _Toc234853955 \h </w:instrText>
        </w:r>
        <w:r>
          <w:rPr>
            <w:noProof/>
            <w:webHidden/>
          </w:rPr>
        </w:r>
        <w:r>
          <w:rPr>
            <w:noProof/>
            <w:webHidden/>
          </w:rPr>
          <w:fldChar w:fldCharType="separate"/>
        </w:r>
        <w:r>
          <w:rPr>
            <w:noProof/>
            <w:webHidden/>
          </w:rPr>
          <w:t>95</w:t>
        </w:r>
        <w:r>
          <w:rPr>
            <w:noProof/>
            <w:webHidden/>
          </w:rPr>
          <w:fldChar w:fldCharType="end"/>
        </w:r>
      </w:hyperlink>
    </w:p>
    <w:p w14:paraId="3EF75FEA" w14:textId="7D0BCEEC"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56" w:history="1">
        <w:r w:rsidRPr="0031310A">
          <w:rPr>
            <w:rStyle w:val="Lienhypertexte"/>
            <w:noProof/>
          </w:rPr>
          <w:t>Tableau 32 : Trajectoires de référence et d’atténuation du secteur des déchets sur la période 2023–2035, en ktCO₂e</w:t>
        </w:r>
        <w:r>
          <w:rPr>
            <w:noProof/>
            <w:webHidden/>
          </w:rPr>
          <w:tab/>
        </w:r>
        <w:r>
          <w:rPr>
            <w:noProof/>
            <w:webHidden/>
          </w:rPr>
          <w:fldChar w:fldCharType="begin"/>
        </w:r>
        <w:r>
          <w:rPr>
            <w:noProof/>
            <w:webHidden/>
          </w:rPr>
          <w:instrText xml:space="preserve"> PAGEREF _Toc234853956 \h </w:instrText>
        </w:r>
        <w:r>
          <w:rPr>
            <w:noProof/>
            <w:webHidden/>
          </w:rPr>
        </w:r>
        <w:r>
          <w:rPr>
            <w:noProof/>
            <w:webHidden/>
          </w:rPr>
          <w:fldChar w:fldCharType="separate"/>
        </w:r>
        <w:r>
          <w:rPr>
            <w:noProof/>
            <w:webHidden/>
          </w:rPr>
          <w:t>96</w:t>
        </w:r>
        <w:r>
          <w:rPr>
            <w:noProof/>
            <w:webHidden/>
          </w:rPr>
          <w:fldChar w:fldCharType="end"/>
        </w:r>
      </w:hyperlink>
    </w:p>
    <w:p w14:paraId="33276F7F" w14:textId="3DC67425"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57" w:history="1">
        <w:r w:rsidRPr="0031310A">
          <w:rPr>
            <w:rStyle w:val="Lienhypertexte"/>
            <w:noProof/>
          </w:rPr>
          <w:t>Tableau 33 : Coût estimatif du volet atténuation de la CDN 3.0 du Mali</w:t>
        </w:r>
        <w:r>
          <w:rPr>
            <w:noProof/>
            <w:webHidden/>
          </w:rPr>
          <w:tab/>
        </w:r>
        <w:r>
          <w:rPr>
            <w:noProof/>
            <w:webHidden/>
          </w:rPr>
          <w:fldChar w:fldCharType="begin"/>
        </w:r>
        <w:r>
          <w:rPr>
            <w:noProof/>
            <w:webHidden/>
          </w:rPr>
          <w:instrText xml:space="preserve"> PAGEREF _Toc234853957 \h </w:instrText>
        </w:r>
        <w:r>
          <w:rPr>
            <w:noProof/>
            <w:webHidden/>
          </w:rPr>
        </w:r>
        <w:r>
          <w:rPr>
            <w:noProof/>
            <w:webHidden/>
          </w:rPr>
          <w:fldChar w:fldCharType="separate"/>
        </w:r>
        <w:r>
          <w:rPr>
            <w:noProof/>
            <w:webHidden/>
          </w:rPr>
          <w:t>97</w:t>
        </w:r>
        <w:r>
          <w:rPr>
            <w:noProof/>
            <w:webHidden/>
          </w:rPr>
          <w:fldChar w:fldCharType="end"/>
        </w:r>
      </w:hyperlink>
    </w:p>
    <w:p w14:paraId="0AED2CAA" w14:textId="3DA67067"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58" w:history="1">
        <w:r w:rsidRPr="0031310A">
          <w:rPr>
            <w:rStyle w:val="Lienhypertexte"/>
            <w:noProof/>
          </w:rPr>
          <w:t>Tableau 34 : Synthèse des objectifs nationaux d'atténuation à l'horizon 2035</w:t>
        </w:r>
        <w:r>
          <w:rPr>
            <w:noProof/>
            <w:webHidden/>
          </w:rPr>
          <w:tab/>
        </w:r>
        <w:r>
          <w:rPr>
            <w:noProof/>
            <w:webHidden/>
          </w:rPr>
          <w:fldChar w:fldCharType="begin"/>
        </w:r>
        <w:r>
          <w:rPr>
            <w:noProof/>
            <w:webHidden/>
          </w:rPr>
          <w:instrText xml:space="preserve"> PAGEREF _Toc234853958 \h </w:instrText>
        </w:r>
        <w:r>
          <w:rPr>
            <w:noProof/>
            <w:webHidden/>
          </w:rPr>
        </w:r>
        <w:r>
          <w:rPr>
            <w:noProof/>
            <w:webHidden/>
          </w:rPr>
          <w:fldChar w:fldCharType="separate"/>
        </w:r>
        <w:r>
          <w:rPr>
            <w:noProof/>
            <w:webHidden/>
          </w:rPr>
          <w:t>98</w:t>
        </w:r>
        <w:r>
          <w:rPr>
            <w:noProof/>
            <w:webHidden/>
          </w:rPr>
          <w:fldChar w:fldCharType="end"/>
        </w:r>
      </w:hyperlink>
    </w:p>
    <w:p w14:paraId="47D71AD9" w14:textId="018DFF3A"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59" w:history="1">
        <w:r w:rsidRPr="0031310A">
          <w:rPr>
            <w:rStyle w:val="Lienhypertexte"/>
            <w:noProof/>
          </w:rPr>
          <w:t>Tableau 35 : Contributions sectorielles à l'objectif national d'atténuation à l'horizon 2035</w:t>
        </w:r>
        <w:r>
          <w:rPr>
            <w:noProof/>
            <w:webHidden/>
          </w:rPr>
          <w:tab/>
        </w:r>
        <w:r>
          <w:rPr>
            <w:noProof/>
            <w:webHidden/>
          </w:rPr>
          <w:fldChar w:fldCharType="begin"/>
        </w:r>
        <w:r>
          <w:rPr>
            <w:noProof/>
            <w:webHidden/>
          </w:rPr>
          <w:instrText xml:space="preserve"> PAGEREF _Toc234853959 \h </w:instrText>
        </w:r>
        <w:r>
          <w:rPr>
            <w:noProof/>
            <w:webHidden/>
          </w:rPr>
        </w:r>
        <w:r>
          <w:rPr>
            <w:noProof/>
            <w:webHidden/>
          </w:rPr>
          <w:fldChar w:fldCharType="separate"/>
        </w:r>
        <w:r>
          <w:rPr>
            <w:noProof/>
            <w:webHidden/>
          </w:rPr>
          <w:t>99</w:t>
        </w:r>
        <w:r>
          <w:rPr>
            <w:noProof/>
            <w:webHidden/>
          </w:rPr>
          <w:fldChar w:fldCharType="end"/>
        </w:r>
      </w:hyperlink>
    </w:p>
    <w:p w14:paraId="222DCD4D" w14:textId="6C26670D"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60" w:history="1">
        <w:r w:rsidRPr="0031310A">
          <w:rPr>
            <w:rStyle w:val="Lienhypertexte"/>
            <w:noProof/>
          </w:rPr>
          <w:t>Tableau 36 : Projets d’adaptation identifiés pour le secteur de l’agriculture dans le cadre de la CDN 3 0</w:t>
        </w:r>
        <w:r>
          <w:rPr>
            <w:noProof/>
            <w:webHidden/>
          </w:rPr>
          <w:lastRenderedPageBreak/>
          <w:tab/>
        </w:r>
        <w:r>
          <w:rPr>
            <w:noProof/>
            <w:webHidden/>
          </w:rPr>
          <w:fldChar w:fldCharType="begin"/>
        </w:r>
        <w:r>
          <w:rPr>
            <w:noProof/>
            <w:webHidden/>
          </w:rPr>
          <w:instrText xml:space="preserve"> PAGEREF _Toc234853960 \h </w:instrText>
        </w:r>
        <w:r>
          <w:rPr>
            <w:noProof/>
            <w:webHidden/>
          </w:rPr>
        </w:r>
        <w:r>
          <w:rPr>
            <w:noProof/>
            <w:webHidden/>
          </w:rPr>
          <w:fldChar w:fldCharType="separate"/>
        </w:r>
        <w:r>
          <w:rPr>
            <w:noProof/>
            <w:webHidden/>
          </w:rPr>
          <w:t>104</w:t>
        </w:r>
        <w:r>
          <w:rPr>
            <w:noProof/>
            <w:webHidden/>
          </w:rPr>
          <w:fldChar w:fldCharType="end"/>
        </w:r>
      </w:hyperlink>
    </w:p>
    <w:p w14:paraId="5229CDFA" w14:textId="4001F55E"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61" w:history="1">
        <w:r w:rsidRPr="0031310A">
          <w:rPr>
            <w:rStyle w:val="Lienhypertexte"/>
            <w:noProof/>
          </w:rPr>
          <w:t>Tableau 37 : Financement des projets d’adaptation du secteur de l’agriculture dans le cadre de la CDN 3 0</w:t>
        </w:r>
        <w:r>
          <w:rPr>
            <w:noProof/>
            <w:webHidden/>
          </w:rPr>
          <w:tab/>
        </w:r>
        <w:r>
          <w:rPr>
            <w:noProof/>
            <w:webHidden/>
          </w:rPr>
          <w:fldChar w:fldCharType="begin"/>
        </w:r>
        <w:r>
          <w:rPr>
            <w:noProof/>
            <w:webHidden/>
          </w:rPr>
          <w:instrText xml:space="preserve"> PAGEREF _Toc234853961 \h </w:instrText>
        </w:r>
        <w:r>
          <w:rPr>
            <w:noProof/>
            <w:webHidden/>
          </w:rPr>
        </w:r>
        <w:r>
          <w:rPr>
            <w:noProof/>
            <w:webHidden/>
          </w:rPr>
          <w:fldChar w:fldCharType="separate"/>
        </w:r>
        <w:r>
          <w:rPr>
            <w:noProof/>
            <w:webHidden/>
          </w:rPr>
          <w:t>109</w:t>
        </w:r>
        <w:r>
          <w:rPr>
            <w:noProof/>
            <w:webHidden/>
          </w:rPr>
          <w:fldChar w:fldCharType="end"/>
        </w:r>
      </w:hyperlink>
    </w:p>
    <w:p w14:paraId="28CFC2D8" w14:textId="6F7027A5"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62" w:history="1">
        <w:r w:rsidRPr="0031310A">
          <w:rPr>
            <w:rStyle w:val="Lienhypertexte"/>
            <w:noProof/>
          </w:rPr>
          <w:t>Tableau 38 : Projets d’adaptation identifiés pour le secteur des déchets dans le cadre de la CDN 3 0</w:t>
        </w:r>
        <w:r>
          <w:rPr>
            <w:noProof/>
            <w:webHidden/>
          </w:rPr>
          <w:tab/>
        </w:r>
        <w:r>
          <w:rPr>
            <w:noProof/>
            <w:webHidden/>
          </w:rPr>
          <w:fldChar w:fldCharType="begin"/>
        </w:r>
        <w:r>
          <w:rPr>
            <w:noProof/>
            <w:webHidden/>
          </w:rPr>
          <w:instrText xml:space="preserve"> PAGEREF _Toc234853962 \h </w:instrText>
        </w:r>
        <w:r>
          <w:rPr>
            <w:noProof/>
            <w:webHidden/>
          </w:rPr>
        </w:r>
        <w:r>
          <w:rPr>
            <w:noProof/>
            <w:webHidden/>
          </w:rPr>
          <w:fldChar w:fldCharType="separate"/>
        </w:r>
        <w:r>
          <w:rPr>
            <w:noProof/>
            <w:webHidden/>
          </w:rPr>
          <w:t>113</w:t>
        </w:r>
        <w:r>
          <w:rPr>
            <w:noProof/>
            <w:webHidden/>
          </w:rPr>
          <w:fldChar w:fldCharType="end"/>
        </w:r>
      </w:hyperlink>
    </w:p>
    <w:p w14:paraId="457295D6" w14:textId="72349C8A"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63" w:history="1">
        <w:r w:rsidRPr="0031310A">
          <w:rPr>
            <w:rStyle w:val="Lienhypertexte"/>
            <w:noProof/>
          </w:rPr>
          <w:t>Tableau 39 : Financement des projets d’adaptation du secteur des déchets dans le cadre de la CDN 3 0</w:t>
        </w:r>
        <w:r>
          <w:rPr>
            <w:noProof/>
            <w:webHidden/>
          </w:rPr>
          <w:tab/>
        </w:r>
        <w:r>
          <w:rPr>
            <w:noProof/>
            <w:webHidden/>
          </w:rPr>
          <w:fldChar w:fldCharType="begin"/>
        </w:r>
        <w:r>
          <w:rPr>
            <w:noProof/>
            <w:webHidden/>
          </w:rPr>
          <w:instrText xml:space="preserve"> PAGEREF _Toc234853963 \h </w:instrText>
        </w:r>
        <w:r>
          <w:rPr>
            <w:noProof/>
            <w:webHidden/>
          </w:rPr>
        </w:r>
        <w:r>
          <w:rPr>
            <w:noProof/>
            <w:webHidden/>
          </w:rPr>
          <w:fldChar w:fldCharType="separate"/>
        </w:r>
        <w:r>
          <w:rPr>
            <w:noProof/>
            <w:webHidden/>
          </w:rPr>
          <w:t>115</w:t>
        </w:r>
        <w:r>
          <w:rPr>
            <w:noProof/>
            <w:webHidden/>
          </w:rPr>
          <w:fldChar w:fldCharType="end"/>
        </w:r>
      </w:hyperlink>
    </w:p>
    <w:p w14:paraId="57EB0384" w14:textId="5A1224AE"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64" w:history="1">
        <w:r w:rsidRPr="0031310A">
          <w:rPr>
            <w:rStyle w:val="Lienhypertexte"/>
            <w:noProof/>
          </w:rPr>
          <w:t>Tableau 40 : Projets d’adaptation identifiés pour le secteur de l’eau dans le cadre de la CDN 3 0</w:t>
        </w:r>
        <w:r>
          <w:rPr>
            <w:noProof/>
            <w:webHidden/>
          </w:rPr>
          <w:tab/>
        </w:r>
        <w:r>
          <w:rPr>
            <w:noProof/>
            <w:webHidden/>
          </w:rPr>
          <w:fldChar w:fldCharType="begin"/>
        </w:r>
        <w:r>
          <w:rPr>
            <w:noProof/>
            <w:webHidden/>
          </w:rPr>
          <w:instrText xml:space="preserve"> PAGEREF _Toc234853964 \h </w:instrText>
        </w:r>
        <w:r>
          <w:rPr>
            <w:noProof/>
            <w:webHidden/>
          </w:rPr>
        </w:r>
        <w:r>
          <w:rPr>
            <w:noProof/>
            <w:webHidden/>
          </w:rPr>
          <w:fldChar w:fldCharType="separate"/>
        </w:r>
        <w:r>
          <w:rPr>
            <w:noProof/>
            <w:webHidden/>
          </w:rPr>
          <w:t>117</w:t>
        </w:r>
        <w:r>
          <w:rPr>
            <w:noProof/>
            <w:webHidden/>
          </w:rPr>
          <w:fldChar w:fldCharType="end"/>
        </w:r>
      </w:hyperlink>
    </w:p>
    <w:p w14:paraId="6DF2B172" w14:textId="37EB44A1"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65" w:history="1">
        <w:r w:rsidRPr="0031310A">
          <w:rPr>
            <w:rStyle w:val="Lienhypertexte"/>
            <w:noProof/>
          </w:rPr>
          <w:t>Tableau 41 : Financement des projets d’adaptation du secteur de l’eau dans le cadre de la CDN 3 0</w:t>
        </w:r>
        <w:r>
          <w:rPr>
            <w:noProof/>
            <w:webHidden/>
          </w:rPr>
          <w:tab/>
        </w:r>
        <w:r>
          <w:rPr>
            <w:noProof/>
            <w:webHidden/>
          </w:rPr>
          <w:fldChar w:fldCharType="begin"/>
        </w:r>
        <w:r>
          <w:rPr>
            <w:noProof/>
            <w:webHidden/>
          </w:rPr>
          <w:instrText xml:space="preserve"> PAGEREF _Toc234853965 \h </w:instrText>
        </w:r>
        <w:r>
          <w:rPr>
            <w:noProof/>
            <w:webHidden/>
          </w:rPr>
        </w:r>
        <w:r>
          <w:rPr>
            <w:noProof/>
            <w:webHidden/>
          </w:rPr>
          <w:fldChar w:fldCharType="separate"/>
        </w:r>
        <w:r>
          <w:rPr>
            <w:noProof/>
            <w:webHidden/>
          </w:rPr>
          <w:t>118</w:t>
        </w:r>
        <w:r>
          <w:rPr>
            <w:noProof/>
            <w:webHidden/>
          </w:rPr>
          <w:fldChar w:fldCharType="end"/>
        </w:r>
      </w:hyperlink>
    </w:p>
    <w:p w14:paraId="128E6218" w14:textId="47B093C9"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66" w:history="1">
        <w:r w:rsidRPr="0031310A">
          <w:rPr>
            <w:rStyle w:val="Lienhypertexte"/>
            <w:noProof/>
          </w:rPr>
          <w:t>Tableau 42 :  Projets d’adaptation identifiés pour le secteur de la biodiversité dans le cadre de la CDN 3 0</w:t>
        </w:r>
        <w:r>
          <w:rPr>
            <w:noProof/>
            <w:webHidden/>
          </w:rPr>
          <w:tab/>
        </w:r>
        <w:r>
          <w:rPr>
            <w:noProof/>
            <w:webHidden/>
          </w:rPr>
          <w:fldChar w:fldCharType="begin"/>
        </w:r>
        <w:r>
          <w:rPr>
            <w:noProof/>
            <w:webHidden/>
          </w:rPr>
          <w:instrText xml:space="preserve"> PAGEREF _Toc234853966 \h </w:instrText>
        </w:r>
        <w:r>
          <w:rPr>
            <w:noProof/>
            <w:webHidden/>
          </w:rPr>
        </w:r>
        <w:r>
          <w:rPr>
            <w:noProof/>
            <w:webHidden/>
          </w:rPr>
          <w:fldChar w:fldCharType="separate"/>
        </w:r>
        <w:r>
          <w:rPr>
            <w:noProof/>
            <w:webHidden/>
          </w:rPr>
          <w:t>119</w:t>
        </w:r>
        <w:r>
          <w:rPr>
            <w:noProof/>
            <w:webHidden/>
          </w:rPr>
          <w:fldChar w:fldCharType="end"/>
        </w:r>
      </w:hyperlink>
    </w:p>
    <w:p w14:paraId="7B55F9F9" w14:textId="2D59F161"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67" w:history="1">
        <w:r w:rsidRPr="0031310A">
          <w:rPr>
            <w:rStyle w:val="Lienhypertexte"/>
            <w:noProof/>
          </w:rPr>
          <w:t>Tableau 43 : Financement des projets d’adaptation du secteur de la biodiversité dans le cadre de la CDN 3.0</w:t>
        </w:r>
        <w:r>
          <w:rPr>
            <w:noProof/>
            <w:webHidden/>
          </w:rPr>
          <w:tab/>
        </w:r>
        <w:r>
          <w:rPr>
            <w:noProof/>
            <w:webHidden/>
          </w:rPr>
          <w:fldChar w:fldCharType="begin"/>
        </w:r>
        <w:r>
          <w:rPr>
            <w:noProof/>
            <w:webHidden/>
          </w:rPr>
          <w:instrText xml:space="preserve"> PAGEREF _Toc234853967 \h </w:instrText>
        </w:r>
        <w:r>
          <w:rPr>
            <w:noProof/>
            <w:webHidden/>
          </w:rPr>
        </w:r>
        <w:r>
          <w:rPr>
            <w:noProof/>
            <w:webHidden/>
          </w:rPr>
          <w:fldChar w:fldCharType="separate"/>
        </w:r>
        <w:r>
          <w:rPr>
            <w:noProof/>
            <w:webHidden/>
          </w:rPr>
          <w:t>120</w:t>
        </w:r>
        <w:r>
          <w:rPr>
            <w:noProof/>
            <w:webHidden/>
          </w:rPr>
          <w:fldChar w:fldCharType="end"/>
        </w:r>
      </w:hyperlink>
    </w:p>
    <w:p w14:paraId="2C63BBB2" w14:textId="56096365"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68" w:history="1">
        <w:r w:rsidRPr="0031310A">
          <w:rPr>
            <w:rStyle w:val="Lienhypertexte"/>
            <w:noProof/>
          </w:rPr>
          <w:t>Tableau 44 : Projets d’adaptation identifiés pour le secteur des infrastructures dans le cadre de la CDN 3 0</w:t>
        </w:r>
        <w:r>
          <w:rPr>
            <w:noProof/>
            <w:webHidden/>
          </w:rPr>
          <w:tab/>
        </w:r>
        <w:r>
          <w:rPr>
            <w:noProof/>
            <w:webHidden/>
          </w:rPr>
          <w:fldChar w:fldCharType="begin"/>
        </w:r>
        <w:r>
          <w:rPr>
            <w:noProof/>
            <w:webHidden/>
          </w:rPr>
          <w:instrText xml:space="preserve"> PAGEREF _Toc234853968 \h </w:instrText>
        </w:r>
        <w:r>
          <w:rPr>
            <w:noProof/>
            <w:webHidden/>
          </w:rPr>
        </w:r>
        <w:r>
          <w:rPr>
            <w:noProof/>
            <w:webHidden/>
          </w:rPr>
          <w:fldChar w:fldCharType="separate"/>
        </w:r>
        <w:r>
          <w:rPr>
            <w:noProof/>
            <w:webHidden/>
          </w:rPr>
          <w:t>121</w:t>
        </w:r>
        <w:r>
          <w:rPr>
            <w:noProof/>
            <w:webHidden/>
          </w:rPr>
          <w:fldChar w:fldCharType="end"/>
        </w:r>
      </w:hyperlink>
    </w:p>
    <w:p w14:paraId="0924676C" w14:textId="74577802" w:rsidR="00120ACC" w:rsidRDefault="00120ACC">
      <w:pPr>
        <w:pStyle w:val="Tabledesillustrations"/>
        <w:tabs>
          <w:tab w:val="right" w:leader="dot" w:pos="9394"/>
        </w:tabs>
        <w:rPr>
          <w:rFonts w:asciiTheme="minorHAnsi" w:eastAsiaTheme="minorEastAsia" w:hAnsiTheme="minorHAnsi" w:cstheme="minorBidi"/>
          <w:noProof/>
          <w:kern w:val="2"/>
          <w:sz w:val="24"/>
          <w:lang w:val="fr-FR" w:eastAsia="fr-FR"/>
          <w14:ligatures w14:val="standardContextual"/>
        </w:rPr>
      </w:pPr>
      <w:hyperlink w:anchor="_Toc234853969" w:history="1">
        <w:r w:rsidRPr="0031310A">
          <w:rPr>
            <w:rStyle w:val="Lienhypertexte"/>
            <w:noProof/>
          </w:rPr>
          <w:t>Tableau 45 : Financement des projets d’adaptation du secteur des infrastructures dans le cadre de la CDN 3 0</w:t>
        </w:r>
        <w:r>
          <w:rPr>
            <w:noProof/>
            <w:webHidden/>
          </w:rPr>
          <w:tab/>
        </w:r>
        <w:r>
          <w:rPr>
            <w:noProof/>
            <w:webHidden/>
          </w:rPr>
          <w:fldChar w:fldCharType="begin"/>
        </w:r>
        <w:r>
          <w:rPr>
            <w:noProof/>
            <w:webHidden/>
          </w:rPr>
          <w:instrText xml:space="preserve"> PAGEREF _Toc234853969 \h </w:instrText>
        </w:r>
        <w:r>
          <w:rPr>
            <w:noProof/>
            <w:webHidden/>
          </w:rPr>
        </w:r>
        <w:r>
          <w:rPr>
            <w:noProof/>
            <w:webHidden/>
          </w:rPr>
          <w:fldChar w:fldCharType="separate"/>
        </w:r>
        <w:r>
          <w:rPr>
            <w:noProof/>
            <w:webHidden/>
          </w:rPr>
          <w:t>122</w:t>
        </w:r>
        <w:r>
          <w:rPr>
            <w:noProof/>
            <w:webHidden/>
          </w:rPr>
          <w:fldChar w:fldCharType="end"/>
        </w:r>
      </w:hyperlink>
    </w:p>
    <w:p w14:paraId="6839D5BF" w14:textId="54A03FD9" w:rsidR="007959A8" w:rsidRPr="008B1817" w:rsidRDefault="005C6A78" w:rsidP="008B1817">
      <w:pPr>
        <w:spacing w:after="0" w:line="240" w:lineRule="auto"/>
        <w:rPr>
          <w:sz w:val="20"/>
          <w:szCs w:val="20"/>
          <w:lang w:val="en-US"/>
        </w:rPr>
        <w:sectPr w:rsidR="007959A8" w:rsidRPr="008B1817" w:rsidSect="002E725F">
          <w:pgSz w:w="12240" w:h="15840"/>
          <w:pgMar w:top="1418" w:right="1418" w:bottom="1418" w:left="1418" w:header="709" w:footer="709" w:gutter="0"/>
          <w:cols w:space="708"/>
          <w:docGrid w:linePitch="360"/>
        </w:sectPr>
      </w:pPr>
      <w:r w:rsidRPr="008B1817">
        <w:rPr>
          <w:sz w:val="20"/>
          <w:szCs w:val="20"/>
        </w:rPr>
        <w:fldChar w:fldCharType="end"/>
      </w:r>
    </w:p>
    <w:p w14:paraId="256B8277" w14:textId="53867251" w:rsidR="00B66F48" w:rsidRDefault="00B66F48" w:rsidP="00942314">
      <w:pPr>
        <w:pStyle w:val="Titre1"/>
        <w:spacing w:before="0"/>
      </w:pPr>
      <w:bookmarkStart w:id="5" w:name="_Toc234853849"/>
      <w:r w:rsidRPr="00860DB2">
        <w:lastRenderedPageBreak/>
        <w:t>Introduction</w:t>
      </w:r>
      <w:bookmarkEnd w:id="5"/>
      <w:r w:rsidR="008C40E4" w:rsidRPr="00860DB2">
        <w:t xml:space="preserve"> </w:t>
      </w:r>
    </w:p>
    <w:p w14:paraId="5DC81F47" w14:textId="751D4FD0" w:rsidR="002807F9" w:rsidRPr="00735F49" w:rsidRDefault="002807F9" w:rsidP="00942314">
      <w:pPr>
        <w:spacing w:after="120" w:line="240" w:lineRule="auto"/>
        <w:jc w:val="both"/>
        <w:rPr>
          <w:lang w:eastAsia="en-US"/>
        </w:rPr>
      </w:pPr>
      <w:r>
        <w:rPr>
          <w:lang w:eastAsia="en-US"/>
        </w:rPr>
        <w:t>L'élaboration de la troisième Contribution Déterminée au niveau National (CDN 3.0) du Mali s'inscrit dans un contexte marqué par la nécessité de renforcer l'ambition climatique nationale, d'améliorer la cohérence des contributions sectorielles et de consolider les acquis issus de la mise en œuvre de la CDN 2.0. Elle vise à traduire les priorités nationales de développement durable, de résilience climatique et de transition bas-carbone en engagements sectoriels structurés, quantifiés et opérationnels à l'horizon 2035, en cohérence avec les exigences du cycle de relèvement progressif de l'ambition prévu par l'Accord de Paris</w:t>
      </w:r>
      <w:r w:rsidRPr="00735F49">
        <w:rPr>
          <w:lang w:eastAsia="en-US"/>
        </w:rPr>
        <w:t>.</w:t>
      </w:r>
      <w:r w:rsidR="008E1644" w:rsidRPr="00735F49">
        <w:rPr>
          <w:lang w:eastAsia="en-US"/>
        </w:rPr>
        <w:t xml:space="preserve"> Cette ambition s’inscrit dans un contexte national particulièrement exigeant, caractérisé par une forte exposition du Mali aux aléas climatiques, une dépendance élevée de l’économie aux ressources naturelles et aux systèmes de production sensibles au climat, ainsi qu’une pression croissante sur les terres, l’eau, les forêts et les moyens d’existence ruraux. Pays sahélien à vaste superficie, dont une large part du territoire se situe en zones arides et semi-arides, le Mali est confronté à une combinaison de sécheresses récurrentes, d’inondations plus fréquentes, de dégradation accélérée des terres, d’irrégularité pluviométrique, de hausse des températures et de stress hydrique, avec des répercussions directes sur la sécurité alimentaire, la production agricole, l’élevage, l’accès à l’énergie, la disponibilité des ressources en eau et la résilience des communautés. Dans ce contexte, la CDN 3.0 constitue non seulement un instrument de contribution du Mali à l’effort mondial de lutte contre les changements climatiques, mais également un cadre stratégique de planification du développement résilient, visant à articuler plus étroitement action climatique, réduction de la pauvreté, sécurité alimentaire, création d’emplois verts, stabilité des territoires et attractivité des investissements climatiques.</w:t>
      </w:r>
    </w:p>
    <w:p w14:paraId="200C5C53" w14:textId="5D0A020E" w:rsidR="00E35393" w:rsidRPr="00735F49" w:rsidRDefault="00E35393" w:rsidP="00942314">
      <w:pPr>
        <w:spacing w:after="120" w:line="240" w:lineRule="auto"/>
        <w:jc w:val="both"/>
        <w:rPr>
          <w:lang w:eastAsia="en-US"/>
        </w:rPr>
      </w:pPr>
      <w:r w:rsidRPr="00E35393">
        <w:rPr>
          <w:lang w:eastAsia="en-US"/>
        </w:rPr>
        <w:t>C'est dans ce cadre que s'inscrit le présent rapport de revue sectorielle, élaboré sous la coordination de l'Agence de l'Environnement et du Développement Durable (AEDD) et avec l'appui financier du Programme des Nations Unies pour le Développement (PNUD). Il constitue une étape préparatoire essentielle du processus d'élaboration de la CDN 3.0, en fournissant une base technique consolidée pour l'identification, la structuration et la hiérarchisation des contributions sectorielles du Mali. À cette fin, il examine les cadres politiques, stratégiques et programmatiques existants, analyse les propositions formulées par les parties prenantes et apprécie leur cohérence avec les priorités nationales, les enjeux climatiques sectoriels et les exigences de mise en œuvre de la future contribution</w:t>
      </w:r>
      <w:r w:rsidRPr="00735F49">
        <w:rPr>
          <w:lang w:eastAsia="en-US"/>
        </w:rPr>
        <w:t>.</w:t>
      </w:r>
      <w:r w:rsidR="008E1644" w:rsidRPr="00735F49">
        <w:rPr>
          <w:lang w:eastAsia="en-US"/>
        </w:rPr>
        <w:t xml:space="preserve"> Le rapport s’inscrit ainsi dans une logique de consolidation de l’architecture climatique nationale, en assurant l’alignement de la future CDN avec les principaux référentiels et instruments de planification du pays, notamment les politiques et stratégies sectorielles relatives à l’agriculture, à l’énergie, à l’eau, à la foresterie, à l’assainissement, à la météorologie, à la décentralisation, ainsi qu’avec les engagements internationaux du Mali au titre de l’Accord de Paris, du Cadre de Sendai, des Objectifs de développement durable et, le cas échéant, des cadres nationaux en matière d’adaptation, de neutralité en matière de dégradation des terres et de gestion durable des ressources naturelles. Elle répond également à la nécessité de mieux articuler les priorités de développement et les objectifs climatiques, dans un contexte où les besoins d’investissement pour l’adaptation, l’accès à l’énergie durable, la restauration des écosystèmes, la transformation des systèmes agropastoraux et la résilience des infrastructures demeurent considérables.</w:t>
      </w:r>
    </w:p>
    <w:p w14:paraId="73E819DF" w14:textId="202106D4" w:rsidR="002807F9" w:rsidRPr="00AF31EC" w:rsidRDefault="002807F9" w:rsidP="00942314">
      <w:pPr>
        <w:spacing w:after="120" w:line="240" w:lineRule="auto"/>
        <w:jc w:val="both"/>
        <w:rPr>
          <w:lang w:eastAsia="en-US"/>
        </w:rPr>
      </w:pPr>
      <w:r>
        <w:rPr>
          <w:lang w:eastAsia="en-US"/>
        </w:rPr>
        <w:t>L'analyse couvre l'ensemble des secteurs retenus dans le cadre de la CDN 3.0, tant pour l'atténuation (énergie, agriculture, forêts, déchets) que pour l'adaptation (agriculture, énergie, eau, biodiversité, infrastructures), ainsi que plusieurs domaines transversaux (météorologie, collectivités territoriales, société civile, renforcement des capacités). Elle s'appuie sur un travail d'investigation multi-sources combinant l'évaluation des engagements de la CDN 2.0, les consultations bilatérales et sectorielles menées avec les structures techniques nationales, les fiches de collecte renseignées par les institutions porteuses, ainsi que la revue documentaire des politiques et stratégies sectorielles en vigueur.</w:t>
      </w:r>
      <w:r w:rsidR="008E1644">
        <w:rPr>
          <w:lang w:eastAsia="en-US"/>
        </w:rPr>
        <w:t xml:space="preserve"> </w:t>
      </w:r>
      <w:r w:rsidR="008E1644" w:rsidRPr="00AF31EC">
        <w:rPr>
          <w:lang w:eastAsia="en-US"/>
        </w:rPr>
        <w:t xml:space="preserve">Cette approche vise à </w:t>
      </w:r>
      <w:r w:rsidR="008E1644" w:rsidRPr="00AF31EC">
        <w:rPr>
          <w:lang w:eastAsia="en-US"/>
        </w:rPr>
        <w:lastRenderedPageBreak/>
        <w:t>garantir une lecture à la fois technique, institutionnelle et opérationnelle des contributions sectorielles, en tenant compte des réalités de mise en œuvre, du niveau de maturité des propositions formulées, des capacités institutionnelles disponibles, des besoins de financement, ainsi que des synergies et arbitrages nécessaires entre adaptation, atténuation et développement. Elle permet également de documenter les principaux déterminants de la vulnérabilité sectorielle au Mali, en particulier la dépendance de l’agriculture et de l’élevage aux régimes pluviométriques, la pression exercée sur les ressources forestières par la demande en bois-énergie, les contraintes d’accès à une énergie moderne et abordable, la vulnérabilité des infrastructures et des établissements humains face aux inondations, ainsi que la faiblesse persistante des systèmes de gestion des déchets, de suivi climatique et de services météorologiques à l’échelle territoriale.</w:t>
      </w:r>
    </w:p>
    <w:p w14:paraId="66953766" w14:textId="4956EFD9" w:rsidR="002E2556" w:rsidRPr="00A66239" w:rsidRDefault="002E2556" w:rsidP="00942314">
      <w:pPr>
        <w:spacing w:after="120" w:line="240" w:lineRule="auto"/>
        <w:jc w:val="both"/>
        <w:rPr>
          <w:lang w:eastAsia="en-US"/>
        </w:rPr>
      </w:pPr>
      <w:r w:rsidRPr="002E2556">
        <w:rPr>
          <w:lang w:eastAsia="en-US"/>
        </w:rPr>
        <w:t>La revue procède à plusieurs niveaux de travail technique. Elle dresse d'abord un état des lieux des orientations sectorielles existantes et recense les mesures et projets proposés par les parties prenantes, en appréciant leur niveau de maturité et leur degré de structuration. Elle conduit ensuite un travail de consolidation et de mise en cohérence des portefeuilles sectoriels, afin de dégager des mesures intégrées, lisibles et suivables, en particulier lorsque plusieurs initiatives portées par des structures différentes recouvrent des logiques d'intervention similaires. Pour le volet atténuation, le rapport contribue à la construction des lignes de base sectorielles via une modélisation prospective sous LEAP (Low Emissions Analysis Platform) calée sur les données nationales les plus récentes, à l'élaboration des trajectoires d'émissions à l'horizon 2035, à l'évaluation harmonisée des potentiels de réduction d'émissions associés à chaque mesure consolidée ainsi qu'à la formulation d'objectifs sectoriels chiffrés. Pour le volet adaptation, il caractérise les priorités des secteurs les plus vulnérables, les risques climatiques ciblés, les besoins de financement et les conditions nécessaires à une mise en œuvre effective</w:t>
      </w:r>
      <w:r w:rsidRPr="00A66239">
        <w:rPr>
          <w:lang w:eastAsia="en-US"/>
        </w:rPr>
        <w:t>.</w:t>
      </w:r>
      <w:r w:rsidR="008E1644" w:rsidRPr="00A66239">
        <w:rPr>
          <w:lang w:eastAsia="en-US"/>
        </w:rPr>
        <w:t xml:space="preserve"> Ce travail de revue sectorielle vise également à améliorer la robustesse méthodologique de la future CDN en facilitant l’identification d’options de contribution à la fois techniquement faisables, économiquement soutenables, institutionnellement portables et compatibles avec les capacités de suivi-évaluation du pays. Dans cette perspective, la revue ne se limite pas à inventorier des intentions d’action, mais cherche à structurer un portefeuille cohérent de mesures pouvant être traduites en engagements sectoriels crédibles, assortis d’hypothèses explicites, d’indicateurs de suivi, d’estimations de coûts, de besoins en renforcement des capacités et, lorsque cela est possible, de co-bénéfices attendus en matière de résilience, de productivité, d’emploi, de santé, de préservation des écosystèmes et de réduction de la pauvreté. Elle permet en outre de préparer l’intégration progressive d’outils renforcés de transparence, de suivi des résultats et de mesure des progrès en matière d’adaptation, dans la perspective du renforcement du cadre national de suivi de l’action climatique et des futurs exercices de rapportage au titre de l’Accord de Paris.</w:t>
      </w:r>
    </w:p>
    <w:p w14:paraId="22BB0D5F" w14:textId="7E607558" w:rsidR="00370D2F" w:rsidRPr="00A66239" w:rsidRDefault="002807F9" w:rsidP="00942314">
      <w:pPr>
        <w:spacing w:after="120" w:line="240" w:lineRule="auto"/>
        <w:jc w:val="both"/>
        <w:rPr>
          <w:lang w:eastAsia="en-US"/>
        </w:rPr>
      </w:pPr>
      <w:r>
        <w:rPr>
          <w:lang w:eastAsia="en-US"/>
        </w:rPr>
        <w:t>Au-delà d'un exercice de compilation, la revue met en évidence, pour chaque secteur, les gisements d'atténuation complémentaires qui pourraient permettre de rehausser l'ambition sectorielle au-delà des seuils retenus à ce stade, en cohérence avec les orientations déjà actées dans les politiques nationales, et propose des pistes d'action pour mieux structurer la réponse aux enjeux d'adaptation des secteurs les plus vulnérables. Elle constitue à ce titre un outil d'aide à la décision pour la formulation d'une CDN 3.0 plus opérationnelle, mieux alignée sur les priorités nationales du Mali et davantage orientée vers la mise en œuvre, le suivi des résultats, la mobilisation des financements climatiques et l'attractivité du pays auprès des investisseurs et partenaires techniques et financiers internationaux</w:t>
      </w:r>
      <w:r w:rsidR="008E1644" w:rsidRPr="00A66239">
        <w:rPr>
          <w:lang w:eastAsia="en-US"/>
        </w:rPr>
        <w:t xml:space="preserve">. À ce titre, elle contribue à éclairer les arbitrages nécessaires entre ambition climatique, réalisme de mise en œuvre et priorisation des investissements, en mettant en évidence les mesures les plus structurantes pour accélérer la transition vers des systèmes productifs plus sobres en carbone, plus résilients et plus inclusifs. Elle offre également une base de dialogue entre les acteurs sectoriels, les institutions de planification, les collectivités territoriales, les partenaires techniques et financiers, le secteur privé et la société civile, en vue de faire de la CDN 3.0 un cadre fédérateur, orienté vers les résultats, capable de soutenir à la fois l’adaptation des </w:t>
      </w:r>
      <w:r w:rsidR="008E1644" w:rsidRPr="00A66239">
        <w:rPr>
          <w:lang w:eastAsia="en-US"/>
        </w:rPr>
        <w:lastRenderedPageBreak/>
        <w:t>populations et des territoires, la réduction progressive des émissions de gaz à effet de serre et la transformation durable de l’économie malienne à l’horizon 2035</w:t>
      </w:r>
      <w:r w:rsidRPr="00A66239">
        <w:rPr>
          <w:lang w:eastAsia="en-US"/>
        </w:rPr>
        <w:t>.</w:t>
      </w:r>
    </w:p>
    <w:p w14:paraId="048D0499" w14:textId="77777777" w:rsidR="00402395" w:rsidRDefault="00402395" w:rsidP="00A66239">
      <w:pPr>
        <w:pStyle w:val="Titre1"/>
        <w:numPr>
          <w:ilvl w:val="0"/>
          <w:numId w:val="0"/>
        </w:numPr>
        <w:ind w:left="284" w:hanging="284"/>
        <w:sectPr w:rsidR="00402395" w:rsidSect="00402395">
          <w:headerReference w:type="default" r:id="rId15"/>
          <w:pgSz w:w="12240" w:h="15840"/>
          <w:pgMar w:top="1411" w:right="1411" w:bottom="1411" w:left="1411" w:header="706" w:footer="706" w:gutter="0"/>
          <w:cols w:space="708"/>
          <w:docGrid w:linePitch="360"/>
        </w:sectPr>
      </w:pPr>
    </w:p>
    <w:p w14:paraId="578415C4" w14:textId="4FFFC87C" w:rsidR="00517742" w:rsidRDefault="00871218" w:rsidP="00B208F2">
      <w:pPr>
        <w:pStyle w:val="Titre1"/>
        <w:spacing w:before="0" w:after="120"/>
      </w:pPr>
      <w:bookmarkStart w:id="6" w:name="_Toc234853850"/>
      <w:r w:rsidRPr="00871218">
        <w:lastRenderedPageBreak/>
        <w:t>Revue des politiques et cadres sectoriels existants</w:t>
      </w:r>
      <w:bookmarkEnd w:id="6"/>
    </w:p>
    <w:p w14:paraId="5B3535D9" w14:textId="77777777" w:rsidR="008E1644" w:rsidRPr="008E1644" w:rsidRDefault="00057598" w:rsidP="008E1644">
      <w:pPr>
        <w:tabs>
          <w:tab w:val="left" w:pos="0"/>
        </w:tabs>
        <w:jc w:val="both"/>
        <w:rPr>
          <w:lang w:eastAsia="en-US"/>
        </w:rPr>
      </w:pPr>
      <w:r w:rsidRPr="00057598">
        <w:rPr>
          <w:lang w:eastAsia="en-US"/>
        </w:rPr>
        <w:t xml:space="preserve">Avant d'examiner les politiques et instruments sectoriels mobilisables pour l'élaboration de la CDN 3.0, il convient de situer cette dernière dans le cadre stratégique national plus large, structuré par trois instruments transversaux qui fixent la vision et les orientations d'ensemble en matière de changements climatiques et de développement durable au Mali : la Politique Nationale sur les Changements Climatiques (PNCC, 2011), sa Stratégie Nationale Changements Climatiques (SNCC, 2011) et l'Étude Nationale Prospective Mali 2063. </w:t>
      </w:r>
      <w:r w:rsidR="002858FD" w:rsidRPr="002858FD">
        <w:rPr>
          <w:lang w:eastAsia="en-US"/>
        </w:rPr>
        <w:t>Ces trois référentiels constituent le socle d'orientation auquel se rattachent les politiques sectorielles présentées dans les sections suivantes</w:t>
      </w:r>
      <w:r w:rsidR="008E1644" w:rsidRPr="00A66239">
        <w:rPr>
          <w:lang w:eastAsia="en-US"/>
        </w:rPr>
        <w:t>, en assurant l’alignement de la CDN 3.0 avec les priorités nationales de résilience climatique, de développement sobre en carbone, de gestion durable des ressources naturelles et de transformation structurelle de l’économie malienne à l’horizon 2035 et au-delà.</w:t>
      </w:r>
    </w:p>
    <w:p w14:paraId="661E93C8" w14:textId="235FAFDC" w:rsidR="00F245EE" w:rsidRDefault="002858FD" w:rsidP="00942314">
      <w:pPr>
        <w:tabs>
          <w:tab w:val="left" w:pos="0"/>
        </w:tabs>
        <w:spacing w:line="240" w:lineRule="auto"/>
        <w:jc w:val="both"/>
        <w:rPr>
          <w:lang w:eastAsia="en-US"/>
        </w:rPr>
      </w:pPr>
      <w:r>
        <w:rPr>
          <w:lang w:eastAsia="en-US"/>
        </w:rPr>
        <w:t> :</w:t>
      </w:r>
    </w:p>
    <w:p w14:paraId="4E6905A3" w14:textId="27B8C83F" w:rsidR="003E6718" w:rsidRDefault="003E6718" w:rsidP="003E6718">
      <w:pPr>
        <w:pStyle w:val="Lgende"/>
        <w:keepNext/>
        <w:spacing w:after="120"/>
      </w:pPr>
      <w:bookmarkStart w:id="7" w:name="_Toc234853925"/>
      <w:r>
        <w:t xml:space="preserve">Tableau </w:t>
      </w:r>
      <w:r>
        <w:fldChar w:fldCharType="begin"/>
      </w:r>
      <w:r>
        <w:instrText xml:space="preserve"> SEQ Tableau \* ARABIC </w:instrText>
      </w:r>
      <w:r>
        <w:fldChar w:fldCharType="separate"/>
      </w:r>
      <w:r w:rsidR="0018772E">
        <w:rPr>
          <w:noProof/>
        </w:rPr>
        <w:t>1</w:t>
      </w:r>
      <w:r>
        <w:fldChar w:fldCharType="end"/>
      </w:r>
      <w:r>
        <w:t xml:space="preserve"> : </w:t>
      </w:r>
      <w:r w:rsidRPr="00F3309C">
        <w:t>Synthèse des référentiels stratégiques transversaux en matière de changements climatiques au Mali</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90"/>
        <w:gridCol w:w="2972"/>
        <w:gridCol w:w="4125"/>
        <w:gridCol w:w="4026"/>
      </w:tblGrid>
      <w:tr w:rsidR="00F245EE" w:rsidRPr="00B208F2" w14:paraId="4A6642D5" w14:textId="77777777" w:rsidTr="00F262B5">
        <w:trPr>
          <w:trHeight w:val="283"/>
          <w:tblHeader/>
        </w:trPr>
        <w:tc>
          <w:tcPr>
            <w:tcW w:w="726" w:type="pct"/>
            <w:tcBorders>
              <w:top w:val="single" w:sz="4" w:space="0" w:color="BFBFBF"/>
              <w:left w:val="nil"/>
              <w:bottom w:val="single" w:sz="4" w:space="0" w:color="BFBFBF"/>
              <w:right w:val="nil"/>
            </w:tcBorders>
            <w:shd w:val="clear" w:color="auto" w:fill="1F4E79" w:themeFill="accent1" w:themeFillShade="80"/>
            <w:vAlign w:val="center"/>
          </w:tcPr>
          <w:p w14:paraId="393FE178" w14:textId="72532F06" w:rsidR="00F245EE" w:rsidRPr="00B208F2" w:rsidRDefault="00F245EE" w:rsidP="00E7007D">
            <w:pPr>
              <w:spacing w:after="0" w:line="240" w:lineRule="auto"/>
              <w:jc w:val="center"/>
              <w:rPr>
                <w:rFonts w:eastAsia="Arial"/>
                <w:b/>
                <w:color w:val="FFFFFF"/>
                <w:sz w:val="18"/>
                <w:szCs w:val="18"/>
                <w:lang w:eastAsia="en-US"/>
              </w:rPr>
            </w:pPr>
            <w:r w:rsidRPr="00B208F2">
              <w:rPr>
                <w:sz w:val="18"/>
                <w:szCs w:val="18"/>
                <w:lang w:eastAsia="en-US"/>
              </w:rPr>
              <w:br w:type="page"/>
            </w:r>
            <w:r w:rsidRPr="00B208F2">
              <w:rPr>
                <w:rFonts w:eastAsia="Arial"/>
                <w:b/>
                <w:color w:val="FFFFFF"/>
                <w:sz w:val="18"/>
                <w:szCs w:val="18"/>
                <w:lang w:eastAsia="en-US"/>
              </w:rPr>
              <w:t>Instrument</w:t>
            </w:r>
          </w:p>
        </w:tc>
        <w:tc>
          <w:tcPr>
            <w:tcW w:w="1142" w:type="pct"/>
            <w:tcBorders>
              <w:top w:val="single" w:sz="4" w:space="0" w:color="BFBFBF"/>
              <w:left w:val="nil"/>
              <w:bottom w:val="single" w:sz="4" w:space="0" w:color="BFBFBF"/>
              <w:right w:val="single" w:sz="4" w:space="0" w:color="BFBFBF"/>
            </w:tcBorders>
            <w:shd w:val="clear" w:color="auto" w:fill="1F4E79" w:themeFill="accent1" w:themeFillShade="80"/>
            <w:tcMar>
              <w:top w:w="100" w:type="dxa"/>
              <w:left w:w="120" w:type="dxa"/>
              <w:bottom w:w="100" w:type="dxa"/>
              <w:right w:w="120" w:type="dxa"/>
            </w:tcMar>
            <w:vAlign w:val="center"/>
          </w:tcPr>
          <w:p w14:paraId="27FA6190" w14:textId="77777777" w:rsidR="00F245EE" w:rsidRPr="00B208F2" w:rsidRDefault="00F245EE" w:rsidP="00E7007D">
            <w:pPr>
              <w:spacing w:after="0" w:line="240" w:lineRule="auto"/>
              <w:jc w:val="center"/>
              <w:rPr>
                <w:rFonts w:eastAsia="Arial"/>
                <w:sz w:val="18"/>
                <w:szCs w:val="18"/>
                <w:lang w:eastAsia="en-US"/>
              </w:rPr>
            </w:pPr>
            <w:r w:rsidRPr="00B208F2">
              <w:rPr>
                <w:rFonts w:eastAsia="Arial"/>
                <w:b/>
                <w:color w:val="FFFFFF"/>
                <w:sz w:val="18"/>
                <w:szCs w:val="18"/>
                <w:lang w:eastAsia="en-US"/>
              </w:rPr>
              <w:t>Portée et vision</w:t>
            </w:r>
          </w:p>
        </w:tc>
        <w:tc>
          <w:tcPr>
            <w:tcW w:w="1585" w:type="pct"/>
            <w:tcBorders>
              <w:top w:val="single" w:sz="4" w:space="0" w:color="BFBFBF"/>
              <w:left w:val="single" w:sz="4" w:space="0" w:color="BFBFBF"/>
              <w:bottom w:val="single" w:sz="4" w:space="0" w:color="BFBFBF"/>
              <w:right w:val="single" w:sz="4" w:space="0" w:color="BFBFBF"/>
            </w:tcBorders>
            <w:shd w:val="clear" w:color="auto" w:fill="1F4E79" w:themeFill="accent1" w:themeFillShade="80"/>
            <w:tcMar>
              <w:top w:w="100" w:type="dxa"/>
              <w:left w:w="120" w:type="dxa"/>
              <w:bottom w:w="100" w:type="dxa"/>
              <w:right w:w="120" w:type="dxa"/>
            </w:tcMar>
            <w:vAlign w:val="center"/>
          </w:tcPr>
          <w:p w14:paraId="4B7DA203" w14:textId="77777777" w:rsidR="00F245EE" w:rsidRPr="00B208F2" w:rsidRDefault="00F245EE" w:rsidP="00E7007D">
            <w:pPr>
              <w:spacing w:after="0" w:line="240" w:lineRule="auto"/>
              <w:jc w:val="center"/>
              <w:rPr>
                <w:rFonts w:eastAsia="Arial"/>
                <w:sz w:val="18"/>
                <w:szCs w:val="18"/>
                <w:lang w:eastAsia="en-US"/>
              </w:rPr>
            </w:pPr>
            <w:r w:rsidRPr="00B208F2">
              <w:rPr>
                <w:rFonts w:eastAsia="Arial"/>
                <w:b/>
                <w:color w:val="FFFFFF"/>
                <w:sz w:val="18"/>
                <w:szCs w:val="18"/>
                <w:lang w:eastAsia="en-US"/>
              </w:rPr>
              <w:t>Principaux axes — Atténuation</w:t>
            </w:r>
          </w:p>
        </w:tc>
        <w:tc>
          <w:tcPr>
            <w:tcW w:w="1547" w:type="pct"/>
            <w:tcBorders>
              <w:top w:val="single" w:sz="4" w:space="0" w:color="BFBFBF"/>
              <w:left w:val="single" w:sz="4" w:space="0" w:color="BFBFBF"/>
              <w:bottom w:val="single" w:sz="4" w:space="0" w:color="BFBFBF"/>
              <w:right w:val="single" w:sz="4" w:space="0" w:color="BFBFBF"/>
            </w:tcBorders>
            <w:shd w:val="clear" w:color="auto" w:fill="1F4E79" w:themeFill="accent1" w:themeFillShade="80"/>
            <w:tcMar>
              <w:top w:w="100" w:type="dxa"/>
              <w:left w:w="120" w:type="dxa"/>
              <w:bottom w:w="100" w:type="dxa"/>
              <w:right w:w="120" w:type="dxa"/>
            </w:tcMar>
            <w:vAlign w:val="center"/>
          </w:tcPr>
          <w:p w14:paraId="2DBD189E" w14:textId="77777777" w:rsidR="00F245EE" w:rsidRPr="00B208F2" w:rsidRDefault="00F245EE" w:rsidP="00E7007D">
            <w:pPr>
              <w:spacing w:after="0" w:line="240" w:lineRule="auto"/>
              <w:jc w:val="center"/>
              <w:rPr>
                <w:rFonts w:eastAsia="Arial"/>
                <w:sz w:val="18"/>
                <w:szCs w:val="18"/>
                <w:lang w:eastAsia="en-US"/>
              </w:rPr>
            </w:pPr>
            <w:r w:rsidRPr="00B208F2">
              <w:rPr>
                <w:rFonts w:eastAsia="Arial"/>
                <w:b/>
                <w:color w:val="FFFFFF"/>
                <w:sz w:val="18"/>
                <w:szCs w:val="18"/>
                <w:lang w:eastAsia="en-US"/>
              </w:rPr>
              <w:t>Principaux axes — Adaptation</w:t>
            </w:r>
          </w:p>
        </w:tc>
      </w:tr>
      <w:tr w:rsidR="00F245EE" w:rsidRPr="00B208F2" w14:paraId="6017D7FC" w14:textId="77777777" w:rsidTr="00B208F2">
        <w:trPr>
          <w:trHeight w:val="20"/>
        </w:trPr>
        <w:tc>
          <w:tcPr>
            <w:tcW w:w="726"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70F7ACE9" w14:textId="14293EAE" w:rsidR="00F245EE" w:rsidRPr="00B208F2" w:rsidRDefault="00F245EE" w:rsidP="001D3AA7">
            <w:pPr>
              <w:spacing w:after="0" w:line="280" w:lineRule="auto"/>
              <w:jc w:val="center"/>
              <w:rPr>
                <w:rFonts w:eastAsia="Arial"/>
                <w:sz w:val="18"/>
                <w:szCs w:val="18"/>
                <w:lang w:eastAsia="en-US"/>
              </w:rPr>
            </w:pPr>
            <w:r w:rsidRPr="00B208F2">
              <w:rPr>
                <w:rFonts w:eastAsia="Arial"/>
                <w:b/>
                <w:sz w:val="18"/>
                <w:szCs w:val="18"/>
                <w:lang w:eastAsia="en-US"/>
              </w:rPr>
              <w:t>PNCC</w:t>
            </w:r>
            <w:r w:rsidRPr="00B208F2">
              <w:rPr>
                <w:rFonts w:eastAsia="Arial"/>
                <w:sz w:val="18"/>
                <w:szCs w:val="18"/>
                <w:lang w:eastAsia="en-US"/>
              </w:rPr>
              <w:t xml:space="preserve"> (2011)</w:t>
            </w:r>
          </w:p>
        </w:tc>
        <w:tc>
          <w:tcPr>
            <w:tcW w:w="1142"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49831785" w14:textId="77777777" w:rsidR="00F245EE" w:rsidRPr="00B208F2" w:rsidRDefault="00F245EE" w:rsidP="001D3AA7">
            <w:pPr>
              <w:spacing w:after="0" w:line="280" w:lineRule="auto"/>
              <w:rPr>
                <w:rFonts w:eastAsia="Arial"/>
                <w:sz w:val="18"/>
                <w:szCs w:val="18"/>
                <w:lang w:eastAsia="en-US"/>
              </w:rPr>
            </w:pPr>
            <w:r w:rsidRPr="00B208F2">
              <w:rPr>
                <w:rFonts w:eastAsia="Arial"/>
                <w:sz w:val="18"/>
                <w:szCs w:val="18"/>
                <w:lang w:eastAsia="en-US"/>
              </w:rPr>
              <w:t>Cadre national de référence sur les changements climatiques. Vision à l'horizon 2025 d'un développement socio-économique durable intégrant les défis climatiques dans tous les secteurs.</w:t>
            </w:r>
          </w:p>
        </w:tc>
        <w:tc>
          <w:tcPr>
            <w:tcW w:w="1585"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452A2986" w14:textId="77777777" w:rsidR="00F245EE" w:rsidRPr="00B208F2" w:rsidRDefault="00F245EE" w:rsidP="001D3AA7">
            <w:pPr>
              <w:spacing w:after="0" w:line="280" w:lineRule="auto"/>
              <w:rPr>
                <w:rFonts w:eastAsia="Arial"/>
                <w:sz w:val="18"/>
                <w:szCs w:val="18"/>
                <w:lang w:eastAsia="en-US"/>
              </w:rPr>
            </w:pPr>
            <w:r w:rsidRPr="00B208F2">
              <w:rPr>
                <w:rFonts w:eastAsia="Arial"/>
                <w:sz w:val="18"/>
                <w:szCs w:val="18"/>
                <w:lang w:eastAsia="en-US"/>
              </w:rPr>
              <w:t>Promotion des actions d'atténuation des émissions de GES, en priorité dans les secteurs énergie (renouvelables, efficacité énergétique, biocarburants), foresterie (boisement, lutte contre la déforestation, REDD+), biomasse et déchets ménagers.</w:t>
            </w:r>
          </w:p>
        </w:tc>
        <w:tc>
          <w:tcPr>
            <w:tcW w:w="1547"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D87DC35" w14:textId="77777777" w:rsidR="00F245EE" w:rsidRPr="00B208F2" w:rsidRDefault="00F245EE" w:rsidP="001D3AA7">
            <w:pPr>
              <w:spacing w:after="0" w:line="280" w:lineRule="auto"/>
              <w:rPr>
                <w:rFonts w:eastAsia="Arial"/>
                <w:sz w:val="18"/>
                <w:szCs w:val="18"/>
                <w:lang w:eastAsia="en-US"/>
              </w:rPr>
            </w:pPr>
            <w:r w:rsidRPr="00B208F2">
              <w:rPr>
                <w:rFonts w:eastAsia="Arial"/>
                <w:sz w:val="18"/>
                <w:szCs w:val="18"/>
                <w:lang w:eastAsia="en-US"/>
              </w:rPr>
              <w:t>Renforcement des actions d'adaptation conformément aux options du PANA, en ciblant prioritairement les secteurs les plus vulnérables : agriculture, santé, pêche, énergie, ressources en eau, élevage, forêt-faune, habitat, transport, industrie.</w:t>
            </w:r>
          </w:p>
        </w:tc>
      </w:tr>
      <w:tr w:rsidR="00F245EE" w:rsidRPr="00B208F2" w14:paraId="7CB760C2" w14:textId="77777777" w:rsidTr="00B208F2">
        <w:trPr>
          <w:trHeight w:val="1248"/>
        </w:trPr>
        <w:tc>
          <w:tcPr>
            <w:tcW w:w="726"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53F237CD" w14:textId="0D564A38" w:rsidR="00F245EE" w:rsidRPr="00B208F2" w:rsidRDefault="00F245EE" w:rsidP="001D3AA7">
            <w:pPr>
              <w:spacing w:after="0" w:line="280" w:lineRule="auto"/>
              <w:jc w:val="center"/>
              <w:rPr>
                <w:rFonts w:eastAsia="Arial"/>
                <w:sz w:val="18"/>
                <w:szCs w:val="18"/>
                <w:lang w:eastAsia="en-US"/>
              </w:rPr>
            </w:pPr>
            <w:r w:rsidRPr="00B208F2">
              <w:rPr>
                <w:rFonts w:eastAsia="Arial"/>
                <w:b/>
                <w:sz w:val="18"/>
                <w:szCs w:val="18"/>
                <w:lang w:eastAsia="en-US"/>
              </w:rPr>
              <w:t>SNCC</w:t>
            </w:r>
            <w:r w:rsidRPr="00B208F2">
              <w:rPr>
                <w:rFonts w:eastAsia="Arial"/>
                <w:sz w:val="18"/>
                <w:szCs w:val="18"/>
                <w:lang w:eastAsia="en-US"/>
              </w:rPr>
              <w:t xml:space="preserve"> (2011)</w:t>
            </w:r>
          </w:p>
        </w:tc>
        <w:tc>
          <w:tcPr>
            <w:tcW w:w="1142"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84D5C75" w14:textId="77777777" w:rsidR="00F245EE" w:rsidRPr="00B208F2" w:rsidRDefault="00F245EE" w:rsidP="001D3AA7">
            <w:pPr>
              <w:spacing w:after="0" w:line="280" w:lineRule="auto"/>
              <w:rPr>
                <w:rFonts w:eastAsia="Arial"/>
                <w:sz w:val="18"/>
                <w:szCs w:val="18"/>
                <w:lang w:eastAsia="en-US"/>
              </w:rPr>
            </w:pPr>
            <w:r w:rsidRPr="00B208F2">
              <w:rPr>
                <w:rFonts w:eastAsia="Arial"/>
                <w:sz w:val="18"/>
                <w:szCs w:val="18"/>
                <w:lang w:eastAsia="en-US"/>
              </w:rPr>
              <w:t>Instrument d'opérationnalisation de la PNCC, mis en œuvre via le Plan d'Action National Climat (PANC 2012-2017, 148 actions).</w:t>
            </w:r>
          </w:p>
        </w:tc>
        <w:tc>
          <w:tcPr>
            <w:tcW w:w="1585"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4AE0EBDD" w14:textId="77777777" w:rsidR="00F245EE" w:rsidRPr="00B208F2" w:rsidRDefault="00F245EE" w:rsidP="001D3AA7">
            <w:pPr>
              <w:spacing w:after="0" w:line="280" w:lineRule="auto"/>
              <w:rPr>
                <w:rFonts w:eastAsia="Arial"/>
                <w:sz w:val="18"/>
                <w:szCs w:val="18"/>
                <w:lang w:eastAsia="en-US"/>
              </w:rPr>
            </w:pPr>
            <w:r w:rsidRPr="00B208F2">
              <w:rPr>
                <w:rFonts w:eastAsia="Arial"/>
                <w:sz w:val="18"/>
                <w:szCs w:val="18"/>
                <w:lang w:eastAsia="en-US"/>
              </w:rPr>
              <w:t xml:space="preserve">Mise en œuvre des mesures d'atténuation dans les secteurs énergie, foresterie, agriculture et déchets ; promotion du transfert de technologies bas-carbone ; développement des projets MDP et REDD+. </w:t>
            </w:r>
            <w:r w:rsidRPr="00B208F2">
              <w:rPr>
                <w:rFonts w:eastAsia="Arial"/>
                <w:i/>
                <w:sz w:val="18"/>
                <w:szCs w:val="18"/>
                <w:lang w:eastAsia="en-US"/>
              </w:rPr>
              <w:t>(20 % des actions du PANC dédiées à l'atténuation.)</w:t>
            </w:r>
          </w:p>
        </w:tc>
        <w:tc>
          <w:tcPr>
            <w:tcW w:w="1547"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31C564C3" w14:textId="77777777" w:rsidR="00F245EE" w:rsidRPr="00B208F2" w:rsidRDefault="00F245EE" w:rsidP="001D3AA7">
            <w:pPr>
              <w:spacing w:after="0" w:line="280" w:lineRule="auto"/>
              <w:rPr>
                <w:rFonts w:eastAsia="Arial"/>
                <w:sz w:val="18"/>
                <w:szCs w:val="18"/>
                <w:lang w:eastAsia="en-US"/>
              </w:rPr>
            </w:pPr>
            <w:r w:rsidRPr="00B208F2">
              <w:rPr>
                <w:rFonts w:eastAsia="Arial"/>
                <w:sz w:val="18"/>
                <w:szCs w:val="18"/>
                <w:lang w:eastAsia="en-US"/>
              </w:rPr>
              <w:t xml:space="preserve">Renforcement de la résilience des systèmes vulnérables ; planification du développement sensible aux changements climatiques ; prévention et gestion des risques et catastrophes naturelles. </w:t>
            </w:r>
            <w:r w:rsidRPr="00B208F2">
              <w:rPr>
                <w:rFonts w:eastAsia="Arial"/>
                <w:i/>
                <w:sz w:val="18"/>
                <w:szCs w:val="18"/>
                <w:lang w:eastAsia="en-US"/>
              </w:rPr>
              <w:t>(40 % des actions du PANC dédiées à l'adaptation.)</w:t>
            </w:r>
          </w:p>
        </w:tc>
      </w:tr>
      <w:tr w:rsidR="00F245EE" w:rsidRPr="00B208F2" w14:paraId="268F76B0" w14:textId="77777777" w:rsidTr="00B208F2">
        <w:trPr>
          <w:trHeight w:val="20"/>
        </w:trPr>
        <w:tc>
          <w:tcPr>
            <w:tcW w:w="726"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3E959F6F" w14:textId="4269F1E1" w:rsidR="00F245EE" w:rsidRPr="00B208F2" w:rsidRDefault="00F245EE" w:rsidP="001D3AA7">
            <w:pPr>
              <w:spacing w:after="0" w:line="280" w:lineRule="auto"/>
              <w:jc w:val="center"/>
              <w:rPr>
                <w:rFonts w:eastAsia="Arial"/>
                <w:sz w:val="18"/>
                <w:szCs w:val="18"/>
                <w:lang w:eastAsia="en-US"/>
              </w:rPr>
            </w:pPr>
            <w:r w:rsidRPr="00B208F2">
              <w:rPr>
                <w:rFonts w:eastAsia="Arial"/>
                <w:b/>
                <w:sz w:val="18"/>
                <w:szCs w:val="18"/>
                <w:lang w:eastAsia="en-US"/>
              </w:rPr>
              <w:t>Mali Vision 2063</w:t>
            </w:r>
          </w:p>
        </w:tc>
        <w:tc>
          <w:tcPr>
            <w:tcW w:w="1142"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22B9F435" w14:textId="77777777" w:rsidR="00F245EE" w:rsidRPr="00B208F2" w:rsidRDefault="00F245EE" w:rsidP="001D3AA7">
            <w:pPr>
              <w:spacing w:after="0" w:line="280" w:lineRule="auto"/>
              <w:rPr>
                <w:rFonts w:eastAsia="Arial"/>
                <w:sz w:val="18"/>
                <w:szCs w:val="18"/>
                <w:lang w:eastAsia="en-US"/>
              </w:rPr>
            </w:pPr>
            <w:r w:rsidRPr="00B208F2">
              <w:rPr>
                <w:rFonts w:eastAsia="Arial"/>
                <w:sz w:val="18"/>
                <w:szCs w:val="18"/>
                <w:lang w:eastAsia="en-US"/>
              </w:rPr>
              <w:t>Étude nationale prospective fixant la vision de développement à long terme du Mali à l'horizon 2063, dans laquelle s'inscrivent les engagements climatiques de moyen terme (CDN).</w:t>
            </w:r>
          </w:p>
        </w:tc>
        <w:tc>
          <w:tcPr>
            <w:tcW w:w="1585"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52DA4CDA" w14:textId="77777777" w:rsidR="00F245EE" w:rsidRPr="00B208F2" w:rsidRDefault="00F245EE" w:rsidP="001D3AA7">
            <w:pPr>
              <w:spacing w:after="0" w:line="280" w:lineRule="auto"/>
              <w:rPr>
                <w:rFonts w:eastAsia="Arial"/>
                <w:sz w:val="18"/>
                <w:szCs w:val="18"/>
                <w:lang w:eastAsia="en-US"/>
              </w:rPr>
            </w:pPr>
            <w:r w:rsidRPr="00B208F2">
              <w:rPr>
                <w:rFonts w:eastAsia="Arial"/>
                <w:sz w:val="18"/>
                <w:szCs w:val="18"/>
                <w:lang w:eastAsia="en-US"/>
              </w:rPr>
              <w:t>Intégration de la transition bas-carbone dans la trajectoire de développement national à long terme.</w:t>
            </w:r>
          </w:p>
        </w:tc>
        <w:tc>
          <w:tcPr>
            <w:tcW w:w="1547"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1BC3187F" w14:textId="77777777" w:rsidR="00F245EE" w:rsidRPr="00B208F2" w:rsidRDefault="00F245EE" w:rsidP="001D3AA7">
            <w:pPr>
              <w:spacing w:after="0" w:line="280" w:lineRule="auto"/>
              <w:rPr>
                <w:rFonts w:eastAsia="Arial"/>
                <w:sz w:val="18"/>
                <w:szCs w:val="18"/>
                <w:lang w:eastAsia="en-US"/>
              </w:rPr>
            </w:pPr>
            <w:r w:rsidRPr="00B208F2">
              <w:rPr>
                <w:rFonts w:eastAsia="Arial"/>
                <w:sz w:val="18"/>
                <w:szCs w:val="18"/>
                <w:lang w:eastAsia="en-US"/>
              </w:rPr>
              <w:t>Renforcement de la résilience climatique comme pilier du développement durable et de la souveraineté économique.</w:t>
            </w:r>
          </w:p>
        </w:tc>
      </w:tr>
    </w:tbl>
    <w:p w14:paraId="15685916" w14:textId="39A1860C" w:rsidR="00D01744" w:rsidRDefault="00402395" w:rsidP="00B208F2">
      <w:pPr>
        <w:spacing w:before="120"/>
        <w:jc w:val="both"/>
      </w:pPr>
      <w:r>
        <w:lastRenderedPageBreak/>
        <w:t>C</w:t>
      </w:r>
      <w:r w:rsidR="000340EE" w:rsidRPr="000340EE">
        <w:t>es trois instruments fixent le cadre d'orientation général dans lequel s'inscrit la CDN 3.0. La PNCC et la SNCC posent les principes structurants (gouvernance climatique, intégration sectorielle, équité, responsabilité commune mais différenciée, partenariat public-privé) et identifient les secteurs prioritaires d'intervention, sans toutefois fixer de cibles quantitatives sectorielles ; ces dernières sont à rechercher dans les politiques sectorielles examinées ci-après. La CDN 3.0 a vocation à traduire ces orientations stratégiques en engagements chiffrés, opérationnels et suivis, à l'horizon 2035</w:t>
      </w:r>
      <w:r w:rsidR="008E1644">
        <w:t xml:space="preserve"> </w:t>
      </w:r>
      <w:r w:rsidR="008E1644" w:rsidRPr="008E1644">
        <w:t>en renforçant la cohérence entre ambition climatique, priorités de développement, mobilisation des financements et exigences de mise en œuvre au niveau sectoriel et territorial.</w:t>
      </w:r>
      <w:r w:rsidR="00D01744">
        <w:br w:type="page"/>
      </w:r>
    </w:p>
    <w:p w14:paraId="12343132" w14:textId="77777777" w:rsidR="00F245EE" w:rsidRDefault="00F245EE" w:rsidP="00343287">
      <w:pPr>
        <w:pStyle w:val="Titre2"/>
        <w:sectPr w:rsidR="00F245EE" w:rsidSect="00402395">
          <w:pgSz w:w="15840" w:h="12240" w:orient="landscape" w:code="1"/>
          <w:pgMar w:top="1411" w:right="1411" w:bottom="1411" w:left="1411" w:header="709" w:footer="709" w:gutter="0"/>
          <w:cols w:space="708"/>
          <w:docGrid w:linePitch="360"/>
        </w:sectPr>
      </w:pPr>
    </w:p>
    <w:p w14:paraId="14FF7AFE" w14:textId="0A26BAF4" w:rsidR="00C430FD" w:rsidRDefault="00343287" w:rsidP="00343287">
      <w:pPr>
        <w:pStyle w:val="Titre2"/>
      </w:pPr>
      <w:bookmarkStart w:id="8" w:name="_Toc234853851"/>
      <w:r w:rsidRPr="00343287">
        <w:lastRenderedPageBreak/>
        <w:t xml:space="preserve">Politiques et cadres sectoriels </w:t>
      </w:r>
      <w:r w:rsidR="000E6FB3">
        <w:t>-</w:t>
      </w:r>
      <w:r w:rsidRPr="00343287">
        <w:t xml:space="preserve"> Atténuation</w:t>
      </w:r>
      <w:bookmarkEnd w:id="8"/>
    </w:p>
    <w:p w14:paraId="278EFFC0" w14:textId="23E5EC27" w:rsidR="007B27E4" w:rsidRDefault="007B27E4" w:rsidP="00812F26">
      <w:pPr>
        <w:pStyle w:val="Titre3"/>
        <w:numPr>
          <w:ilvl w:val="2"/>
          <w:numId w:val="21"/>
        </w:numPr>
        <w:rPr>
          <w:lang w:eastAsia="en-US"/>
        </w:rPr>
      </w:pPr>
      <w:bookmarkStart w:id="9" w:name="_Toc234853852"/>
      <w:r>
        <w:t>Energie</w:t>
      </w:r>
      <w:bookmarkEnd w:id="9"/>
      <w:r>
        <w:t xml:space="preserve"> </w:t>
      </w:r>
    </w:p>
    <w:p w14:paraId="2D09A37C" w14:textId="2F1DD67C" w:rsidR="00226BA1" w:rsidRPr="00186791" w:rsidRDefault="009D5B5E" w:rsidP="00186791">
      <w:pPr>
        <w:jc w:val="both"/>
        <w:rPr>
          <w:lang w:eastAsia="en-US"/>
        </w:rPr>
      </w:pPr>
      <w:r w:rsidRPr="009D5B5E">
        <w:rPr>
          <w:lang w:eastAsia="en-US"/>
        </w:rPr>
        <w:t>La revue des politiques et stratégies sectorielles du secteur de l'énergie constitue le socle analytique sur lequel s'appuie l'élaboration des scénarios d'atténuation de la CDN 3.0. Elle vise à identifier les orientations climatiques déjà actées au niveau national, à apprécier leur degré d'ambition au regard de l'horizon 2035, et à repérer les lacunes que la nouvelle contribution devra combler. Le secteur de l'énergie présente en effet un profil d'émissions en forte progression</w:t>
      </w:r>
      <w:r>
        <w:rPr>
          <w:lang w:eastAsia="en-US"/>
        </w:rPr>
        <w:t>,</w:t>
      </w:r>
      <w:r w:rsidRPr="009D5B5E">
        <w:rPr>
          <w:lang w:eastAsia="en-US"/>
        </w:rPr>
        <w:t xml:space="preserve"> les émissions de CO₂ y ont plus que doublé entre 2004 et 2017</w:t>
      </w:r>
      <w:r>
        <w:rPr>
          <w:lang w:eastAsia="en-US"/>
        </w:rPr>
        <w:t>,</w:t>
      </w:r>
      <w:r w:rsidRPr="009D5B5E">
        <w:rPr>
          <w:lang w:eastAsia="en-US"/>
        </w:rPr>
        <w:t xml:space="preserve"> tout en recélant un potentiel de transition considérable, notamment à travers les énergies renouvelables et l'efficacité énergétique. C'est dans ce contexte que plusieurs instruments de politique sectorielle ont été élaborés successivement, dont les principales orientations climatiques et cibles quantitatives sont recensées dans le tableau ci-dessous</w:t>
      </w:r>
      <w:r w:rsidR="00D5730F">
        <w:rPr>
          <w:lang w:eastAsia="en-US"/>
        </w:rPr>
        <w:t> :</w:t>
      </w:r>
    </w:p>
    <w:p w14:paraId="2BEEB7E0" w14:textId="38D51901" w:rsidR="000033F2" w:rsidRPr="00E84225" w:rsidRDefault="000033F2" w:rsidP="000033F2">
      <w:pPr>
        <w:pStyle w:val="Lgende"/>
        <w:keepNext/>
        <w:rPr>
          <w:sz w:val="20"/>
          <w:szCs w:val="20"/>
        </w:rPr>
      </w:pPr>
      <w:bookmarkStart w:id="10" w:name="_Toc234853926"/>
      <w:r w:rsidRPr="00E84225">
        <w:rPr>
          <w:sz w:val="20"/>
          <w:szCs w:val="20"/>
        </w:rPr>
        <w:t xml:space="preserve">Tableau </w:t>
      </w:r>
      <w:r w:rsidRPr="00E84225">
        <w:rPr>
          <w:sz w:val="20"/>
          <w:szCs w:val="20"/>
        </w:rPr>
        <w:fldChar w:fldCharType="begin"/>
      </w:r>
      <w:r w:rsidRPr="00E84225">
        <w:rPr>
          <w:sz w:val="20"/>
          <w:szCs w:val="20"/>
        </w:rPr>
        <w:instrText xml:space="preserve"> SEQ Tableau \* ARABIC </w:instrText>
      </w:r>
      <w:r w:rsidRPr="00E84225">
        <w:rPr>
          <w:sz w:val="20"/>
          <w:szCs w:val="20"/>
        </w:rPr>
        <w:fldChar w:fldCharType="separate"/>
      </w:r>
      <w:r w:rsidR="0018772E">
        <w:rPr>
          <w:noProof/>
          <w:sz w:val="20"/>
          <w:szCs w:val="20"/>
        </w:rPr>
        <w:t>2</w:t>
      </w:r>
      <w:r w:rsidRPr="00E84225">
        <w:rPr>
          <w:sz w:val="20"/>
          <w:szCs w:val="20"/>
        </w:rPr>
        <w:fldChar w:fldCharType="end"/>
      </w:r>
      <w:r w:rsidRPr="00E35393">
        <w:rPr>
          <w:sz w:val="20"/>
          <w:szCs w:val="20"/>
        </w:rPr>
        <w:t xml:space="preserve"> : Politiques et stratégies analysées dans le secteur </w:t>
      </w:r>
      <w:r w:rsidR="007174F9" w:rsidRPr="00E35393">
        <w:rPr>
          <w:sz w:val="20"/>
          <w:szCs w:val="20"/>
        </w:rPr>
        <w:t>de l’</w:t>
      </w:r>
      <w:r w:rsidRPr="00E35393">
        <w:rPr>
          <w:sz w:val="20"/>
          <w:szCs w:val="20"/>
        </w:rPr>
        <w:t>énergie</w:t>
      </w:r>
      <w:bookmarkEnd w:id="10"/>
    </w:p>
    <w:tbl>
      <w:tblPr>
        <w:tblStyle w:val="Grilledutablea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3239"/>
        <w:gridCol w:w="4090"/>
        <w:gridCol w:w="3252"/>
      </w:tblGrid>
      <w:tr w:rsidR="005D3733" w:rsidRPr="005D3733" w14:paraId="0AB543E6" w14:textId="77777777" w:rsidTr="00C366AC">
        <w:trPr>
          <w:trHeight w:val="400"/>
        </w:trPr>
        <w:tc>
          <w:tcPr>
            <w:tcW w:w="933" w:type="pct"/>
            <w:shd w:val="clear" w:color="auto" w:fill="1F4E79" w:themeFill="accent1" w:themeFillShade="80"/>
            <w:vAlign w:val="center"/>
          </w:tcPr>
          <w:p w14:paraId="122112EC" w14:textId="1249AE8B" w:rsidR="00137FD8" w:rsidRPr="00C366AC" w:rsidRDefault="00137FD8" w:rsidP="000C4714">
            <w:pPr>
              <w:jc w:val="center"/>
              <w:rPr>
                <w:b/>
                <w:color w:val="FFFFFF" w:themeColor="background1"/>
                <w:sz w:val="18"/>
                <w:szCs w:val="18"/>
                <w:lang w:eastAsia="en-US"/>
              </w:rPr>
            </w:pPr>
            <w:r w:rsidRPr="00C366AC">
              <w:rPr>
                <w:b/>
                <w:color w:val="FFFFFF" w:themeColor="background1"/>
                <w:sz w:val="18"/>
                <w:szCs w:val="18"/>
                <w:lang w:eastAsia="en-US"/>
              </w:rPr>
              <w:t>Politique / stratégie</w:t>
            </w:r>
          </w:p>
        </w:tc>
        <w:tc>
          <w:tcPr>
            <w:tcW w:w="1245" w:type="pct"/>
            <w:shd w:val="clear" w:color="auto" w:fill="1F4E79" w:themeFill="accent1" w:themeFillShade="80"/>
            <w:vAlign w:val="center"/>
          </w:tcPr>
          <w:p w14:paraId="19DFA720" w14:textId="2A468729" w:rsidR="00137FD8" w:rsidRPr="00C366AC" w:rsidRDefault="00137FD8" w:rsidP="000C4714">
            <w:pPr>
              <w:jc w:val="center"/>
              <w:rPr>
                <w:b/>
                <w:color w:val="FFFFFF" w:themeColor="background1"/>
                <w:sz w:val="18"/>
                <w:szCs w:val="18"/>
                <w:lang w:eastAsia="en-US"/>
              </w:rPr>
            </w:pPr>
            <w:r w:rsidRPr="00C366AC">
              <w:rPr>
                <w:b/>
                <w:color w:val="FFFFFF" w:themeColor="background1"/>
                <w:sz w:val="18"/>
                <w:szCs w:val="18"/>
                <w:lang w:eastAsia="en-US"/>
              </w:rPr>
              <w:t>Description</w:t>
            </w:r>
          </w:p>
        </w:tc>
        <w:tc>
          <w:tcPr>
            <w:tcW w:w="1572" w:type="pct"/>
            <w:shd w:val="clear" w:color="auto" w:fill="1F4E79" w:themeFill="accent1" w:themeFillShade="80"/>
            <w:vAlign w:val="center"/>
          </w:tcPr>
          <w:p w14:paraId="341B43BA" w14:textId="2DAB66C2" w:rsidR="00137FD8" w:rsidRPr="00C366AC" w:rsidRDefault="00137FD8" w:rsidP="000C4714">
            <w:pPr>
              <w:jc w:val="center"/>
              <w:rPr>
                <w:b/>
                <w:color w:val="FFFFFF" w:themeColor="background1"/>
                <w:sz w:val="18"/>
                <w:szCs w:val="18"/>
                <w:lang w:eastAsia="en-US"/>
              </w:rPr>
            </w:pPr>
            <w:r w:rsidRPr="00C366AC">
              <w:rPr>
                <w:b/>
                <w:color w:val="FFFFFF" w:themeColor="background1"/>
                <w:sz w:val="18"/>
                <w:szCs w:val="18"/>
                <w:lang w:eastAsia="en-US"/>
              </w:rPr>
              <w:t>Principales orientations climatiques</w:t>
            </w:r>
          </w:p>
        </w:tc>
        <w:tc>
          <w:tcPr>
            <w:tcW w:w="1250" w:type="pct"/>
            <w:shd w:val="clear" w:color="auto" w:fill="1F4E79" w:themeFill="accent1" w:themeFillShade="80"/>
            <w:vAlign w:val="center"/>
          </w:tcPr>
          <w:p w14:paraId="15020CE4" w14:textId="13D43455" w:rsidR="00137FD8" w:rsidRPr="00C366AC" w:rsidRDefault="00137FD8" w:rsidP="000C4714">
            <w:pPr>
              <w:jc w:val="center"/>
              <w:rPr>
                <w:b/>
                <w:color w:val="FFFFFF" w:themeColor="background1"/>
                <w:sz w:val="18"/>
                <w:szCs w:val="18"/>
                <w:lang w:eastAsia="en-US"/>
              </w:rPr>
            </w:pPr>
            <w:r w:rsidRPr="00C366AC">
              <w:rPr>
                <w:b/>
                <w:color w:val="FFFFFF" w:themeColor="background1"/>
                <w:sz w:val="18"/>
                <w:szCs w:val="18"/>
                <w:lang w:eastAsia="en-US"/>
              </w:rPr>
              <w:t>Cibles quantitatives</w:t>
            </w:r>
          </w:p>
        </w:tc>
      </w:tr>
      <w:tr w:rsidR="00137FD8" w:rsidRPr="005D3733" w14:paraId="0019AB52" w14:textId="77777777" w:rsidTr="00C366AC">
        <w:trPr>
          <w:trHeight w:val="20"/>
        </w:trPr>
        <w:tc>
          <w:tcPr>
            <w:tcW w:w="933" w:type="pct"/>
          </w:tcPr>
          <w:p w14:paraId="66FA8374" w14:textId="0A89254B" w:rsidR="00137FD8" w:rsidRPr="00C366AC" w:rsidRDefault="0057779B" w:rsidP="005D3733">
            <w:pPr>
              <w:jc w:val="lowKashida"/>
              <w:rPr>
                <w:sz w:val="18"/>
                <w:szCs w:val="18"/>
                <w:lang w:eastAsia="en-US"/>
              </w:rPr>
            </w:pPr>
            <w:r w:rsidRPr="00C366AC">
              <w:rPr>
                <w:b/>
                <w:sz w:val="18"/>
                <w:szCs w:val="18"/>
                <w:lang w:eastAsia="en-US"/>
              </w:rPr>
              <w:t>Politique Énergétique Nationale (PEN)</w:t>
            </w:r>
            <w:r w:rsidRPr="00C366AC">
              <w:rPr>
                <w:sz w:val="18"/>
                <w:szCs w:val="18"/>
                <w:lang w:eastAsia="en-US"/>
              </w:rPr>
              <w:t xml:space="preserve"> - </w:t>
            </w:r>
            <w:r w:rsidR="000706C7" w:rsidRPr="00C366AC">
              <w:rPr>
                <w:i/>
                <w:color w:val="1F3864" w:themeColor="accent5" w:themeShade="80"/>
                <w:sz w:val="18"/>
                <w:szCs w:val="18"/>
                <w:lang w:eastAsia="en-US"/>
              </w:rPr>
              <w:t>M</w:t>
            </w:r>
            <w:r w:rsidRPr="00C366AC">
              <w:rPr>
                <w:i/>
                <w:color w:val="1F3864" w:themeColor="accent5" w:themeShade="80"/>
                <w:sz w:val="18"/>
                <w:szCs w:val="18"/>
                <w:lang w:eastAsia="en-US"/>
              </w:rPr>
              <w:t>inistère des Mines, de l'Énergie et de l'Eau, février 2006</w:t>
            </w:r>
            <w:r w:rsidR="000706C7" w:rsidRPr="00C366AC">
              <w:rPr>
                <w:i/>
                <w:color w:val="1F3864" w:themeColor="accent5" w:themeShade="80"/>
                <w:sz w:val="18"/>
                <w:szCs w:val="18"/>
                <w:lang w:eastAsia="en-US"/>
              </w:rPr>
              <w:t>.</w:t>
            </w:r>
          </w:p>
        </w:tc>
        <w:tc>
          <w:tcPr>
            <w:tcW w:w="1245" w:type="pct"/>
          </w:tcPr>
          <w:p w14:paraId="2F6DABEC" w14:textId="77777777" w:rsidR="000A3ECA" w:rsidRPr="00C366AC" w:rsidRDefault="0057779B" w:rsidP="000A3ECA">
            <w:pPr>
              <w:spacing w:after="120"/>
              <w:jc w:val="lowKashida"/>
              <w:rPr>
                <w:sz w:val="18"/>
                <w:szCs w:val="18"/>
                <w:lang w:eastAsia="en-US"/>
              </w:rPr>
            </w:pPr>
            <w:r w:rsidRPr="00C366AC">
              <w:rPr>
                <w:sz w:val="18"/>
                <w:szCs w:val="18"/>
                <w:lang w:eastAsia="en-US"/>
              </w:rPr>
              <w:t xml:space="preserve">Document-cadre du secteur énergétique malien, structuré autour de 4 objectifs spécifiques : </w:t>
            </w:r>
          </w:p>
          <w:p w14:paraId="5CDBC307" w14:textId="24D4BE82" w:rsidR="000A3ECA" w:rsidRPr="00C366AC" w:rsidRDefault="000A3ECA" w:rsidP="008A3661">
            <w:pPr>
              <w:pStyle w:val="Paragraphedeliste"/>
              <w:numPr>
                <w:ilvl w:val="0"/>
                <w:numId w:val="24"/>
              </w:numPr>
              <w:spacing w:after="120"/>
              <w:contextualSpacing w:val="0"/>
              <w:jc w:val="lowKashida"/>
              <w:rPr>
                <w:sz w:val="18"/>
                <w:szCs w:val="18"/>
                <w:lang w:eastAsia="en-US"/>
              </w:rPr>
            </w:pPr>
            <w:r w:rsidRPr="00C366AC">
              <w:rPr>
                <w:sz w:val="18"/>
                <w:szCs w:val="18"/>
                <w:lang w:eastAsia="en-US"/>
              </w:rPr>
              <w:t>satisfaire</w:t>
            </w:r>
            <w:r w:rsidR="0057779B" w:rsidRPr="00C366AC">
              <w:rPr>
                <w:sz w:val="18"/>
                <w:szCs w:val="18"/>
                <w:lang w:eastAsia="en-US"/>
              </w:rPr>
              <w:t xml:space="preserve"> les besoins énergétiques en qualité, quantité et à moindre coût ; </w:t>
            </w:r>
          </w:p>
          <w:p w14:paraId="0AFBA441" w14:textId="77777777" w:rsidR="001F2A9A" w:rsidRPr="00C366AC" w:rsidRDefault="0057779B" w:rsidP="008A3661">
            <w:pPr>
              <w:pStyle w:val="Paragraphedeliste"/>
              <w:numPr>
                <w:ilvl w:val="0"/>
                <w:numId w:val="24"/>
              </w:numPr>
              <w:spacing w:after="120"/>
              <w:contextualSpacing w:val="0"/>
              <w:jc w:val="lowKashida"/>
              <w:rPr>
                <w:sz w:val="18"/>
                <w:szCs w:val="18"/>
                <w:lang w:eastAsia="en-US"/>
              </w:rPr>
            </w:pPr>
            <w:r w:rsidRPr="00C366AC">
              <w:rPr>
                <w:sz w:val="18"/>
                <w:szCs w:val="18"/>
                <w:lang w:eastAsia="en-US"/>
              </w:rPr>
              <w:t>protéger les personnes, biens et environnement ;</w:t>
            </w:r>
          </w:p>
          <w:p w14:paraId="29B9522D" w14:textId="72D90AC8" w:rsidR="000A3ECA" w:rsidRPr="00C366AC" w:rsidRDefault="0057779B" w:rsidP="008A3661">
            <w:pPr>
              <w:pStyle w:val="Paragraphedeliste"/>
              <w:numPr>
                <w:ilvl w:val="0"/>
                <w:numId w:val="24"/>
              </w:numPr>
              <w:spacing w:after="120"/>
              <w:contextualSpacing w:val="0"/>
              <w:jc w:val="lowKashida"/>
              <w:rPr>
                <w:sz w:val="18"/>
                <w:szCs w:val="18"/>
                <w:lang w:eastAsia="en-US"/>
              </w:rPr>
            </w:pPr>
            <w:r w:rsidRPr="00C366AC">
              <w:rPr>
                <w:sz w:val="18"/>
                <w:szCs w:val="18"/>
                <w:lang w:eastAsia="en-US"/>
              </w:rPr>
              <w:t>renforcer les capacités de pilotage stratégique ;</w:t>
            </w:r>
          </w:p>
          <w:p w14:paraId="1A802C1D" w14:textId="77777777" w:rsidR="000A3ECA" w:rsidRPr="00C366AC" w:rsidRDefault="0057779B" w:rsidP="008A3661">
            <w:pPr>
              <w:pStyle w:val="Paragraphedeliste"/>
              <w:numPr>
                <w:ilvl w:val="0"/>
                <w:numId w:val="24"/>
              </w:numPr>
              <w:spacing w:after="120"/>
              <w:contextualSpacing w:val="0"/>
              <w:jc w:val="lowKashida"/>
              <w:rPr>
                <w:sz w:val="18"/>
                <w:szCs w:val="18"/>
                <w:lang w:eastAsia="en-US"/>
              </w:rPr>
            </w:pPr>
            <w:r w:rsidRPr="00C366AC">
              <w:rPr>
                <w:sz w:val="18"/>
                <w:szCs w:val="18"/>
                <w:lang w:eastAsia="en-US"/>
              </w:rPr>
              <w:t xml:space="preserve">renforcer la coopération internationale. </w:t>
            </w:r>
          </w:p>
          <w:p w14:paraId="3391DC1F" w14:textId="4592597F" w:rsidR="00137FD8" w:rsidRPr="00C366AC" w:rsidRDefault="0057779B" w:rsidP="000A3ECA">
            <w:pPr>
              <w:spacing w:after="120"/>
              <w:jc w:val="lowKashida"/>
              <w:rPr>
                <w:sz w:val="18"/>
                <w:szCs w:val="18"/>
                <w:lang w:eastAsia="en-US"/>
              </w:rPr>
            </w:pPr>
            <w:r w:rsidRPr="00C366AC">
              <w:rPr>
                <w:sz w:val="18"/>
                <w:szCs w:val="18"/>
                <w:lang w:eastAsia="en-US"/>
              </w:rPr>
              <w:t>Elle couvre 6 sous-secteurs : énergies traditionnelles, hydrocarbures, électricité, énergies renouvelables, énergie nucléaire, maîtrise et économie d'énergie.</w:t>
            </w:r>
          </w:p>
        </w:tc>
        <w:tc>
          <w:tcPr>
            <w:tcW w:w="1572" w:type="pct"/>
          </w:tcPr>
          <w:p w14:paraId="34BF5750" w14:textId="71D8D101" w:rsidR="005D3733" w:rsidRPr="00C366AC" w:rsidRDefault="0057779B" w:rsidP="008A3661">
            <w:pPr>
              <w:pStyle w:val="Paragraphedeliste"/>
              <w:numPr>
                <w:ilvl w:val="0"/>
                <w:numId w:val="22"/>
              </w:numPr>
              <w:spacing w:after="120"/>
              <w:ind w:left="250" w:hanging="250"/>
              <w:contextualSpacing w:val="0"/>
              <w:jc w:val="lowKashida"/>
              <w:rPr>
                <w:sz w:val="18"/>
                <w:szCs w:val="18"/>
                <w:lang w:eastAsia="en-US"/>
              </w:rPr>
            </w:pPr>
            <w:r w:rsidRPr="00C366AC">
              <w:rPr>
                <w:sz w:val="18"/>
                <w:szCs w:val="18"/>
                <w:lang w:eastAsia="en-US"/>
              </w:rPr>
              <w:t xml:space="preserve">Promotion des énergies renouvelables (solaire, éolien, hydroélectricité, biomasse) en substitution aux combustibles fossiles importés, contribuant à la réduction des émissions de GES. </w:t>
            </w:r>
          </w:p>
          <w:p w14:paraId="1BE1A4AC" w14:textId="77777777" w:rsidR="001E499F" w:rsidRDefault="0057779B" w:rsidP="008A3661">
            <w:pPr>
              <w:pStyle w:val="Paragraphedeliste"/>
              <w:numPr>
                <w:ilvl w:val="0"/>
                <w:numId w:val="22"/>
              </w:numPr>
              <w:spacing w:after="120"/>
              <w:ind w:left="250" w:hanging="250"/>
              <w:contextualSpacing w:val="0"/>
              <w:jc w:val="lowKashida"/>
              <w:rPr>
                <w:sz w:val="18"/>
                <w:szCs w:val="18"/>
                <w:lang w:eastAsia="en-US"/>
              </w:rPr>
            </w:pPr>
            <w:r w:rsidRPr="00C366AC">
              <w:rPr>
                <w:sz w:val="18"/>
                <w:szCs w:val="18"/>
                <w:lang w:eastAsia="en-US"/>
              </w:rPr>
              <w:t xml:space="preserve">Réduction de la part des combustibles ligneux dans le mix énergétique, avec promotion de substituts moins émissifs (gaz butane, briquettes, résidus végétaux), limitant ainsi la pression de déforestation. </w:t>
            </w:r>
          </w:p>
          <w:p w14:paraId="38F10248" w14:textId="05FA758D" w:rsidR="005D3733" w:rsidRPr="00C366AC" w:rsidRDefault="0057779B" w:rsidP="008A3661">
            <w:pPr>
              <w:pStyle w:val="Paragraphedeliste"/>
              <w:numPr>
                <w:ilvl w:val="0"/>
                <w:numId w:val="22"/>
              </w:numPr>
              <w:spacing w:after="120"/>
              <w:ind w:left="250" w:hanging="250"/>
              <w:contextualSpacing w:val="0"/>
              <w:jc w:val="lowKashida"/>
              <w:rPr>
                <w:sz w:val="18"/>
                <w:szCs w:val="18"/>
                <w:lang w:eastAsia="en-US"/>
              </w:rPr>
            </w:pPr>
            <w:r w:rsidRPr="00C366AC">
              <w:rPr>
                <w:sz w:val="18"/>
                <w:szCs w:val="18"/>
                <w:lang w:eastAsia="en-US"/>
              </w:rPr>
              <w:t xml:space="preserve">Gestion durable des ressources forestières (marchés ruraux de bois, reboisement systématique, schémas directeurs d'approvisionnement) pour préserver le capital naturel face à la dégradation climatique. </w:t>
            </w:r>
          </w:p>
          <w:p w14:paraId="150C2431" w14:textId="4769CF99" w:rsidR="005D3733" w:rsidRPr="00C366AC" w:rsidRDefault="0057779B" w:rsidP="008A3661">
            <w:pPr>
              <w:pStyle w:val="Paragraphedeliste"/>
              <w:numPr>
                <w:ilvl w:val="0"/>
                <w:numId w:val="22"/>
              </w:numPr>
              <w:spacing w:after="120"/>
              <w:ind w:left="250" w:hanging="250"/>
              <w:contextualSpacing w:val="0"/>
              <w:jc w:val="lowKashida"/>
              <w:rPr>
                <w:sz w:val="18"/>
                <w:szCs w:val="18"/>
                <w:lang w:eastAsia="en-US"/>
              </w:rPr>
            </w:pPr>
            <w:r w:rsidRPr="00C366AC">
              <w:rPr>
                <w:sz w:val="18"/>
                <w:szCs w:val="18"/>
                <w:lang w:eastAsia="en-US"/>
              </w:rPr>
              <w:t xml:space="preserve">Maîtrise et économie d'énergie à travers un programme national dédié (PRONAME) : audits énergétiques, sensibilisation, cadre réglementaire. </w:t>
            </w:r>
          </w:p>
          <w:p w14:paraId="7DB66913" w14:textId="3FBCFC60" w:rsidR="00137FD8" w:rsidRPr="00C366AC" w:rsidRDefault="0057779B" w:rsidP="001E499F">
            <w:pPr>
              <w:pStyle w:val="Paragraphedeliste"/>
              <w:numPr>
                <w:ilvl w:val="0"/>
                <w:numId w:val="22"/>
              </w:numPr>
              <w:spacing w:after="120"/>
              <w:ind w:left="250" w:hanging="250"/>
              <w:contextualSpacing w:val="0"/>
              <w:jc w:val="lowKashida"/>
              <w:rPr>
                <w:sz w:val="18"/>
                <w:szCs w:val="18"/>
                <w:lang w:eastAsia="en-US"/>
              </w:rPr>
            </w:pPr>
            <w:r w:rsidRPr="00C366AC">
              <w:rPr>
                <w:sz w:val="18"/>
                <w:szCs w:val="18"/>
                <w:lang w:eastAsia="en-US"/>
              </w:rPr>
              <w:t xml:space="preserve">Sécurisation de l'approvisionnement énergétique des populations rurales via l'électrification rurale et les ENR, réduisant leur vulnérabilité face aux </w:t>
            </w:r>
            <w:r w:rsidRPr="00C366AC">
              <w:rPr>
                <w:sz w:val="18"/>
                <w:szCs w:val="18"/>
                <w:lang w:eastAsia="en-US"/>
              </w:rPr>
              <w:lastRenderedPageBreak/>
              <w:t xml:space="preserve">chocs climatiques et à la raréfaction du bois-énergie. </w:t>
            </w:r>
          </w:p>
        </w:tc>
        <w:tc>
          <w:tcPr>
            <w:tcW w:w="1250" w:type="pct"/>
          </w:tcPr>
          <w:p w14:paraId="38A22444" w14:textId="77777777" w:rsidR="005D3733" w:rsidRPr="00C366AC" w:rsidRDefault="0057779B" w:rsidP="008A3661">
            <w:pPr>
              <w:pStyle w:val="Paragraphedeliste"/>
              <w:numPr>
                <w:ilvl w:val="0"/>
                <w:numId w:val="23"/>
              </w:numPr>
              <w:spacing w:after="120"/>
              <w:ind w:left="303" w:hanging="274"/>
              <w:contextualSpacing w:val="0"/>
              <w:jc w:val="lowKashida"/>
              <w:rPr>
                <w:sz w:val="18"/>
                <w:szCs w:val="18"/>
                <w:lang w:eastAsia="en-US"/>
              </w:rPr>
            </w:pPr>
            <w:r w:rsidRPr="00C366AC">
              <w:rPr>
                <w:sz w:val="18"/>
                <w:szCs w:val="18"/>
                <w:lang w:eastAsia="en-US"/>
              </w:rPr>
              <w:lastRenderedPageBreak/>
              <w:t xml:space="preserve">Part des combustibles ligneux dans la consommation nationale : de 81 % (2002) à 70 % en 2010 et 60 % en 2015. </w:t>
            </w:r>
          </w:p>
          <w:p w14:paraId="5440C47D" w14:textId="77777777" w:rsidR="005D3733" w:rsidRPr="00C366AC" w:rsidRDefault="0057779B" w:rsidP="008A3661">
            <w:pPr>
              <w:pStyle w:val="Paragraphedeliste"/>
              <w:numPr>
                <w:ilvl w:val="0"/>
                <w:numId w:val="23"/>
              </w:numPr>
              <w:spacing w:after="120"/>
              <w:ind w:left="303" w:hanging="274"/>
              <w:contextualSpacing w:val="0"/>
              <w:jc w:val="lowKashida"/>
              <w:rPr>
                <w:sz w:val="18"/>
                <w:szCs w:val="18"/>
                <w:lang w:eastAsia="en-US"/>
              </w:rPr>
            </w:pPr>
            <w:r w:rsidRPr="00C366AC">
              <w:rPr>
                <w:sz w:val="18"/>
                <w:szCs w:val="18"/>
                <w:lang w:eastAsia="en-US"/>
              </w:rPr>
              <w:t>Part des ENR dans la production nationale d'électricité : de &lt; 1 % (2004) à 6 % en 2010 et 10 % en 2015.</w:t>
            </w:r>
          </w:p>
          <w:p w14:paraId="28ECA50F" w14:textId="77777777" w:rsidR="005D3733" w:rsidRPr="00C366AC" w:rsidRDefault="0057779B" w:rsidP="008A3661">
            <w:pPr>
              <w:pStyle w:val="Paragraphedeliste"/>
              <w:numPr>
                <w:ilvl w:val="0"/>
                <w:numId w:val="23"/>
              </w:numPr>
              <w:spacing w:after="120"/>
              <w:ind w:left="303" w:hanging="274"/>
              <w:contextualSpacing w:val="0"/>
              <w:jc w:val="lowKashida"/>
              <w:rPr>
                <w:sz w:val="18"/>
                <w:szCs w:val="18"/>
                <w:lang w:eastAsia="en-US"/>
              </w:rPr>
            </w:pPr>
            <w:r w:rsidRPr="00C366AC">
              <w:rPr>
                <w:sz w:val="18"/>
                <w:szCs w:val="18"/>
                <w:lang w:eastAsia="en-US"/>
              </w:rPr>
              <w:t xml:space="preserve">Taux de couverture électrique nationale : de 14 % (2004) à 45 % en 2010 et 55 % en 2015. </w:t>
            </w:r>
          </w:p>
          <w:p w14:paraId="1692AD34" w14:textId="77777777" w:rsidR="005D3733" w:rsidRPr="00C366AC" w:rsidRDefault="0057779B" w:rsidP="008A3661">
            <w:pPr>
              <w:pStyle w:val="Paragraphedeliste"/>
              <w:numPr>
                <w:ilvl w:val="0"/>
                <w:numId w:val="23"/>
              </w:numPr>
              <w:spacing w:after="120"/>
              <w:ind w:left="303" w:hanging="274"/>
              <w:contextualSpacing w:val="0"/>
              <w:jc w:val="lowKashida"/>
              <w:rPr>
                <w:sz w:val="18"/>
                <w:szCs w:val="18"/>
                <w:lang w:eastAsia="en-US"/>
              </w:rPr>
            </w:pPr>
            <w:r w:rsidRPr="00C366AC">
              <w:rPr>
                <w:sz w:val="18"/>
                <w:szCs w:val="18"/>
                <w:lang w:eastAsia="en-US"/>
              </w:rPr>
              <w:t xml:space="preserve">Taux d'électrification rurale : de 1 % (2005) à 12 % en 2010 et 55 % en 2015. </w:t>
            </w:r>
          </w:p>
          <w:p w14:paraId="59E9F99C" w14:textId="4EE3DC99" w:rsidR="00137FD8" w:rsidRPr="00C366AC" w:rsidRDefault="0057779B" w:rsidP="008A3661">
            <w:pPr>
              <w:pStyle w:val="Paragraphedeliste"/>
              <w:numPr>
                <w:ilvl w:val="0"/>
                <w:numId w:val="23"/>
              </w:numPr>
              <w:spacing w:after="120"/>
              <w:ind w:left="303" w:hanging="274"/>
              <w:contextualSpacing w:val="0"/>
              <w:jc w:val="lowKashida"/>
              <w:rPr>
                <w:sz w:val="18"/>
                <w:szCs w:val="18"/>
                <w:lang w:eastAsia="en-US"/>
              </w:rPr>
            </w:pPr>
            <w:r w:rsidRPr="00C366AC">
              <w:rPr>
                <w:sz w:val="18"/>
                <w:szCs w:val="18"/>
                <w:lang w:eastAsia="en-US"/>
              </w:rPr>
              <w:t>Mise sous gestion communautaire des forêts : de 321 100 ha à 1,5 million ha en 2010 et 3 millions ha en 2015.</w:t>
            </w:r>
          </w:p>
        </w:tc>
      </w:tr>
      <w:tr w:rsidR="00137FD8" w14:paraId="5E08B4A9" w14:textId="77777777" w:rsidTr="00C366AC">
        <w:trPr>
          <w:trHeight w:val="20"/>
        </w:trPr>
        <w:tc>
          <w:tcPr>
            <w:tcW w:w="933" w:type="pct"/>
          </w:tcPr>
          <w:p w14:paraId="73CE0D80" w14:textId="1FE6244D" w:rsidR="00137FD8" w:rsidRPr="00C366AC" w:rsidRDefault="001F2A9A" w:rsidP="001F2A9A">
            <w:pPr>
              <w:jc w:val="both"/>
              <w:rPr>
                <w:sz w:val="18"/>
                <w:szCs w:val="18"/>
                <w:lang w:eastAsia="en-US"/>
              </w:rPr>
            </w:pPr>
            <w:r w:rsidRPr="00C366AC">
              <w:rPr>
                <w:b/>
                <w:sz w:val="18"/>
                <w:szCs w:val="18"/>
                <w:lang w:eastAsia="en-US"/>
              </w:rPr>
              <w:t>Plan d'Action National d'Énergies Renouvelables (PANER) du Mali</w:t>
            </w:r>
            <w:r w:rsidRPr="00C366AC">
              <w:rPr>
                <w:sz w:val="18"/>
                <w:szCs w:val="18"/>
                <w:lang w:eastAsia="en-US"/>
              </w:rPr>
              <w:t xml:space="preserve"> </w:t>
            </w:r>
            <w:r w:rsidR="00FC3868" w:rsidRPr="00C366AC">
              <w:rPr>
                <w:i/>
                <w:color w:val="1F3864" w:themeColor="accent5" w:themeShade="80"/>
                <w:sz w:val="18"/>
                <w:szCs w:val="18"/>
                <w:lang w:eastAsia="en-US"/>
              </w:rPr>
              <w:t>-</w:t>
            </w:r>
            <w:r w:rsidRPr="00C366AC">
              <w:rPr>
                <w:i/>
                <w:color w:val="1F3864" w:themeColor="accent5" w:themeShade="80"/>
                <w:sz w:val="18"/>
                <w:szCs w:val="18"/>
                <w:lang w:eastAsia="en-US"/>
              </w:rPr>
              <w:t xml:space="preserve"> ministère de l’Énergie et de l'Eau / CEREEC-CEDEAO, novembre 2015. Période couverte : 2015</w:t>
            </w:r>
            <w:r w:rsidR="000E6FB3" w:rsidRPr="00C366AC">
              <w:rPr>
                <w:i/>
                <w:color w:val="1F3864" w:themeColor="accent5" w:themeShade="80"/>
                <w:sz w:val="18"/>
                <w:szCs w:val="18"/>
                <w:lang w:eastAsia="en-US"/>
              </w:rPr>
              <w:t>-</w:t>
            </w:r>
            <w:r w:rsidRPr="00C366AC">
              <w:rPr>
                <w:i/>
                <w:color w:val="1F3864" w:themeColor="accent5" w:themeShade="80"/>
                <w:sz w:val="18"/>
                <w:szCs w:val="18"/>
                <w:lang w:eastAsia="en-US"/>
              </w:rPr>
              <w:t>2020/2030</w:t>
            </w:r>
          </w:p>
        </w:tc>
        <w:tc>
          <w:tcPr>
            <w:tcW w:w="1245" w:type="pct"/>
          </w:tcPr>
          <w:p w14:paraId="42E8E7DB" w14:textId="7CE771BC" w:rsidR="00137FD8" w:rsidRPr="00C366AC" w:rsidRDefault="001F2A9A" w:rsidP="001F2A9A">
            <w:pPr>
              <w:jc w:val="both"/>
              <w:rPr>
                <w:sz w:val="18"/>
                <w:szCs w:val="18"/>
                <w:lang w:eastAsia="en-US"/>
              </w:rPr>
            </w:pPr>
            <w:r w:rsidRPr="00C366AC">
              <w:rPr>
                <w:sz w:val="18"/>
                <w:szCs w:val="18"/>
                <w:lang w:eastAsia="en-US"/>
              </w:rPr>
              <w:t>Document stratégique de référence pour le développement des énergies renouvelables au niveau national, élaboré dans le cadre de la Politique en matière d'Énergies Renouvelables de la CEDEAO (PERC). Il décline les objectifs de la PEN (2006) en trajectoires quantifiées et mesures concrètes pour cinq filières : EnR raccordées au réseau, EnR hors réseau, énergie domestique de cuisson, chauffe-eaux solaires et biocarburants.</w:t>
            </w:r>
          </w:p>
        </w:tc>
        <w:tc>
          <w:tcPr>
            <w:tcW w:w="1572" w:type="pct"/>
          </w:tcPr>
          <w:p w14:paraId="069B0460" w14:textId="77777777" w:rsidR="001F2A9A" w:rsidRPr="00C366AC" w:rsidRDefault="001F2A9A" w:rsidP="008A3661">
            <w:pPr>
              <w:pStyle w:val="Paragraphedeliste"/>
              <w:numPr>
                <w:ilvl w:val="0"/>
                <w:numId w:val="25"/>
              </w:numPr>
              <w:ind w:left="250" w:hanging="250"/>
              <w:jc w:val="both"/>
              <w:rPr>
                <w:sz w:val="18"/>
                <w:szCs w:val="18"/>
                <w:lang w:eastAsia="en-US"/>
              </w:rPr>
            </w:pPr>
            <w:r w:rsidRPr="00C366AC">
              <w:rPr>
                <w:sz w:val="18"/>
                <w:szCs w:val="18"/>
                <w:lang w:eastAsia="en-US"/>
              </w:rPr>
              <w:t>Accroissement structurel de la part des énergies renouvelables (solaire, hydroélectricité, bioénergie, éolien) dans le mix électrique national, en substitution aux énergies fossiles importées.</w:t>
            </w:r>
          </w:p>
          <w:p w14:paraId="2B188C24" w14:textId="77777777" w:rsidR="001F2A9A" w:rsidRPr="00C366AC" w:rsidRDefault="001F2A9A" w:rsidP="008A3661">
            <w:pPr>
              <w:pStyle w:val="Paragraphedeliste"/>
              <w:numPr>
                <w:ilvl w:val="0"/>
                <w:numId w:val="25"/>
              </w:numPr>
              <w:ind w:left="250" w:hanging="250"/>
              <w:jc w:val="both"/>
              <w:rPr>
                <w:sz w:val="18"/>
                <w:szCs w:val="18"/>
                <w:lang w:eastAsia="en-US"/>
              </w:rPr>
            </w:pPr>
            <w:r w:rsidRPr="00C366AC">
              <w:rPr>
                <w:sz w:val="18"/>
                <w:szCs w:val="18"/>
                <w:lang w:eastAsia="en-US"/>
              </w:rPr>
              <w:t xml:space="preserve">Développement massif de l'accès hors réseau aux services électriques à base d'EnR pour les populations rurales, réduisant leur vulnérabilité énergétique. </w:t>
            </w:r>
          </w:p>
          <w:p w14:paraId="05B2782F" w14:textId="77777777" w:rsidR="000D3526" w:rsidRPr="00C366AC" w:rsidRDefault="001F2A9A" w:rsidP="008A3661">
            <w:pPr>
              <w:pStyle w:val="Paragraphedeliste"/>
              <w:numPr>
                <w:ilvl w:val="0"/>
                <w:numId w:val="25"/>
              </w:numPr>
              <w:ind w:left="250" w:hanging="250"/>
              <w:jc w:val="both"/>
              <w:rPr>
                <w:sz w:val="18"/>
                <w:szCs w:val="18"/>
                <w:lang w:eastAsia="en-US"/>
              </w:rPr>
            </w:pPr>
            <w:r w:rsidRPr="00C366AC">
              <w:rPr>
                <w:sz w:val="18"/>
                <w:szCs w:val="18"/>
                <w:lang w:eastAsia="en-US"/>
              </w:rPr>
              <w:t xml:space="preserve">Promotion des foyers améliorés et des combustibles modernes de cuisson (gaz butane, bioéthanol, biogaz) pour réduire la pression sur les ressources forestières et les émissions de GES liées à la biomasse. </w:t>
            </w:r>
          </w:p>
          <w:p w14:paraId="5C6FD38B" w14:textId="77777777" w:rsidR="000D3526" w:rsidRPr="00C366AC" w:rsidRDefault="001F2A9A" w:rsidP="008A3661">
            <w:pPr>
              <w:pStyle w:val="Paragraphedeliste"/>
              <w:numPr>
                <w:ilvl w:val="0"/>
                <w:numId w:val="25"/>
              </w:numPr>
              <w:ind w:left="250" w:hanging="250"/>
              <w:jc w:val="both"/>
              <w:rPr>
                <w:sz w:val="18"/>
                <w:szCs w:val="18"/>
                <w:lang w:eastAsia="en-US"/>
              </w:rPr>
            </w:pPr>
            <w:r w:rsidRPr="00C366AC">
              <w:rPr>
                <w:sz w:val="18"/>
                <w:szCs w:val="18"/>
                <w:lang w:eastAsia="en-US"/>
              </w:rPr>
              <w:t>Développement des biocarburants (éthanol de canne à sucre, biodiesel de pourghère) en substitution partielle aux hydrocarbures importés.</w:t>
            </w:r>
          </w:p>
          <w:p w14:paraId="7C138383" w14:textId="5158F304" w:rsidR="00137FD8" w:rsidRPr="00C366AC" w:rsidRDefault="001F2A9A" w:rsidP="008A3661">
            <w:pPr>
              <w:pStyle w:val="Paragraphedeliste"/>
              <w:numPr>
                <w:ilvl w:val="0"/>
                <w:numId w:val="25"/>
              </w:numPr>
              <w:ind w:left="250" w:hanging="250"/>
              <w:jc w:val="both"/>
              <w:rPr>
                <w:sz w:val="18"/>
                <w:szCs w:val="18"/>
                <w:lang w:eastAsia="en-US"/>
              </w:rPr>
            </w:pPr>
            <w:r w:rsidRPr="00C366AC">
              <w:rPr>
                <w:sz w:val="18"/>
                <w:szCs w:val="18"/>
                <w:lang w:eastAsia="en-US"/>
              </w:rPr>
              <w:t>Promotion des chauffe-eaux solaires thermiques dans les secteurs résidentiel, sanitaire et agro-industriel, en remplacement des systèmes électriques conventionnels.</w:t>
            </w:r>
          </w:p>
        </w:tc>
        <w:tc>
          <w:tcPr>
            <w:tcW w:w="1250" w:type="pct"/>
          </w:tcPr>
          <w:p w14:paraId="1180C1B2" w14:textId="77777777" w:rsidR="000D3526" w:rsidRPr="00C366AC" w:rsidRDefault="001F2A9A" w:rsidP="000D3526">
            <w:pPr>
              <w:spacing w:after="120"/>
              <w:jc w:val="both"/>
              <w:rPr>
                <w:sz w:val="18"/>
                <w:szCs w:val="18"/>
                <w:lang w:eastAsia="en-US"/>
              </w:rPr>
            </w:pPr>
            <w:r w:rsidRPr="00C366AC">
              <w:rPr>
                <w:b/>
                <w:sz w:val="18"/>
                <w:szCs w:val="18"/>
                <w:lang w:eastAsia="en-US"/>
              </w:rPr>
              <w:t>EnR raccordées au réseau :</w:t>
            </w:r>
            <w:r w:rsidRPr="00C366AC">
              <w:rPr>
                <w:sz w:val="18"/>
                <w:szCs w:val="18"/>
                <w:lang w:eastAsia="en-US"/>
              </w:rPr>
              <w:t xml:space="preserve"> </w:t>
            </w:r>
          </w:p>
          <w:p w14:paraId="45627C6E" w14:textId="448232B4" w:rsidR="000D3526" w:rsidRPr="00C366AC" w:rsidRDefault="001F2A9A" w:rsidP="008A3661">
            <w:pPr>
              <w:pStyle w:val="Paragraphedeliste"/>
              <w:numPr>
                <w:ilvl w:val="0"/>
                <w:numId w:val="26"/>
              </w:numPr>
              <w:spacing w:after="120"/>
              <w:ind w:left="304" w:hanging="270"/>
              <w:jc w:val="both"/>
              <w:rPr>
                <w:sz w:val="18"/>
                <w:szCs w:val="18"/>
                <w:lang w:eastAsia="en-US"/>
              </w:rPr>
            </w:pPr>
            <w:r w:rsidRPr="00C366AC">
              <w:rPr>
                <w:sz w:val="18"/>
                <w:szCs w:val="18"/>
                <w:lang w:eastAsia="en-US"/>
              </w:rPr>
              <w:t xml:space="preserve">Capacité installée EnR (incluant moyenne et grande hydro) : 156,5 MW </w:t>
            </w:r>
            <w:r w:rsidR="000D3526" w:rsidRPr="00C366AC">
              <w:rPr>
                <w:sz w:val="18"/>
                <w:szCs w:val="18"/>
                <w:lang w:eastAsia="en-US"/>
              </w:rPr>
              <w:t xml:space="preserve">en </w:t>
            </w:r>
            <w:r w:rsidRPr="00C366AC">
              <w:rPr>
                <w:sz w:val="18"/>
                <w:szCs w:val="18"/>
                <w:lang w:eastAsia="en-US"/>
              </w:rPr>
              <w:t>2010</w:t>
            </w:r>
            <w:r w:rsidR="000D3526" w:rsidRPr="00C366AC">
              <w:rPr>
                <w:sz w:val="18"/>
                <w:szCs w:val="18"/>
                <w:lang w:eastAsia="en-US"/>
              </w:rPr>
              <w:t xml:space="preserve"> ; </w:t>
            </w:r>
            <w:r w:rsidRPr="00C366AC">
              <w:rPr>
                <w:sz w:val="18"/>
                <w:szCs w:val="18"/>
                <w:lang w:eastAsia="en-US"/>
              </w:rPr>
              <w:t xml:space="preserve">660,4 MW </w:t>
            </w:r>
            <w:r w:rsidR="000D3526" w:rsidRPr="00C366AC">
              <w:rPr>
                <w:sz w:val="18"/>
                <w:szCs w:val="18"/>
                <w:lang w:eastAsia="en-US"/>
              </w:rPr>
              <w:t xml:space="preserve">en </w:t>
            </w:r>
            <w:r w:rsidRPr="00C366AC">
              <w:rPr>
                <w:sz w:val="18"/>
                <w:szCs w:val="18"/>
                <w:lang w:eastAsia="en-US"/>
              </w:rPr>
              <w:t>2020</w:t>
            </w:r>
            <w:r w:rsidR="000D3526" w:rsidRPr="00C366AC">
              <w:rPr>
                <w:sz w:val="18"/>
                <w:szCs w:val="18"/>
                <w:lang w:eastAsia="en-US"/>
              </w:rPr>
              <w:t> ;</w:t>
            </w:r>
            <w:r w:rsidRPr="00C366AC">
              <w:rPr>
                <w:sz w:val="18"/>
                <w:szCs w:val="18"/>
                <w:lang w:eastAsia="en-US"/>
              </w:rPr>
              <w:t xml:space="preserve"> 1 416 MW </w:t>
            </w:r>
            <w:r w:rsidR="000D3526" w:rsidRPr="00C366AC">
              <w:rPr>
                <w:sz w:val="18"/>
                <w:szCs w:val="18"/>
                <w:lang w:eastAsia="en-US"/>
              </w:rPr>
              <w:t xml:space="preserve">en </w:t>
            </w:r>
            <w:r w:rsidRPr="00C366AC">
              <w:rPr>
                <w:sz w:val="18"/>
                <w:szCs w:val="18"/>
                <w:lang w:eastAsia="en-US"/>
              </w:rPr>
              <w:t xml:space="preserve">2030. </w:t>
            </w:r>
          </w:p>
          <w:p w14:paraId="504F2BA6" w14:textId="7DF5B411" w:rsidR="000D3526" w:rsidRPr="00C366AC" w:rsidRDefault="001F2A9A" w:rsidP="008A3661">
            <w:pPr>
              <w:pStyle w:val="Paragraphedeliste"/>
              <w:numPr>
                <w:ilvl w:val="0"/>
                <w:numId w:val="26"/>
              </w:numPr>
              <w:spacing w:after="120"/>
              <w:ind w:left="304" w:hanging="270"/>
              <w:jc w:val="both"/>
              <w:rPr>
                <w:sz w:val="18"/>
                <w:szCs w:val="18"/>
                <w:lang w:eastAsia="en-US"/>
              </w:rPr>
            </w:pPr>
            <w:r w:rsidRPr="00C366AC">
              <w:rPr>
                <w:sz w:val="18"/>
                <w:szCs w:val="18"/>
                <w:lang w:eastAsia="en-US"/>
              </w:rPr>
              <w:t xml:space="preserve">Part des EnR dans la capacité totale installée : 57,71 </w:t>
            </w:r>
            <w:r w:rsidR="000D3526" w:rsidRPr="00C366AC">
              <w:rPr>
                <w:sz w:val="18"/>
                <w:szCs w:val="18"/>
                <w:lang w:eastAsia="en-US"/>
              </w:rPr>
              <w:t xml:space="preserve">% en </w:t>
            </w:r>
            <w:r w:rsidRPr="00C366AC">
              <w:rPr>
                <w:sz w:val="18"/>
                <w:szCs w:val="18"/>
                <w:lang w:eastAsia="en-US"/>
              </w:rPr>
              <w:t>2010</w:t>
            </w:r>
            <w:r w:rsidR="000D3526" w:rsidRPr="00C366AC">
              <w:rPr>
                <w:sz w:val="18"/>
                <w:szCs w:val="18"/>
                <w:lang w:eastAsia="en-US"/>
              </w:rPr>
              <w:t> ;</w:t>
            </w:r>
            <w:r w:rsidRPr="00C366AC">
              <w:rPr>
                <w:sz w:val="18"/>
                <w:szCs w:val="18"/>
                <w:lang w:eastAsia="en-US"/>
              </w:rPr>
              <w:t xml:space="preserve"> 61,44 % </w:t>
            </w:r>
            <w:r w:rsidR="000D3526" w:rsidRPr="00C366AC">
              <w:rPr>
                <w:sz w:val="18"/>
                <w:szCs w:val="18"/>
                <w:lang w:eastAsia="en-US"/>
              </w:rPr>
              <w:t xml:space="preserve">en </w:t>
            </w:r>
            <w:r w:rsidRPr="00C366AC">
              <w:rPr>
                <w:sz w:val="18"/>
                <w:szCs w:val="18"/>
                <w:lang w:eastAsia="en-US"/>
              </w:rPr>
              <w:t>2020</w:t>
            </w:r>
            <w:r w:rsidR="000D3526" w:rsidRPr="00C366AC">
              <w:rPr>
                <w:sz w:val="18"/>
                <w:szCs w:val="18"/>
                <w:lang w:eastAsia="en-US"/>
              </w:rPr>
              <w:t> ;</w:t>
            </w:r>
            <w:r w:rsidRPr="00C366AC">
              <w:rPr>
                <w:sz w:val="18"/>
                <w:szCs w:val="18"/>
                <w:lang w:eastAsia="en-US"/>
              </w:rPr>
              <w:t xml:space="preserve"> 58,25 % </w:t>
            </w:r>
            <w:r w:rsidR="000D3526" w:rsidRPr="00C366AC">
              <w:rPr>
                <w:sz w:val="18"/>
                <w:szCs w:val="18"/>
                <w:lang w:eastAsia="en-US"/>
              </w:rPr>
              <w:t xml:space="preserve">en </w:t>
            </w:r>
            <w:r w:rsidRPr="00C366AC">
              <w:rPr>
                <w:sz w:val="18"/>
                <w:szCs w:val="18"/>
                <w:lang w:eastAsia="en-US"/>
              </w:rPr>
              <w:t>2030.</w:t>
            </w:r>
          </w:p>
          <w:p w14:paraId="25D1C70C" w14:textId="733D4BB3" w:rsidR="000D3526" w:rsidRPr="00C366AC" w:rsidRDefault="001F2A9A" w:rsidP="008A3661">
            <w:pPr>
              <w:pStyle w:val="Paragraphedeliste"/>
              <w:numPr>
                <w:ilvl w:val="0"/>
                <w:numId w:val="26"/>
              </w:numPr>
              <w:spacing w:after="120"/>
              <w:ind w:left="304" w:hanging="270"/>
              <w:jc w:val="both"/>
              <w:rPr>
                <w:sz w:val="18"/>
                <w:szCs w:val="18"/>
                <w:lang w:eastAsia="en-US"/>
              </w:rPr>
            </w:pPr>
            <w:r w:rsidRPr="00C366AC">
              <w:rPr>
                <w:sz w:val="18"/>
                <w:szCs w:val="18"/>
                <w:lang w:eastAsia="en-US"/>
              </w:rPr>
              <w:t xml:space="preserve">Production EnR raccordée au réseau : 692,3 GWh </w:t>
            </w:r>
            <w:r w:rsidR="000D3526" w:rsidRPr="00C366AC">
              <w:rPr>
                <w:sz w:val="18"/>
                <w:szCs w:val="18"/>
                <w:lang w:eastAsia="en-US"/>
              </w:rPr>
              <w:t xml:space="preserve">en </w:t>
            </w:r>
            <w:r w:rsidRPr="00C366AC">
              <w:rPr>
                <w:sz w:val="18"/>
                <w:szCs w:val="18"/>
                <w:lang w:eastAsia="en-US"/>
              </w:rPr>
              <w:t>2010</w:t>
            </w:r>
            <w:r w:rsidR="000D3526" w:rsidRPr="00C366AC">
              <w:rPr>
                <w:sz w:val="18"/>
                <w:szCs w:val="18"/>
                <w:lang w:eastAsia="en-US"/>
              </w:rPr>
              <w:t> ;</w:t>
            </w:r>
            <w:r w:rsidRPr="00C366AC">
              <w:rPr>
                <w:sz w:val="18"/>
                <w:szCs w:val="18"/>
                <w:lang w:eastAsia="en-US"/>
              </w:rPr>
              <w:t xml:space="preserve"> 1 993 GWh </w:t>
            </w:r>
            <w:r w:rsidR="000D3526" w:rsidRPr="00C366AC">
              <w:rPr>
                <w:sz w:val="18"/>
                <w:szCs w:val="18"/>
                <w:lang w:eastAsia="en-US"/>
              </w:rPr>
              <w:t xml:space="preserve">en </w:t>
            </w:r>
            <w:r w:rsidRPr="00C366AC">
              <w:rPr>
                <w:sz w:val="18"/>
                <w:szCs w:val="18"/>
                <w:lang w:eastAsia="en-US"/>
              </w:rPr>
              <w:t>2020</w:t>
            </w:r>
            <w:r w:rsidR="000D3526" w:rsidRPr="00C366AC">
              <w:rPr>
                <w:sz w:val="18"/>
                <w:szCs w:val="18"/>
                <w:lang w:eastAsia="en-US"/>
              </w:rPr>
              <w:t xml:space="preserve"> ; </w:t>
            </w:r>
            <w:r w:rsidRPr="00C366AC">
              <w:rPr>
                <w:sz w:val="18"/>
                <w:szCs w:val="18"/>
                <w:lang w:eastAsia="en-US"/>
              </w:rPr>
              <w:t xml:space="preserve">3 558 GWh </w:t>
            </w:r>
            <w:r w:rsidR="000D3526" w:rsidRPr="00C366AC">
              <w:rPr>
                <w:sz w:val="18"/>
                <w:szCs w:val="18"/>
                <w:lang w:eastAsia="en-US"/>
              </w:rPr>
              <w:t xml:space="preserve">en </w:t>
            </w:r>
            <w:r w:rsidRPr="00C366AC">
              <w:rPr>
                <w:sz w:val="18"/>
                <w:szCs w:val="18"/>
                <w:lang w:eastAsia="en-US"/>
              </w:rPr>
              <w:t xml:space="preserve">2030. </w:t>
            </w:r>
          </w:p>
          <w:p w14:paraId="47A60AA5" w14:textId="77777777" w:rsidR="000D3526" w:rsidRPr="00C366AC" w:rsidRDefault="001F2A9A" w:rsidP="000D3526">
            <w:pPr>
              <w:spacing w:after="120"/>
              <w:jc w:val="both"/>
              <w:rPr>
                <w:sz w:val="18"/>
                <w:szCs w:val="18"/>
                <w:lang w:eastAsia="en-US"/>
              </w:rPr>
            </w:pPr>
            <w:r w:rsidRPr="00C366AC">
              <w:rPr>
                <w:b/>
                <w:sz w:val="18"/>
                <w:szCs w:val="18"/>
                <w:lang w:eastAsia="en-US"/>
              </w:rPr>
              <w:t>EnR hors réseau :</w:t>
            </w:r>
            <w:r w:rsidRPr="00C366AC">
              <w:rPr>
                <w:sz w:val="18"/>
                <w:szCs w:val="18"/>
                <w:lang w:eastAsia="en-US"/>
              </w:rPr>
              <w:t xml:space="preserve"> </w:t>
            </w:r>
          </w:p>
          <w:p w14:paraId="122A3B0E" w14:textId="26426FB2" w:rsidR="000D3526" w:rsidRPr="00C366AC" w:rsidRDefault="001F2A9A" w:rsidP="000D3526">
            <w:pPr>
              <w:spacing w:after="120"/>
              <w:jc w:val="both"/>
              <w:rPr>
                <w:sz w:val="18"/>
                <w:szCs w:val="18"/>
                <w:lang w:eastAsia="en-US"/>
              </w:rPr>
            </w:pPr>
            <w:r w:rsidRPr="00C366AC">
              <w:rPr>
                <w:sz w:val="18"/>
                <w:szCs w:val="18"/>
                <w:lang w:eastAsia="en-US"/>
              </w:rPr>
              <w:t xml:space="preserve">Part de la population rurale desservie par des systèmes EnR hors réseau : 1,7 % </w:t>
            </w:r>
            <w:r w:rsidR="000D3526" w:rsidRPr="00C366AC">
              <w:rPr>
                <w:sz w:val="18"/>
                <w:szCs w:val="18"/>
                <w:lang w:eastAsia="en-US"/>
              </w:rPr>
              <w:t xml:space="preserve">en </w:t>
            </w:r>
            <w:r w:rsidRPr="00C366AC">
              <w:rPr>
                <w:sz w:val="18"/>
                <w:szCs w:val="18"/>
                <w:lang w:eastAsia="en-US"/>
              </w:rPr>
              <w:t>2010</w:t>
            </w:r>
            <w:r w:rsidR="000D3526" w:rsidRPr="00C366AC">
              <w:rPr>
                <w:sz w:val="18"/>
                <w:szCs w:val="18"/>
                <w:lang w:eastAsia="en-US"/>
              </w:rPr>
              <w:t> ;</w:t>
            </w:r>
            <w:r w:rsidRPr="00C366AC">
              <w:rPr>
                <w:sz w:val="18"/>
                <w:szCs w:val="18"/>
                <w:lang w:eastAsia="en-US"/>
              </w:rPr>
              <w:t xml:space="preserve"> 36,9 % </w:t>
            </w:r>
            <w:r w:rsidR="000D3526" w:rsidRPr="00C366AC">
              <w:rPr>
                <w:sz w:val="18"/>
                <w:szCs w:val="18"/>
                <w:lang w:eastAsia="en-US"/>
              </w:rPr>
              <w:t xml:space="preserve">en </w:t>
            </w:r>
            <w:r w:rsidRPr="00C366AC">
              <w:rPr>
                <w:sz w:val="18"/>
                <w:szCs w:val="18"/>
                <w:lang w:eastAsia="en-US"/>
              </w:rPr>
              <w:t>2020</w:t>
            </w:r>
            <w:r w:rsidR="000D3526" w:rsidRPr="00C366AC">
              <w:rPr>
                <w:sz w:val="18"/>
                <w:szCs w:val="18"/>
                <w:lang w:eastAsia="en-US"/>
              </w:rPr>
              <w:t xml:space="preserve"> ; </w:t>
            </w:r>
            <w:r w:rsidRPr="00C366AC">
              <w:rPr>
                <w:sz w:val="18"/>
                <w:szCs w:val="18"/>
                <w:lang w:eastAsia="en-US"/>
              </w:rPr>
              <w:t xml:space="preserve">66,64 % </w:t>
            </w:r>
            <w:r w:rsidR="000D3526" w:rsidRPr="00C366AC">
              <w:rPr>
                <w:sz w:val="18"/>
                <w:szCs w:val="18"/>
                <w:lang w:eastAsia="en-US"/>
              </w:rPr>
              <w:t xml:space="preserve">en </w:t>
            </w:r>
            <w:r w:rsidRPr="00C366AC">
              <w:rPr>
                <w:sz w:val="18"/>
                <w:szCs w:val="18"/>
                <w:lang w:eastAsia="en-US"/>
              </w:rPr>
              <w:t>2030.</w:t>
            </w:r>
          </w:p>
          <w:p w14:paraId="58C6CEFA" w14:textId="67CF2E25" w:rsidR="000D3526" w:rsidRPr="00C366AC" w:rsidRDefault="001F2A9A" w:rsidP="000D3526">
            <w:pPr>
              <w:spacing w:after="120"/>
              <w:jc w:val="both"/>
              <w:rPr>
                <w:sz w:val="18"/>
                <w:szCs w:val="18"/>
                <w:lang w:eastAsia="en-US"/>
              </w:rPr>
            </w:pPr>
            <w:r w:rsidRPr="00C366AC">
              <w:rPr>
                <w:b/>
                <w:sz w:val="18"/>
                <w:szCs w:val="18"/>
                <w:lang w:eastAsia="en-US"/>
              </w:rPr>
              <w:t>Énergie domestique de cuisson :</w:t>
            </w:r>
            <w:r w:rsidRPr="00C366AC">
              <w:rPr>
                <w:sz w:val="18"/>
                <w:szCs w:val="18"/>
                <w:lang w:eastAsia="en-US"/>
              </w:rPr>
              <w:t xml:space="preserve"> </w:t>
            </w:r>
          </w:p>
          <w:p w14:paraId="729B8F6C" w14:textId="58258DE5" w:rsidR="000D3526" w:rsidRPr="00C366AC" w:rsidRDefault="001F2A9A" w:rsidP="008A3661">
            <w:pPr>
              <w:pStyle w:val="Paragraphedeliste"/>
              <w:numPr>
                <w:ilvl w:val="0"/>
                <w:numId w:val="26"/>
              </w:numPr>
              <w:spacing w:after="120"/>
              <w:ind w:left="304" w:hanging="270"/>
              <w:jc w:val="both"/>
              <w:rPr>
                <w:sz w:val="18"/>
                <w:szCs w:val="18"/>
                <w:lang w:eastAsia="en-US"/>
              </w:rPr>
            </w:pPr>
            <w:r w:rsidRPr="00C366AC">
              <w:rPr>
                <w:sz w:val="18"/>
                <w:szCs w:val="18"/>
                <w:lang w:eastAsia="en-US"/>
              </w:rPr>
              <w:t xml:space="preserve">Part de la population utilisant des foyers améliorés : 43,88 % </w:t>
            </w:r>
            <w:r w:rsidR="000D3526" w:rsidRPr="00C366AC">
              <w:rPr>
                <w:sz w:val="18"/>
                <w:szCs w:val="18"/>
                <w:lang w:eastAsia="en-US"/>
              </w:rPr>
              <w:t xml:space="preserve">en </w:t>
            </w:r>
            <w:r w:rsidRPr="00C366AC">
              <w:rPr>
                <w:sz w:val="18"/>
                <w:szCs w:val="18"/>
                <w:lang w:eastAsia="en-US"/>
              </w:rPr>
              <w:t>2010</w:t>
            </w:r>
            <w:r w:rsidR="000D3526" w:rsidRPr="00C366AC">
              <w:rPr>
                <w:sz w:val="18"/>
                <w:szCs w:val="18"/>
                <w:lang w:eastAsia="en-US"/>
              </w:rPr>
              <w:t> ;</w:t>
            </w:r>
            <w:r w:rsidRPr="00C366AC">
              <w:rPr>
                <w:sz w:val="18"/>
                <w:szCs w:val="18"/>
                <w:lang w:eastAsia="en-US"/>
              </w:rPr>
              <w:t xml:space="preserve"> 91,49 % </w:t>
            </w:r>
            <w:r w:rsidR="000D3526" w:rsidRPr="00C366AC">
              <w:rPr>
                <w:sz w:val="18"/>
                <w:szCs w:val="18"/>
                <w:lang w:eastAsia="en-US"/>
              </w:rPr>
              <w:t xml:space="preserve">en </w:t>
            </w:r>
            <w:r w:rsidRPr="00C366AC">
              <w:rPr>
                <w:sz w:val="18"/>
                <w:szCs w:val="18"/>
                <w:lang w:eastAsia="en-US"/>
              </w:rPr>
              <w:t>2020</w:t>
            </w:r>
            <w:r w:rsidR="000D3526" w:rsidRPr="00C366AC">
              <w:rPr>
                <w:sz w:val="18"/>
                <w:szCs w:val="18"/>
                <w:lang w:eastAsia="en-US"/>
              </w:rPr>
              <w:t> ;</w:t>
            </w:r>
            <w:r w:rsidRPr="00C366AC">
              <w:rPr>
                <w:sz w:val="18"/>
                <w:szCs w:val="18"/>
                <w:lang w:eastAsia="en-US"/>
              </w:rPr>
              <w:t xml:space="preserve"> 100 % </w:t>
            </w:r>
            <w:r w:rsidR="000D3526" w:rsidRPr="00C366AC">
              <w:rPr>
                <w:sz w:val="18"/>
                <w:szCs w:val="18"/>
                <w:lang w:eastAsia="en-US"/>
              </w:rPr>
              <w:t xml:space="preserve">en </w:t>
            </w:r>
            <w:r w:rsidRPr="00C366AC">
              <w:rPr>
                <w:sz w:val="18"/>
                <w:szCs w:val="18"/>
                <w:lang w:eastAsia="en-US"/>
              </w:rPr>
              <w:t xml:space="preserve">2030. </w:t>
            </w:r>
          </w:p>
          <w:p w14:paraId="500BCCFD" w14:textId="01F6B757" w:rsidR="000D3526" w:rsidRPr="00C366AC" w:rsidRDefault="001F2A9A" w:rsidP="008A3661">
            <w:pPr>
              <w:pStyle w:val="Paragraphedeliste"/>
              <w:numPr>
                <w:ilvl w:val="0"/>
                <w:numId w:val="26"/>
              </w:numPr>
              <w:spacing w:after="120"/>
              <w:ind w:left="304" w:hanging="270"/>
              <w:jc w:val="both"/>
              <w:rPr>
                <w:sz w:val="18"/>
                <w:szCs w:val="18"/>
                <w:lang w:eastAsia="en-US"/>
              </w:rPr>
            </w:pPr>
            <w:r w:rsidRPr="00C366AC">
              <w:rPr>
                <w:sz w:val="18"/>
                <w:szCs w:val="18"/>
                <w:lang w:eastAsia="en-US"/>
              </w:rPr>
              <w:t>Consommation de gaz butane : 23,6 %</w:t>
            </w:r>
            <w:r w:rsidR="000D3526" w:rsidRPr="00C366AC">
              <w:rPr>
                <w:sz w:val="18"/>
                <w:szCs w:val="18"/>
                <w:lang w:eastAsia="en-US"/>
              </w:rPr>
              <w:t xml:space="preserve"> en</w:t>
            </w:r>
            <w:r w:rsidRPr="00C366AC">
              <w:rPr>
                <w:sz w:val="18"/>
                <w:szCs w:val="18"/>
                <w:lang w:eastAsia="en-US"/>
              </w:rPr>
              <w:t xml:space="preserve"> 2010</w:t>
            </w:r>
            <w:r w:rsidR="000D3526" w:rsidRPr="00C366AC">
              <w:rPr>
                <w:sz w:val="18"/>
                <w:szCs w:val="18"/>
                <w:lang w:eastAsia="en-US"/>
              </w:rPr>
              <w:t xml:space="preserve"> ; </w:t>
            </w:r>
            <w:r w:rsidRPr="00C366AC">
              <w:rPr>
                <w:sz w:val="18"/>
                <w:szCs w:val="18"/>
                <w:lang w:eastAsia="en-US"/>
              </w:rPr>
              <w:t>34,3</w:t>
            </w:r>
            <w:r w:rsidR="000D3526" w:rsidRPr="00C366AC">
              <w:rPr>
                <w:sz w:val="18"/>
                <w:szCs w:val="18"/>
                <w:lang w:eastAsia="en-US"/>
              </w:rPr>
              <w:t xml:space="preserve"> % en</w:t>
            </w:r>
            <w:r w:rsidRPr="00C366AC">
              <w:rPr>
                <w:sz w:val="18"/>
                <w:szCs w:val="18"/>
                <w:lang w:eastAsia="en-US"/>
              </w:rPr>
              <w:t xml:space="preserve"> 2020</w:t>
            </w:r>
            <w:r w:rsidR="000D3526" w:rsidRPr="00C366AC">
              <w:rPr>
                <w:sz w:val="18"/>
                <w:szCs w:val="18"/>
                <w:lang w:eastAsia="en-US"/>
              </w:rPr>
              <w:t> ;</w:t>
            </w:r>
            <w:r w:rsidRPr="00C366AC">
              <w:rPr>
                <w:sz w:val="18"/>
                <w:szCs w:val="18"/>
                <w:lang w:eastAsia="en-US"/>
              </w:rPr>
              <w:t xml:space="preserve"> 62,5 % </w:t>
            </w:r>
            <w:r w:rsidR="000D3526" w:rsidRPr="00C366AC">
              <w:rPr>
                <w:sz w:val="18"/>
                <w:szCs w:val="18"/>
                <w:lang w:eastAsia="en-US"/>
              </w:rPr>
              <w:t xml:space="preserve">en </w:t>
            </w:r>
            <w:r w:rsidRPr="00C366AC">
              <w:rPr>
                <w:sz w:val="18"/>
                <w:szCs w:val="18"/>
                <w:lang w:eastAsia="en-US"/>
              </w:rPr>
              <w:t xml:space="preserve">2030. </w:t>
            </w:r>
          </w:p>
          <w:p w14:paraId="47A54358" w14:textId="77777777" w:rsidR="000D3526" w:rsidRPr="00C366AC" w:rsidRDefault="001F2A9A" w:rsidP="000D3526">
            <w:pPr>
              <w:spacing w:after="120"/>
              <w:jc w:val="both"/>
              <w:rPr>
                <w:sz w:val="18"/>
                <w:szCs w:val="18"/>
                <w:lang w:eastAsia="en-US"/>
              </w:rPr>
            </w:pPr>
            <w:r w:rsidRPr="00C366AC">
              <w:rPr>
                <w:b/>
                <w:sz w:val="18"/>
                <w:szCs w:val="18"/>
                <w:lang w:eastAsia="en-US"/>
              </w:rPr>
              <w:t>Biocarburants :</w:t>
            </w:r>
          </w:p>
          <w:p w14:paraId="5488EEB5" w14:textId="1D3D0633" w:rsidR="000D3526" w:rsidRPr="00C366AC" w:rsidRDefault="001F2A9A" w:rsidP="008A3661">
            <w:pPr>
              <w:pStyle w:val="Paragraphedeliste"/>
              <w:numPr>
                <w:ilvl w:val="0"/>
                <w:numId w:val="26"/>
              </w:numPr>
              <w:spacing w:after="120"/>
              <w:ind w:left="304" w:hanging="270"/>
              <w:jc w:val="both"/>
              <w:rPr>
                <w:sz w:val="18"/>
                <w:szCs w:val="18"/>
                <w:lang w:eastAsia="en-US"/>
              </w:rPr>
            </w:pPr>
            <w:r w:rsidRPr="00C366AC">
              <w:rPr>
                <w:sz w:val="18"/>
                <w:szCs w:val="18"/>
                <w:lang w:eastAsia="en-US"/>
              </w:rPr>
              <w:t xml:space="preserve">Part de l'éthanol dans la consommation d'essence : 0,19 % </w:t>
            </w:r>
            <w:r w:rsidR="000D3526" w:rsidRPr="00C366AC">
              <w:rPr>
                <w:sz w:val="18"/>
                <w:szCs w:val="18"/>
                <w:lang w:eastAsia="en-US"/>
              </w:rPr>
              <w:t xml:space="preserve">en </w:t>
            </w:r>
            <w:r w:rsidRPr="00C366AC">
              <w:rPr>
                <w:sz w:val="18"/>
                <w:szCs w:val="18"/>
                <w:lang w:eastAsia="en-US"/>
              </w:rPr>
              <w:t>2010</w:t>
            </w:r>
            <w:r w:rsidR="000D3526" w:rsidRPr="00C366AC">
              <w:rPr>
                <w:sz w:val="18"/>
                <w:szCs w:val="18"/>
                <w:lang w:eastAsia="en-US"/>
              </w:rPr>
              <w:t> ;</w:t>
            </w:r>
            <w:r w:rsidRPr="00C366AC">
              <w:rPr>
                <w:sz w:val="18"/>
                <w:szCs w:val="18"/>
                <w:lang w:eastAsia="en-US"/>
              </w:rPr>
              <w:t xml:space="preserve"> 10,83 </w:t>
            </w:r>
            <w:r w:rsidR="000D3526" w:rsidRPr="00C366AC">
              <w:rPr>
                <w:sz w:val="18"/>
                <w:szCs w:val="18"/>
                <w:lang w:eastAsia="en-US"/>
              </w:rPr>
              <w:t>en</w:t>
            </w:r>
            <w:r w:rsidRPr="00C366AC">
              <w:rPr>
                <w:sz w:val="18"/>
                <w:szCs w:val="18"/>
                <w:lang w:eastAsia="en-US"/>
              </w:rPr>
              <w:t xml:space="preserve"> 2020</w:t>
            </w:r>
            <w:r w:rsidR="000D3526" w:rsidRPr="00C366AC">
              <w:rPr>
                <w:sz w:val="18"/>
                <w:szCs w:val="18"/>
                <w:lang w:eastAsia="en-US"/>
              </w:rPr>
              <w:t> ;</w:t>
            </w:r>
            <w:r w:rsidRPr="00C366AC">
              <w:rPr>
                <w:sz w:val="18"/>
                <w:szCs w:val="18"/>
                <w:lang w:eastAsia="en-US"/>
              </w:rPr>
              <w:t xml:space="preserve"> 11 % </w:t>
            </w:r>
            <w:r w:rsidR="000D3526" w:rsidRPr="00C366AC">
              <w:rPr>
                <w:sz w:val="18"/>
                <w:szCs w:val="18"/>
                <w:lang w:eastAsia="en-US"/>
              </w:rPr>
              <w:t xml:space="preserve">en </w:t>
            </w:r>
            <w:r w:rsidRPr="00C366AC">
              <w:rPr>
                <w:sz w:val="18"/>
                <w:szCs w:val="18"/>
                <w:lang w:eastAsia="en-US"/>
              </w:rPr>
              <w:t xml:space="preserve">2030. </w:t>
            </w:r>
          </w:p>
          <w:p w14:paraId="13A93952" w14:textId="7C86D8B6" w:rsidR="00137FD8" w:rsidRPr="00C366AC" w:rsidRDefault="001F2A9A" w:rsidP="008A3661">
            <w:pPr>
              <w:pStyle w:val="Paragraphedeliste"/>
              <w:numPr>
                <w:ilvl w:val="0"/>
                <w:numId w:val="26"/>
              </w:numPr>
              <w:spacing w:after="120"/>
              <w:ind w:left="304" w:hanging="270"/>
              <w:jc w:val="both"/>
              <w:rPr>
                <w:sz w:val="18"/>
                <w:szCs w:val="18"/>
                <w:lang w:eastAsia="en-US"/>
              </w:rPr>
            </w:pPr>
            <w:r w:rsidRPr="00C366AC">
              <w:rPr>
                <w:sz w:val="18"/>
                <w:szCs w:val="18"/>
                <w:lang w:eastAsia="en-US"/>
              </w:rPr>
              <w:t xml:space="preserve">Part du biodiesel dans la consommation de gasoil : 0,02 % </w:t>
            </w:r>
            <w:r w:rsidR="000D3526" w:rsidRPr="00C366AC">
              <w:rPr>
                <w:sz w:val="18"/>
                <w:szCs w:val="18"/>
                <w:lang w:eastAsia="en-US"/>
              </w:rPr>
              <w:t xml:space="preserve">en </w:t>
            </w:r>
            <w:r w:rsidRPr="00C366AC">
              <w:rPr>
                <w:sz w:val="18"/>
                <w:szCs w:val="18"/>
                <w:lang w:eastAsia="en-US"/>
              </w:rPr>
              <w:t>2010</w:t>
            </w:r>
            <w:r w:rsidR="000D3526" w:rsidRPr="00C366AC">
              <w:rPr>
                <w:sz w:val="18"/>
                <w:szCs w:val="18"/>
                <w:lang w:eastAsia="en-US"/>
              </w:rPr>
              <w:t xml:space="preserve"> ; </w:t>
            </w:r>
            <w:r w:rsidRPr="00C366AC">
              <w:rPr>
                <w:sz w:val="18"/>
                <w:szCs w:val="18"/>
                <w:lang w:eastAsia="en-US"/>
              </w:rPr>
              <w:t xml:space="preserve">4 % </w:t>
            </w:r>
            <w:r w:rsidR="000D3526" w:rsidRPr="00C366AC">
              <w:rPr>
                <w:sz w:val="18"/>
                <w:szCs w:val="18"/>
                <w:lang w:eastAsia="en-US"/>
              </w:rPr>
              <w:t xml:space="preserve">en </w:t>
            </w:r>
            <w:r w:rsidRPr="00C366AC">
              <w:rPr>
                <w:sz w:val="18"/>
                <w:szCs w:val="18"/>
                <w:lang w:eastAsia="en-US"/>
              </w:rPr>
              <w:t>2020</w:t>
            </w:r>
            <w:r w:rsidR="000D3526" w:rsidRPr="00C366AC">
              <w:rPr>
                <w:sz w:val="18"/>
                <w:szCs w:val="18"/>
                <w:lang w:eastAsia="en-US"/>
              </w:rPr>
              <w:t> ;</w:t>
            </w:r>
            <w:r w:rsidRPr="00C366AC">
              <w:rPr>
                <w:sz w:val="18"/>
                <w:szCs w:val="18"/>
                <w:lang w:eastAsia="en-US"/>
              </w:rPr>
              <w:t xml:space="preserve"> 5,4 % </w:t>
            </w:r>
            <w:r w:rsidR="000D3526" w:rsidRPr="00C366AC">
              <w:rPr>
                <w:sz w:val="18"/>
                <w:szCs w:val="18"/>
                <w:lang w:eastAsia="en-US"/>
              </w:rPr>
              <w:t xml:space="preserve">en </w:t>
            </w:r>
            <w:r w:rsidRPr="00C366AC">
              <w:rPr>
                <w:sz w:val="18"/>
                <w:szCs w:val="18"/>
                <w:lang w:eastAsia="en-US"/>
              </w:rPr>
              <w:t>2030.</w:t>
            </w:r>
          </w:p>
        </w:tc>
      </w:tr>
      <w:tr w:rsidR="00F71904" w14:paraId="3A5C604A" w14:textId="77777777" w:rsidTr="00C366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933" w:type="pct"/>
            <w:tcBorders>
              <w:top w:val="single" w:sz="4" w:space="0" w:color="auto"/>
              <w:left w:val="single" w:sz="4" w:space="0" w:color="auto"/>
              <w:bottom w:val="single" w:sz="4" w:space="0" w:color="auto"/>
              <w:right w:val="single" w:sz="4" w:space="0" w:color="auto"/>
            </w:tcBorders>
            <w:hideMark/>
          </w:tcPr>
          <w:p w14:paraId="30054956" w14:textId="77777777" w:rsidR="00F71904" w:rsidRPr="00C366AC" w:rsidRDefault="00F71904">
            <w:pPr>
              <w:spacing w:after="60"/>
              <w:jc w:val="both"/>
              <w:rPr>
                <w:sz w:val="18"/>
                <w:szCs w:val="18"/>
              </w:rPr>
            </w:pPr>
            <w:r w:rsidRPr="00C366AC">
              <w:rPr>
                <w:b/>
                <w:sz w:val="18"/>
                <w:szCs w:val="18"/>
              </w:rPr>
              <w:t>Plan d'Action National d'Efficacité Énergétique (PANEE) du Mali</w:t>
            </w:r>
          </w:p>
          <w:p w14:paraId="55DB2934" w14:textId="77777777" w:rsidR="00F71904" w:rsidRPr="00C366AC" w:rsidRDefault="00F71904">
            <w:pPr>
              <w:spacing w:after="60"/>
              <w:jc w:val="both"/>
              <w:rPr>
                <w:i/>
                <w:color w:val="1F3864" w:themeColor="accent5" w:themeShade="80"/>
                <w:sz w:val="18"/>
                <w:szCs w:val="18"/>
                <w:lang w:eastAsia="en-US"/>
              </w:rPr>
            </w:pPr>
            <w:r w:rsidRPr="00C366AC">
              <w:rPr>
                <w:i/>
                <w:color w:val="1F3864" w:themeColor="accent5" w:themeShade="80"/>
                <w:sz w:val="18"/>
                <w:szCs w:val="18"/>
                <w:lang w:eastAsia="en-US"/>
              </w:rPr>
              <w:t>MEE / CEREEC-CEDEAO, 2015</w:t>
            </w:r>
          </w:p>
          <w:p w14:paraId="53C89C3C" w14:textId="77777777" w:rsidR="00F71904" w:rsidRPr="00C366AC" w:rsidRDefault="00F71904">
            <w:pPr>
              <w:spacing w:after="60"/>
              <w:jc w:val="both"/>
              <w:rPr>
                <w:sz w:val="18"/>
                <w:szCs w:val="18"/>
              </w:rPr>
            </w:pPr>
          </w:p>
        </w:tc>
        <w:tc>
          <w:tcPr>
            <w:tcW w:w="1245" w:type="pct"/>
            <w:tcBorders>
              <w:top w:val="single" w:sz="4" w:space="0" w:color="auto"/>
              <w:left w:val="single" w:sz="4" w:space="0" w:color="auto"/>
              <w:bottom w:val="single" w:sz="4" w:space="0" w:color="auto"/>
              <w:right w:val="single" w:sz="4" w:space="0" w:color="auto"/>
            </w:tcBorders>
            <w:hideMark/>
          </w:tcPr>
          <w:p w14:paraId="521E9CA9" w14:textId="77777777" w:rsidR="00F71904" w:rsidRPr="00C366AC" w:rsidRDefault="00F71904">
            <w:pPr>
              <w:spacing w:after="60"/>
              <w:jc w:val="both"/>
              <w:rPr>
                <w:sz w:val="18"/>
                <w:szCs w:val="18"/>
              </w:rPr>
            </w:pPr>
            <w:r w:rsidRPr="00C366AC">
              <w:rPr>
                <w:sz w:val="18"/>
                <w:szCs w:val="18"/>
              </w:rPr>
              <w:t xml:space="preserve">Document stratégique élaboré dans le cadre de la Politique d'Efficacité Énergétique de la CEDEAO (PEEC), adoptée par les Chefs d'État en juillet 2013. Il décline les objectifs de la PEN en </w:t>
            </w:r>
            <w:r w:rsidRPr="00C366AC">
              <w:rPr>
                <w:sz w:val="18"/>
                <w:szCs w:val="18"/>
              </w:rPr>
              <w:lastRenderedPageBreak/>
              <w:t>trajectoires quantifiées pour cinq initiatives phares :</w:t>
            </w:r>
          </w:p>
          <w:p w14:paraId="7B6CEAB0" w14:textId="77777777" w:rsidR="00F71904" w:rsidRPr="00C366AC" w:rsidRDefault="00F71904" w:rsidP="008A3661">
            <w:pPr>
              <w:pStyle w:val="Paragraphedeliste"/>
              <w:numPr>
                <w:ilvl w:val="0"/>
                <w:numId w:val="30"/>
              </w:numPr>
              <w:spacing w:after="60"/>
              <w:ind w:left="250" w:hanging="250"/>
              <w:jc w:val="both"/>
              <w:rPr>
                <w:sz w:val="18"/>
                <w:szCs w:val="18"/>
              </w:rPr>
            </w:pPr>
            <w:r w:rsidRPr="00C366AC">
              <w:rPr>
                <w:sz w:val="18"/>
                <w:szCs w:val="18"/>
              </w:rPr>
              <w:t>Éclairage efficace (réseau et hors réseau)</w:t>
            </w:r>
          </w:p>
          <w:p w14:paraId="1C746657" w14:textId="77777777" w:rsidR="00F71904" w:rsidRPr="00C366AC" w:rsidRDefault="00F71904" w:rsidP="008A3661">
            <w:pPr>
              <w:pStyle w:val="Paragraphedeliste"/>
              <w:numPr>
                <w:ilvl w:val="0"/>
                <w:numId w:val="30"/>
              </w:numPr>
              <w:spacing w:after="60"/>
              <w:ind w:left="250" w:hanging="250"/>
              <w:jc w:val="both"/>
              <w:rPr>
                <w:sz w:val="18"/>
                <w:szCs w:val="18"/>
              </w:rPr>
            </w:pPr>
            <w:r w:rsidRPr="00C366AC">
              <w:rPr>
                <w:sz w:val="18"/>
                <w:szCs w:val="18"/>
              </w:rPr>
              <w:t>Normes et étiquetage</w:t>
            </w:r>
          </w:p>
          <w:p w14:paraId="3886C995" w14:textId="77777777" w:rsidR="00F71904" w:rsidRPr="00C366AC" w:rsidRDefault="00F71904" w:rsidP="008A3661">
            <w:pPr>
              <w:pStyle w:val="Paragraphedeliste"/>
              <w:numPr>
                <w:ilvl w:val="0"/>
                <w:numId w:val="30"/>
              </w:numPr>
              <w:spacing w:after="60"/>
              <w:ind w:left="250" w:hanging="250"/>
              <w:jc w:val="both"/>
              <w:rPr>
                <w:sz w:val="18"/>
                <w:szCs w:val="18"/>
              </w:rPr>
            </w:pPr>
            <w:r w:rsidRPr="00C366AC">
              <w:rPr>
                <w:sz w:val="18"/>
                <w:szCs w:val="18"/>
              </w:rPr>
              <w:t>Efficacité énergétique dans les bâtiments</w:t>
            </w:r>
          </w:p>
          <w:p w14:paraId="25F038E4" w14:textId="77777777" w:rsidR="00F71904" w:rsidRPr="00C366AC" w:rsidRDefault="00F71904" w:rsidP="008A3661">
            <w:pPr>
              <w:pStyle w:val="Paragraphedeliste"/>
              <w:numPr>
                <w:ilvl w:val="0"/>
                <w:numId w:val="30"/>
              </w:numPr>
              <w:spacing w:after="60"/>
              <w:ind w:left="250" w:hanging="250"/>
              <w:jc w:val="both"/>
              <w:rPr>
                <w:sz w:val="18"/>
                <w:szCs w:val="18"/>
              </w:rPr>
            </w:pPr>
            <w:r w:rsidRPr="00C366AC">
              <w:rPr>
                <w:sz w:val="18"/>
                <w:szCs w:val="18"/>
              </w:rPr>
              <w:t>Distribution à haute performance de l'électricité</w:t>
            </w:r>
          </w:p>
          <w:p w14:paraId="0BC33B8D" w14:textId="77777777" w:rsidR="00F71904" w:rsidRPr="00C366AC" w:rsidRDefault="00F71904" w:rsidP="008A3661">
            <w:pPr>
              <w:pStyle w:val="Paragraphedeliste"/>
              <w:numPr>
                <w:ilvl w:val="0"/>
                <w:numId w:val="30"/>
              </w:numPr>
              <w:spacing w:after="60"/>
              <w:ind w:left="250" w:hanging="250"/>
              <w:jc w:val="both"/>
              <w:rPr>
                <w:sz w:val="18"/>
                <w:szCs w:val="18"/>
              </w:rPr>
            </w:pPr>
            <w:r w:rsidRPr="00C366AC">
              <w:rPr>
                <w:sz w:val="18"/>
                <w:szCs w:val="18"/>
              </w:rPr>
              <w:t>Efficacité énergétique dans l'industrie</w:t>
            </w:r>
          </w:p>
        </w:tc>
        <w:tc>
          <w:tcPr>
            <w:tcW w:w="1572" w:type="pct"/>
            <w:tcBorders>
              <w:top w:val="single" w:sz="4" w:space="0" w:color="auto"/>
              <w:left w:val="single" w:sz="4" w:space="0" w:color="auto"/>
              <w:bottom w:val="single" w:sz="4" w:space="0" w:color="auto"/>
              <w:right w:val="single" w:sz="4" w:space="0" w:color="auto"/>
            </w:tcBorders>
            <w:hideMark/>
          </w:tcPr>
          <w:p w14:paraId="5BD056F4" w14:textId="77777777" w:rsidR="00F71904" w:rsidRPr="00C366AC" w:rsidRDefault="00F71904" w:rsidP="008A3661">
            <w:pPr>
              <w:pStyle w:val="Paragraphedeliste"/>
              <w:numPr>
                <w:ilvl w:val="0"/>
                <w:numId w:val="31"/>
              </w:numPr>
              <w:spacing w:after="120"/>
              <w:ind w:left="245" w:hanging="245"/>
              <w:contextualSpacing w:val="0"/>
              <w:jc w:val="both"/>
              <w:rPr>
                <w:sz w:val="18"/>
                <w:szCs w:val="18"/>
              </w:rPr>
            </w:pPr>
            <w:r w:rsidRPr="00C366AC">
              <w:rPr>
                <w:sz w:val="18"/>
                <w:szCs w:val="18"/>
              </w:rPr>
              <w:lastRenderedPageBreak/>
              <w:t>Réduction de la demande en énergie primaire via l'éclairage efficace (LBC, LED, lampadaires solaires)</w:t>
            </w:r>
          </w:p>
          <w:p w14:paraId="62A4BA76" w14:textId="77777777" w:rsidR="00F71904" w:rsidRPr="00C366AC" w:rsidRDefault="00F71904" w:rsidP="008A3661">
            <w:pPr>
              <w:pStyle w:val="Paragraphedeliste"/>
              <w:numPr>
                <w:ilvl w:val="0"/>
                <w:numId w:val="31"/>
              </w:numPr>
              <w:spacing w:after="120"/>
              <w:ind w:left="245" w:hanging="245"/>
              <w:contextualSpacing w:val="0"/>
              <w:jc w:val="both"/>
              <w:rPr>
                <w:sz w:val="18"/>
                <w:szCs w:val="18"/>
              </w:rPr>
            </w:pPr>
            <w:r w:rsidRPr="00C366AC">
              <w:rPr>
                <w:sz w:val="18"/>
                <w:szCs w:val="18"/>
              </w:rPr>
              <w:lastRenderedPageBreak/>
              <w:t>Réduction des pertes dans les réseaux de distribution d'EDM-SA (techniques et non techniques)</w:t>
            </w:r>
          </w:p>
          <w:p w14:paraId="64922951" w14:textId="77777777" w:rsidR="00F71904" w:rsidRPr="00C366AC" w:rsidRDefault="00F71904" w:rsidP="008A3661">
            <w:pPr>
              <w:pStyle w:val="Paragraphedeliste"/>
              <w:numPr>
                <w:ilvl w:val="0"/>
                <w:numId w:val="31"/>
              </w:numPr>
              <w:spacing w:after="120"/>
              <w:ind w:left="245" w:hanging="245"/>
              <w:contextualSpacing w:val="0"/>
              <w:jc w:val="both"/>
              <w:rPr>
                <w:sz w:val="18"/>
                <w:szCs w:val="18"/>
              </w:rPr>
            </w:pPr>
            <w:r w:rsidRPr="00C366AC">
              <w:rPr>
                <w:sz w:val="18"/>
                <w:szCs w:val="18"/>
              </w:rPr>
              <w:t>Promotion des normes et étiquettes énergétiques pour les appareils électroménagers</w:t>
            </w:r>
          </w:p>
          <w:p w14:paraId="5647EA35" w14:textId="77777777" w:rsidR="00F71904" w:rsidRPr="00C366AC" w:rsidRDefault="00F71904" w:rsidP="008A3661">
            <w:pPr>
              <w:pStyle w:val="Paragraphedeliste"/>
              <w:numPr>
                <w:ilvl w:val="0"/>
                <w:numId w:val="31"/>
              </w:numPr>
              <w:spacing w:after="120"/>
              <w:ind w:left="245" w:hanging="245"/>
              <w:contextualSpacing w:val="0"/>
              <w:jc w:val="both"/>
              <w:rPr>
                <w:sz w:val="18"/>
                <w:szCs w:val="18"/>
              </w:rPr>
            </w:pPr>
            <w:r w:rsidRPr="00C366AC">
              <w:rPr>
                <w:sz w:val="18"/>
                <w:szCs w:val="18"/>
              </w:rPr>
              <w:t>Amélioration de l'efficacité énergétique dans les bâtiments publics et privés</w:t>
            </w:r>
          </w:p>
          <w:p w14:paraId="1FF0CEAB" w14:textId="77777777" w:rsidR="00F71904" w:rsidRPr="00C366AC" w:rsidRDefault="00F71904" w:rsidP="008A3661">
            <w:pPr>
              <w:pStyle w:val="Paragraphedeliste"/>
              <w:numPr>
                <w:ilvl w:val="0"/>
                <w:numId w:val="31"/>
              </w:numPr>
              <w:spacing w:after="120"/>
              <w:ind w:left="245" w:hanging="245"/>
              <w:contextualSpacing w:val="0"/>
              <w:jc w:val="both"/>
              <w:rPr>
                <w:sz w:val="18"/>
                <w:szCs w:val="18"/>
              </w:rPr>
            </w:pPr>
            <w:r w:rsidRPr="00C366AC">
              <w:rPr>
                <w:sz w:val="18"/>
                <w:szCs w:val="18"/>
              </w:rPr>
              <w:t>Audits énergétiques et mesures d'EE dans le secteur industriel</w:t>
            </w:r>
          </w:p>
          <w:p w14:paraId="743540AC" w14:textId="77777777" w:rsidR="00F71904" w:rsidRPr="00C366AC" w:rsidRDefault="00F71904" w:rsidP="008A3661">
            <w:pPr>
              <w:pStyle w:val="Paragraphedeliste"/>
              <w:numPr>
                <w:ilvl w:val="0"/>
                <w:numId w:val="31"/>
              </w:numPr>
              <w:spacing w:after="120"/>
              <w:ind w:left="245" w:hanging="245"/>
              <w:contextualSpacing w:val="0"/>
              <w:jc w:val="both"/>
              <w:rPr>
                <w:sz w:val="18"/>
                <w:szCs w:val="18"/>
              </w:rPr>
            </w:pPr>
            <w:r w:rsidRPr="00C366AC">
              <w:rPr>
                <w:sz w:val="18"/>
                <w:szCs w:val="18"/>
              </w:rPr>
              <w:t>Substitution aux combustibles fossiles via l'introduction de biocarburants dans les transports</w:t>
            </w:r>
          </w:p>
          <w:p w14:paraId="39FEFC6C" w14:textId="77777777" w:rsidR="00F71904" w:rsidRPr="00C366AC" w:rsidRDefault="00F71904" w:rsidP="008A3661">
            <w:pPr>
              <w:pStyle w:val="Paragraphedeliste"/>
              <w:numPr>
                <w:ilvl w:val="0"/>
                <w:numId w:val="31"/>
              </w:numPr>
              <w:spacing w:after="120"/>
              <w:ind w:left="245" w:hanging="245"/>
              <w:contextualSpacing w:val="0"/>
              <w:jc w:val="both"/>
              <w:rPr>
                <w:sz w:val="18"/>
                <w:szCs w:val="18"/>
              </w:rPr>
            </w:pPr>
            <w:r w:rsidRPr="00C366AC">
              <w:rPr>
                <w:sz w:val="18"/>
                <w:szCs w:val="18"/>
              </w:rPr>
              <w:t>Introduction d'EnR (éolien, solaire thermique, biomasse) dans la production d'électricité</w:t>
            </w:r>
          </w:p>
        </w:tc>
        <w:tc>
          <w:tcPr>
            <w:tcW w:w="1250" w:type="pct"/>
            <w:tcBorders>
              <w:top w:val="single" w:sz="4" w:space="0" w:color="auto"/>
              <w:left w:val="single" w:sz="4" w:space="0" w:color="auto"/>
              <w:bottom w:val="single" w:sz="4" w:space="0" w:color="auto"/>
              <w:right w:val="single" w:sz="4" w:space="0" w:color="auto"/>
            </w:tcBorders>
            <w:hideMark/>
          </w:tcPr>
          <w:p w14:paraId="0626917B" w14:textId="77777777" w:rsidR="00F71904" w:rsidRPr="00C366AC" w:rsidRDefault="00F71904">
            <w:pPr>
              <w:spacing w:after="60"/>
              <w:jc w:val="both"/>
              <w:rPr>
                <w:b/>
                <w:sz w:val="18"/>
                <w:szCs w:val="18"/>
              </w:rPr>
            </w:pPr>
            <w:r w:rsidRPr="00C366AC">
              <w:rPr>
                <w:b/>
                <w:sz w:val="18"/>
                <w:szCs w:val="18"/>
              </w:rPr>
              <w:lastRenderedPageBreak/>
              <w:t>Potentiel d'économie d'énergie primaire :</w:t>
            </w:r>
          </w:p>
          <w:p w14:paraId="10A7D1C9" w14:textId="77777777" w:rsidR="00F71904" w:rsidRPr="00C366AC" w:rsidRDefault="00F71904" w:rsidP="008A3661">
            <w:pPr>
              <w:pStyle w:val="Paragraphedeliste"/>
              <w:numPr>
                <w:ilvl w:val="0"/>
                <w:numId w:val="32"/>
              </w:numPr>
              <w:spacing w:after="60"/>
              <w:ind w:left="300" w:hanging="300"/>
              <w:jc w:val="both"/>
              <w:rPr>
                <w:sz w:val="18"/>
                <w:szCs w:val="18"/>
                <w:lang w:val="nl-NL"/>
              </w:rPr>
            </w:pPr>
            <w:r w:rsidRPr="00C366AC">
              <w:rPr>
                <w:sz w:val="18"/>
                <w:szCs w:val="18"/>
                <w:lang w:val="nl-NL"/>
              </w:rPr>
              <w:t>425 GWh en 2010 ; 6 339 GWh en 2020 ; 21 490 GWh en 2030</w:t>
            </w:r>
          </w:p>
          <w:p w14:paraId="1127C50B" w14:textId="77777777" w:rsidR="00F71904" w:rsidRPr="00C366AC" w:rsidRDefault="00F71904">
            <w:pPr>
              <w:spacing w:after="60"/>
              <w:jc w:val="both"/>
              <w:rPr>
                <w:b/>
                <w:sz w:val="18"/>
                <w:szCs w:val="18"/>
              </w:rPr>
            </w:pPr>
            <w:r w:rsidRPr="00C366AC">
              <w:rPr>
                <w:b/>
                <w:sz w:val="18"/>
                <w:szCs w:val="18"/>
              </w:rPr>
              <w:t>Éclairage (réseau) :</w:t>
            </w:r>
          </w:p>
          <w:p w14:paraId="3DBEF33D" w14:textId="77777777" w:rsidR="00F71904" w:rsidRPr="00C366AC" w:rsidRDefault="00F71904" w:rsidP="008A3661">
            <w:pPr>
              <w:pStyle w:val="Paragraphedeliste"/>
              <w:numPr>
                <w:ilvl w:val="0"/>
                <w:numId w:val="32"/>
              </w:numPr>
              <w:spacing w:after="60"/>
              <w:ind w:left="300" w:hanging="300"/>
              <w:jc w:val="both"/>
              <w:rPr>
                <w:sz w:val="18"/>
                <w:szCs w:val="18"/>
              </w:rPr>
            </w:pPr>
            <w:r w:rsidRPr="00C366AC">
              <w:rPr>
                <w:sz w:val="18"/>
                <w:szCs w:val="18"/>
              </w:rPr>
              <w:lastRenderedPageBreak/>
              <w:t>Taux de pénétration : 4 % en 2010 ; 18,5 % en 2020 ; 26,8 % en2030</w:t>
            </w:r>
          </w:p>
          <w:p w14:paraId="6186467F" w14:textId="77777777" w:rsidR="00F71904" w:rsidRPr="00C366AC" w:rsidRDefault="00F71904">
            <w:pPr>
              <w:spacing w:after="60"/>
              <w:jc w:val="both"/>
              <w:rPr>
                <w:b/>
                <w:sz w:val="18"/>
                <w:szCs w:val="18"/>
              </w:rPr>
            </w:pPr>
            <w:r w:rsidRPr="00C366AC">
              <w:rPr>
                <w:b/>
                <w:sz w:val="18"/>
                <w:szCs w:val="18"/>
              </w:rPr>
              <w:t>Pertes électriques :</w:t>
            </w:r>
          </w:p>
          <w:p w14:paraId="774B6015" w14:textId="77777777" w:rsidR="00F71904" w:rsidRPr="00C366AC" w:rsidRDefault="00F71904" w:rsidP="008A3661">
            <w:pPr>
              <w:pStyle w:val="Paragraphedeliste"/>
              <w:numPr>
                <w:ilvl w:val="0"/>
                <w:numId w:val="32"/>
              </w:numPr>
              <w:spacing w:after="60"/>
              <w:ind w:left="300" w:hanging="300"/>
              <w:jc w:val="both"/>
              <w:rPr>
                <w:sz w:val="18"/>
                <w:szCs w:val="18"/>
              </w:rPr>
            </w:pPr>
            <w:r w:rsidRPr="00C366AC">
              <w:rPr>
                <w:sz w:val="18"/>
                <w:szCs w:val="18"/>
              </w:rPr>
              <w:t>Pertes totales réseau : 33 % en 2010 ; 14 % en 2020 ; 10 % en 2030</w:t>
            </w:r>
          </w:p>
          <w:p w14:paraId="21B1FFB0" w14:textId="77777777" w:rsidR="00F71904" w:rsidRPr="00C366AC" w:rsidRDefault="00F71904">
            <w:pPr>
              <w:spacing w:after="60"/>
              <w:jc w:val="both"/>
              <w:rPr>
                <w:b/>
                <w:sz w:val="18"/>
                <w:szCs w:val="18"/>
              </w:rPr>
            </w:pPr>
            <w:r w:rsidRPr="00C366AC">
              <w:rPr>
                <w:b/>
                <w:sz w:val="18"/>
                <w:szCs w:val="18"/>
              </w:rPr>
              <w:t>Bâtiments :</w:t>
            </w:r>
          </w:p>
          <w:p w14:paraId="44AAD8BB" w14:textId="77777777" w:rsidR="00F71904" w:rsidRPr="00C366AC" w:rsidRDefault="00F71904" w:rsidP="008A3661">
            <w:pPr>
              <w:pStyle w:val="Paragraphedeliste"/>
              <w:numPr>
                <w:ilvl w:val="0"/>
                <w:numId w:val="32"/>
              </w:numPr>
              <w:spacing w:after="60"/>
              <w:ind w:left="300" w:hanging="300"/>
              <w:jc w:val="both"/>
              <w:rPr>
                <w:sz w:val="18"/>
                <w:szCs w:val="18"/>
              </w:rPr>
            </w:pPr>
            <w:r w:rsidRPr="00C366AC">
              <w:rPr>
                <w:sz w:val="18"/>
                <w:szCs w:val="18"/>
              </w:rPr>
              <w:t>Nouveaux bâtiments publics avec mesures EE : 0 % en 2010 ; 40 % en 2020 ; 100 % en 2030</w:t>
            </w:r>
          </w:p>
          <w:p w14:paraId="694956F2" w14:textId="77777777" w:rsidR="00F71904" w:rsidRPr="00C366AC" w:rsidRDefault="00F71904">
            <w:pPr>
              <w:spacing w:after="60"/>
              <w:jc w:val="both"/>
              <w:rPr>
                <w:b/>
                <w:sz w:val="18"/>
                <w:szCs w:val="18"/>
              </w:rPr>
            </w:pPr>
            <w:r w:rsidRPr="00C366AC">
              <w:rPr>
                <w:b/>
                <w:sz w:val="18"/>
                <w:szCs w:val="18"/>
              </w:rPr>
              <w:t>Industrie :</w:t>
            </w:r>
          </w:p>
          <w:p w14:paraId="3D997A06" w14:textId="77777777" w:rsidR="00F71904" w:rsidRPr="00C366AC" w:rsidRDefault="00F71904" w:rsidP="008A3661">
            <w:pPr>
              <w:pStyle w:val="Paragraphedeliste"/>
              <w:numPr>
                <w:ilvl w:val="0"/>
                <w:numId w:val="32"/>
              </w:numPr>
              <w:spacing w:after="60"/>
              <w:ind w:left="300" w:hanging="300"/>
              <w:jc w:val="both"/>
              <w:rPr>
                <w:sz w:val="18"/>
                <w:szCs w:val="18"/>
              </w:rPr>
            </w:pPr>
            <w:r w:rsidRPr="00C366AC">
              <w:rPr>
                <w:sz w:val="18"/>
                <w:szCs w:val="18"/>
              </w:rPr>
              <w:t>Économies d'énergie industrie : 0 % en 2010 ; 14 % en 2020 ; 21 % en 2030</w:t>
            </w:r>
          </w:p>
          <w:p w14:paraId="43EB188A" w14:textId="77777777" w:rsidR="00F71904" w:rsidRPr="00C366AC" w:rsidRDefault="00F71904">
            <w:pPr>
              <w:spacing w:after="60"/>
              <w:jc w:val="both"/>
              <w:rPr>
                <w:b/>
                <w:sz w:val="18"/>
                <w:szCs w:val="18"/>
              </w:rPr>
            </w:pPr>
            <w:r w:rsidRPr="00C366AC">
              <w:rPr>
                <w:b/>
                <w:sz w:val="18"/>
                <w:szCs w:val="18"/>
              </w:rPr>
              <w:t>Investissements :</w:t>
            </w:r>
          </w:p>
          <w:p w14:paraId="2D19303D" w14:textId="362E4E7F" w:rsidR="00F71904" w:rsidRPr="00C366AC" w:rsidRDefault="00F71904" w:rsidP="008A3661">
            <w:pPr>
              <w:pStyle w:val="Paragraphedeliste"/>
              <w:numPr>
                <w:ilvl w:val="0"/>
                <w:numId w:val="32"/>
              </w:numPr>
              <w:spacing w:after="60"/>
              <w:ind w:left="300" w:hanging="300"/>
              <w:jc w:val="both"/>
              <w:rPr>
                <w:sz w:val="18"/>
                <w:szCs w:val="18"/>
              </w:rPr>
            </w:pPr>
            <w:r w:rsidRPr="00C366AC">
              <w:rPr>
                <w:sz w:val="18"/>
                <w:szCs w:val="18"/>
              </w:rPr>
              <w:t>312 022 M FCFA (2016</w:t>
            </w:r>
            <w:r w:rsidR="000E6FB3" w:rsidRPr="00C366AC">
              <w:rPr>
                <w:sz w:val="18"/>
                <w:szCs w:val="18"/>
              </w:rPr>
              <w:t>-</w:t>
            </w:r>
            <w:r w:rsidRPr="00C366AC">
              <w:rPr>
                <w:sz w:val="18"/>
                <w:szCs w:val="18"/>
              </w:rPr>
              <w:t>2020) ; 745 815 M FCFA (2021</w:t>
            </w:r>
            <w:r w:rsidR="000E6FB3" w:rsidRPr="00C366AC">
              <w:rPr>
                <w:sz w:val="18"/>
                <w:szCs w:val="18"/>
              </w:rPr>
              <w:t>-</w:t>
            </w:r>
            <w:r w:rsidRPr="00C366AC">
              <w:rPr>
                <w:sz w:val="18"/>
                <w:szCs w:val="18"/>
              </w:rPr>
              <w:t>2030)</w:t>
            </w:r>
          </w:p>
        </w:tc>
      </w:tr>
      <w:tr w:rsidR="00246C51" w14:paraId="49534B0A" w14:textId="77777777" w:rsidTr="00C366AC">
        <w:trPr>
          <w:trHeight w:val="20"/>
        </w:trPr>
        <w:tc>
          <w:tcPr>
            <w:tcW w:w="933" w:type="pct"/>
          </w:tcPr>
          <w:p w14:paraId="0F07A83D" w14:textId="1D074487" w:rsidR="00246C51" w:rsidRPr="00C366AC" w:rsidRDefault="00246C51" w:rsidP="00246C51">
            <w:pPr>
              <w:jc w:val="lowKashida"/>
              <w:rPr>
                <w:rFonts w:eastAsia="Times New Roman"/>
                <w:b/>
                <w:sz w:val="18"/>
                <w:szCs w:val="18"/>
                <w:u w:val="single"/>
                <w:lang w:eastAsia="en-US"/>
              </w:rPr>
            </w:pPr>
            <w:r w:rsidRPr="00C366AC">
              <w:rPr>
                <w:b/>
                <w:sz w:val="18"/>
                <w:szCs w:val="18"/>
                <w:lang w:eastAsia="en-US"/>
              </w:rPr>
              <w:lastRenderedPageBreak/>
              <w:t>Programme SE4ALL (Sustainable Energy for All) du Mali</w:t>
            </w:r>
            <w:r w:rsidRPr="00C366AC">
              <w:rPr>
                <w:sz w:val="18"/>
                <w:szCs w:val="18"/>
                <w:lang w:eastAsia="en-US"/>
              </w:rPr>
              <w:t xml:space="preserve"> </w:t>
            </w:r>
            <w:r w:rsidR="000E6FB3" w:rsidRPr="00C366AC">
              <w:rPr>
                <w:sz w:val="18"/>
                <w:szCs w:val="18"/>
                <w:lang w:eastAsia="en-US"/>
              </w:rPr>
              <w:t>-</w:t>
            </w:r>
            <w:r w:rsidRPr="00C366AC">
              <w:rPr>
                <w:sz w:val="18"/>
                <w:szCs w:val="18"/>
                <w:lang w:eastAsia="en-US"/>
              </w:rPr>
              <w:t xml:space="preserve"> </w:t>
            </w:r>
            <w:r w:rsidRPr="00C366AC">
              <w:rPr>
                <w:i/>
                <w:color w:val="1F3864" w:themeColor="accent5" w:themeShade="80"/>
                <w:sz w:val="18"/>
                <w:szCs w:val="18"/>
                <w:lang w:eastAsia="en-US"/>
              </w:rPr>
              <w:t>MEE / DNE, engagement 2011, Prospectus d’Investissement publié en mai 2019.</w:t>
            </w:r>
          </w:p>
        </w:tc>
        <w:tc>
          <w:tcPr>
            <w:tcW w:w="1245" w:type="pct"/>
          </w:tcPr>
          <w:p w14:paraId="33CDF4C4" w14:textId="423321DC" w:rsidR="00246C51" w:rsidRPr="00C366AC" w:rsidRDefault="00246C51" w:rsidP="00246C51">
            <w:pPr>
              <w:jc w:val="lowKashida"/>
              <w:rPr>
                <w:rFonts w:eastAsia="Times New Roman"/>
                <w:b/>
                <w:sz w:val="18"/>
                <w:szCs w:val="18"/>
                <w:u w:val="single"/>
                <w:lang w:eastAsia="en-US"/>
              </w:rPr>
            </w:pPr>
            <w:r w:rsidRPr="00C366AC">
              <w:rPr>
                <w:sz w:val="18"/>
                <w:szCs w:val="18"/>
                <w:lang w:eastAsia="en-US"/>
              </w:rPr>
              <w:t>Initiative internationale à laquelle le Mali a adhéré en 2011 pour garantir un accès universel à l’énergie durable à l’horizon 2030. Elle se décline au Mali en un Agenda d’Action (AA) couvrant 11 domaines d’intervention (accès, EnR grande échelle, efficacité énergétique, cuisson, transport, bâtiments, biocarburants, financement, renforcement de capacités) et en un Prospectus d’Investissement (2019) mobilisant 13 225,8 millions USD sur 2018</w:t>
            </w:r>
            <w:r w:rsidR="000E6FB3" w:rsidRPr="00C366AC">
              <w:rPr>
                <w:sz w:val="18"/>
                <w:szCs w:val="18"/>
                <w:lang w:eastAsia="en-US"/>
              </w:rPr>
              <w:t>-</w:t>
            </w:r>
            <w:r w:rsidRPr="00C366AC">
              <w:rPr>
                <w:sz w:val="18"/>
                <w:szCs w:val="18"/>
                <w:lang w:eastAsia="en-US"/>
              </w:rPr>
              <w:t>2030.</w:t>
            </w:r>
          </w:p>
        </w:tc>
        <w:tc>
          <w:tcPr>
            <w:tcW w:w="1572" w:type="pct"/>
          </w:tcPr>
          <w:p w14:paraId="57256476" w14:textId="5A52E70B" w:rsidR="00246C51" w:rsidRPr="00C366AC" w:rsidRDefault="00246C51" w:rsidP="008A3661">
            <w:pPr>
              <w:pStyle w:val="Paragraphedeliste"/>
              <w:numPr>
                <w:ilvl w:val="0"/>
                <w:numId w:val="27"/>
              </w:numPr>
              <w:spacing w:after="120"/>
              <w:ind w:left="245" w:hanging="245"/>
              <w:contextualSpacing w:val="0"/>
              <w:jc w:val="lowKashida"/>
              <w:rPr>
                <w:sz w:val="18"/>
                <w:szCs w:val="18"/>
                <w:lang w:eastAsia="en-US"/>
              </w:rPr>
            </w:pPr>
            <w:r w:rsidRPr="00C366AC">
              <w:rPr>
                <w:sz w:val="18"/>
                <w:szCs w:val="18"/>
                <w:lang w:eastAsia="en-US"/>
              </w:rPr>
              <w:t>Diversification du mix énergétique vers des sources bas-carbone (solaire PV, hydroélectricité, bioénergie, éolien) en substitution aux énergies fossiles importées.</w:t>
            </w:r>
          </w:p>
          <w:p w14:paraId="508BDFA1" w14:textId="10F3909A" w:rsidR="00246C51" w:rsidRPr="00C366AC" w:rsidRDefault="00246C51" w:rsidP="008A3661">
            <w:pPr>
              <w:pStyle w:val="Paragraphedeliste"/>
              <w:numPr>
                <w:ilvl w:val="0"/>
                <w:numId w:val="27"/>
              </w:numPr>
              <w:spacing w:after="120"/>
              <w:ind w:left="245" w:hanging="245"/>
              <w:contextualSpacing w:val="0"/>
              <w:jc w:val="lowKashida"/>
              <w:rPr>
                <w:sz w:val="18"/>
                <w:szCs w:val="18"/>
                <w:lang w:eastAsia="en-US"/>
              </w:rPr>
            </w:pPr>
            <w:r w:rsidRPr="00C366AC">
              <w:rPr>
                <w:sz w:val="18"/>
                <w:szCs w:val="18"/>
                <w:lang w:eastAsia="en-US"/>
              </w:rPr>
              <w:t>Développement massif de l’accès hors réseau via les EnR pour les populations rurales, réduisant leur vulnérabilité énergétique et climatique.</w:t>
            </w:r>
          </w:p>
          <w:p w14:paraId="210EF862" w14:textId="56664516" w:rsidR="00246C51" w:rsidRPr="00C366AC" w:rsidRDefault="00246C51" w:rsidP="008A3661">
            <w:pPr>
              <w:pStyle w:val="Paragraphedeliste"/>
              <w:numPr>
                <w:ilvl w:val="0"/>
                <w:numId w:val="27"/>
              </w:numPr>
              <w:spacing w:after="120"/>
              <w:ind w:left="245" w:hanging="245"/>
              <w:contextualSpacing w:val="0"/>
              <w:jc w:val="lowKashida"/>
              <w:rPr>
                <w:sz w:val="18"/>
                <w:szCs w:val="18"/>
                <w:lang w:eastAsia="en-US"/>
              </w:rPr>
            </w:pPr>
            <w:r w:rsidRPr="00C366AC">
              <w:rPr>
                <w:sz w:val="18"/>
                <w:szCs w:val="18"/>
                <w:lang w:eastAsia="en-US"/>
              </w:rPr>
              <w:t>Promotion de l’efficacité énergétique dans les secteurs résidentiel, industriel, tertiaire et transport pour réduire la demande globale d’énergie.</w:t>
            </w:r>
          </w:p>
          <w:p w14:paraId="565B99B9" w14:textId="2B51B22F" w:rsidR="00246C51" w:rsidRPr="00C366AC" w:rsidRDefault="00246C51" w:rsidP="008A3661">
            <w:pPr>
              <w:pStyle w:val="Paragraphedeliste"/>
              <w:numPr>
                <w:ilvl w:val="0"/>
                <w:numId w:val="27"/>
              </w:numPr>
              <w:spacing w:after="120"/>
              <w:ind w:left="245" w:hanging="245"/>
              <w:contextualSpacing w:val="0"/>
              <w:jc w:val="lowKashida"/>
              <w:rPr>
                <w:sz w:val="18"/>
                <w:szCs w:val="18"/>
                <w:lang w:eastAsia="en-US"/>
              </w:rPr>
            </w:pPr>
            <w:r w:rsidRPr="00C366AC">
              <w:rPr>
                <w:sz w:val="18"/>
                <w:szCs w:val="18"/>
                <w:lang w:eastAsia="en-US"/>
              </w:rPr>
              <w:t>Transition vers les combustibles modernes de cuisson (GPL, bioéthanol, biogaz) pour réduire la pression sur les ressources forestières et les émissions liées à la biomasse.</w:t>
            </w:r>
          </w:p>
          <w:p w14:paraId="7F33DD6A" w14:textId="070FB5D7" w:rsidR="00246C51" w:rsidRPr="00C366AC" w:rsidRDefault="00246C51" w:rsidP="008A3661">
            <w:pPr>
              <w:pStyle w:val="Paragraphedeliste"/>
              <w:numPr>
                <w:ilvl w:val="0"/>
                <w:numId w:val="27"/>
              </w:numPr>
              <w:spacing w:after="120"/>
              <w:ind w:left="245" w:hanging="245"/>
              <w:contextualSpacing w:val="0"/>
              <w:jc w:val="lowKashida"/>
              <w:rPr>
                <w:sz w:val="18"/>
                <w:szCs w:val="18"/>
                <w:lang w:eastAsia="en-US"/>
              </w:rPr>
            </w:pPr>
            <w:r w:rsidRPr="00C366AC">
              <w:rPr>
                <w:sz w:val="18"/>
                <w:szCs w:val="18"/>
                <w:lang w:eastAsia="en-US"/>
              </w:rPr>
              <w:t>Soutien aux interconnexions régionales pour renforcer la sécurité d’approvisionnement énergétique national.</w:t>
            </w:r>
          </w:p>
        </w:tc>
        <w:tc>
          <w:tcPr>
            <w:tcW w:w="1250" w:type="pct"/>
          </w:tcPr>
          <w:p w14:paraId="7D8FB274" w14:textId="1869194A" w:rsidR="00246C51" w:rsidRPr="00C366AC" w:rsidRDefault="00246C51" w:rsidP="008A3661">
            <w:pPr>
              <w:pStyle w:val="Paragraphedeliste"/>
              <w:numPr>
                <w:ilvl w:val="0"/>
                <w:numId w:val="28"/>
              </w:numPr>
              <w:spacing w:after="120"/>
              <w:ind w:left="302" w:hanging="302"/>
              <w:contextualSpacing w:val="0"/>
              <w:jc w:val="lowKashida"/>
              <w:rPr>
                <w:rFonts w:eastAsia="Times New Roman"/>
                <w:sz w:val="18"/>
                <w:szCs w:val="18"/>
                <w:lang w:eastAsia="en-US"/>
              </w:rPr>
            </w:pPr>
            <w:r w:rsidRPr="00C366AC">
              <w:rPr>
                <w:rFonts w:eastAsia="Times New Roman"/>
                <w:sz w:val="18"/>
                <w:szCs w:val="18"/>
                <w:lang w:eastAsia="en-US"/>
              </w:rPr>
              <w:t>Taux d’électrification national : 63,4 % en 2020 (urbain : 90 %, rural : 52 %) ; 87 % en 2030 (urbain : 100 %, rural : 81,5 %).</w:t>
            </w:r>
          </w:p>
          <w:p w14:paraId="0CBE17CF" w14:textId="3C48708B" w:rsidR="00246C51" w:rsidRPr="00C366AC" w:rsidRDefault="00246C51" w:rsidP="008A3661">
            <w:pPr>
              <w:pStyle w:val="Paragraphedeliste"/>
              <w:numPr>
                <w:ilvl w:val="0"/>
                <w:numId w:val="28"/>
              </w:numPr>
              <w:spacing w:after="120"/>
              <w:ind w:left="302" w:hanging="302"/>
              <w:contextualSpacing w:val="0"/>
              <w:jc w:val="lowKashida"/>
              <w:rPr>
                <w:rFonts w:eastAsia="Times New Roman"/>
                <w:sz w:val="18"/>
                <w:szCs w:val="18"/>
                <w:lang w:eastAsia="en-US"/>
              </w:rPr>
            </w:pPr>
            <w:r w:rsidRPr="00C366AC">
              <w:rPr>
                <w:rFonts w:eastAsia="Times New Roman"/>
                <w:sz w:val="18"/>
                <w:szCs w:val="18"/>
                <w:lang w:eastAsia="en-US"/>
              </w:rPr>
              <w:t>Cuisson propre : 34,3 % accès au gaz butane en 2020 ; 62,5 % en 2030. 44 % équipements propres de cuisson en 2020 ; 82 % en 2030.</w:t>
            </w:r>
          </w:p>
          <w:p w14:paraId="73A429DA" w14:textId="538C3401" w:rsidR="00246C51" w:rsidRPr="00C366AC" w:rsidRDefault="00246C51" w:rsidP="008A3661">
            <w:pPr>
              <w:pStyle w:val="Paragraphedeliste"/>
              <w:numPr>
                <w:ilvl w:val="0"/>
                <w:numId w:val="28"/>
              </w:numPr>
              <w:spacing w:after="120"/>
              <w:ind w:left="302" w:hanging="302"/>
              <w:contextualSpacing w:val="0"/>
              <w:jc w:val="lowKashida"/>
              <w:rPr>
                <w:rFonts w:eastAsia="Times New Roman"/>
                <w:sz w:val="18"/>
                <w:szCs w:val="18"/>
                <w:lang w:eastAsia="en-US"/>
              </w:rPr>
            </w:pPr>
            <w:r w:rsidRPr="00C366AC">
              <w:rPr>
                <w:rFonts w:eastAsia="Times New Roman"/>
                <w:sz w:val="18"/>
                <w:szCs w:val="18"/>
                <w:lang w:eastAsia="en-US"/>
              </w:rPr>
              <w:t>EnR raccordées au réseau : 618,4 MW (47 %) en 2020 ; 977,4 MW (52,5 %) en 2030. Capacité solaire : 268 MW en 2020, 538 MW en 2030.</w:t>
            </w:r>
          </w:p>
          <w:p w14:paraId="7BE67F3C" w14:textId="43497BF1" w:rsidR="00246C51" w:rsidRPr="00C366AC" w:rsidRDefault="00246C51" w:rsidP="008A3661">
            <w:pPr>
              <w:pStyle w:val="Paragraphedeliste"/>
              <w:numPr>
                <w:ilvl w:val="0"/>
                <w:numId w:val="28"/>
              </w:numPr>
              <w:spacing w:after="120"/>
              <w:ind w:left="302" w:hanging="302"/>
              <w:contextualSpacing w:val="0"/>
              <w:jc w:val="lowKashida"/>
              <w:rPr>
                <w:rFonts w:eastAsia="Times New Roman"/>
                <w:sz w:val="18"/>
                <w:szCs w:val="18"/>
                <w:lang w:eastAsia="en-US"/>
              </w:rPr>
            </w:pPr>
            <w:r w:rsidRPr="00C366AC">
              <w:rPr>
                <w:rFonts w:eastAsia="Times New Roman"/>
                <w:sz w:val="18"/>
                <w:szCs w:val="18"/>
                <w:lang w:eastAsia="en-US"/>
              </w:rPr>
              <w:t>Efficacité énergétique : 14 % d’économies dans l’industrie en 2020 ; 21 % en 2030. 100 % des nouveaux bâtiments publics à haute efficacité en 2030.</w:t>
            </w:r>
          </w:p>
          <w:p w14:paraId="03C22006" w14:textId="22734833" w:rsidR="00246C51" w:rsidRPr="00C366AC" w:rsidRDefault="00246C51" w:rsidP="008A3661">
            <w:pPr>
              <w:pStyle w:val="Paragraphedeliste"/>
              <w:numPr>
                <w:ilvl w:val="0"/>
                <w:numId w:val="28"/>
              </w:numPr>
              <w:spacing w:after="120"/>
              <w:ind w:left="302" w:hanging="302"/>
              <w:contextualSpacing w:val="0"/>
              <w:jc w:val="lowKashida"/>
              <w:rPr>
                <w:rFonts w:eastAsia="Times New Roman"/>
                <w:sz w:val="18"/>
                <w:szCs w:val="18"/>
                <w:lang w:eastAsia="en-US"/>
              </w:rPr>
            </w:pPr>
            <w:r w:rsidRPr="00C366AC">
              <w:rPr>
                <w:rFonts w:eastAsia="Times New Roman"/>
                <w:sz w:val="18"/>
                <w:szCs w:val="18"/>
                <w:lang w:eastAsia="en-US"/>
              </w:rPr>
              <w:t>Investissement total nécessaire : 13 225,8 millions USD sur 2018</w:t>
            </w:r>
            <w:r w:rsidR="000E6FB3" w:rsidRPr="00C366AC">
              <w:rPr>
                <w:rFonts w:eastAsia="Times New Roman"/>
                <w:sz w:val="18"/>
                <w:szCs w:val="18"/>
                <w:lang w:eastAsia="en-US"/>
              </w:rPr>
              <w:t>-</w:t>
            </w:r>
            <w:r w:rsidRPr="00C366AC">
              <w:rPr>
                <w:rFonts w:eastAsia="Times New Roman"/>
                <w:sz w:val="18"/>
                <w:szCs w:val="18"/>
                <w:lang w:eastAsia="en-US"/>
              </w:rPr>
              <w:t>2030 (soit 1 102 millions USD/an).</w:t>
            </w:r>
          </w:p>
        </w:tc>
      </w:tr>
    </w:tbl>
    <w:p w14:paraId="1ECBD05C" w14:textId="11E6918C" w:rsidR="00C3131D" w:rsidRPr="00C3131D" w:rsidRDefault="00C3131D" w:rsidP="002054CE">
      <w:pPr>
        <w:spacing w:before="240"/>
        <w:jc w:val="both"/>
        <w:rPr>
          <w:rFonts w:eastAsia="Times New Roman"/>
          <w:sz w:val="24"/>
          <w:szCs w:val="24"/>
          <w:lang w:eastAsia="en-US"/>
        </w:rPr>
      </w:pPr>
      <w:r w:rsidRPr="00C3131D">
        <w:rPr>
          <w:rFonts w:eastAsia="Times New Roman"/>
          <w:sz w:val="24"/>
          <w:szCs w:val="24"/>
          <w:lang w:eastAsia="en-US"/>
        </w:rPr>
        <w:lastRenderedPageBreak/>
        <w:t>L'analyse de ce corpus de politiques révèle un cadre sectoriel globalement orienté vers la transition énergétique, structuré autour de trois axes convergents : la diversification du mix énergétique vers les sources renouvelables, la réduction de la pression sur les ressources forestières par la substitution aux combustibles ligneux, et l'amélioration de l'efficacité énergétique dans les secteurs résidentiel, industriel et des transports. Plusieurs de ces instruments constituent un point de départ solide pour la construction des scénarios de la CDN 3.0. Ils témoignent d'une volonté nationale affirmée de transition énergétique et fournissent des trajectoires quantifiées sur lesquelles il est possible de s'appuyer.</w:t>
      </w:r>
    </w:p>
    <w:p w14:paraId="283557F0" w14:textId="59FD3020" w:rsidR="000C7F1E" w:rsidRDefault="00C3131D" w:rsidP="00833B02">
      <w:pPr>
        <w:spacing w:before="120" w:after="120"/>
        <w:jc w:val="both"/>
        <w:rPr>
          <w:rFonts w:eastAsia="Times New Roman"/>
          <w:sz w:val="24"/>
          <w:szCs w:val="24"/>
          <w:lang w:eastAsia="en-US"/>
        </w:rPr>
      </w:pPr>
      <w:r w:rsidRPr="00C3131D">
        <w:rPr>
          <w:rFonts w:eastAsia="Times New Roman"/>
          <w:sz w:val="24"/>
          <w:szCs w:val="24"/>
          <w:lang w:eastAsia="en-US"/>
        </w:rPr>
        <w:t>La CDN 3.0 vise cependant l'horizon 2035 et s'inscrit dans une ambition climatique rehaussée. Les scénarios d'atténuation devront donc prolonger et amplifier ces trajectoires existantes, en intégrant les orientations plus récentes portées par la SNEDD 2024-2033 et la vision Mali KURA 2063, en actualisant les niveaux de déploiement des ENR et d'efficacité énergétique à l'horizon 2035, et en traduisant ces orientations en mesures quantifiées, coûtées et suivables dans le cadre du dispositif de suivi de la CDN 3.0.</w:t>
      </w:r>
    </w:p>
    <w:tbl>
      <w:tblPr>
        <w:tblStyle w:val="Grilledutableau"/>
        <w:tblW w:w="0" w:type="auto"/>
        <w:tblLook w:val="04A0" w:firstRow="1" w:lastRow="0" w:firstColumn="1" w:lastColumn="0" w:noHBand="0" w:noVBand="1"/>
      </w:tblPr>
      <w:tblGrid>
        <w:gridCol w:w="13018"/>
      </w:tblGrid>
      <w:tr w:rsidR="000459AE" w14:paraId="1109246C" w14:textId="77777777" w:rsidTr="00DB5672">
        <w:trPr>
          <w:trHeight w:val="5493"/>
        </w:trPr>
        <w:tc>
          <w:tcPr>
            <w:tcW w:w="13018" w:type="dxa"/>
            <w:shd w:val="clear" w:color="auto" w:fill="DEEAF6" w:themeFill="accent1" w:themeFillTint="33"/>
          </w:tcPr>
          <w:p w14:paraId="1D3272BC" w14:textId="77777777" w:rsidR="000459AE" w:rsidRPr="000459AE" w:rsidRDefault="000459AE" w:rsidP="000459AE">
            <w:pPr>
              <w:spacing w:after="120"/>
              <w:jc w:val="both"/>
              <w:rPr>
                <w:color w:val="000000" w:themeColor="text1"/>
              </w:rPr>
            </w:pPr>
            <w:r w:rsidRPr="000459AE">
              <w:rPr>
                <w:color w:val="000000" w:themeColor="text1"/>
              </w:rPr>
              <w:t>Sur la base de la revue sectorielle conduite, les éléments suivants devront être intégrés dans la CDN 3.0 :</w:t>
            </w:r>
          </w:p>
          <w:p w14:paraId="33685CE1" w14:textId="77777777" w:rsidR="000459AE" w:rsidRPr="000459AE" w:rsidRDefault="000459AE" w:rsidP="008A3661">
            <w:pPr>
              <w:numPr>
                <w:ilvl w:val="0"/>
                <w:numId w:val="33"/>
              </w:numPr>
              <w:spacing w:after="120"/>
              <w:jc w:val="both"/>
              <w:rPr>
                <w:color w:val="000000" w:themeColor="text1"/>
              </w:rPr>
            </w:pPr>
            <w:r w:rsidRPr="000459AE">
              <w:rPr>
                <w:b/>
                <w:bCs/>
                <w:color w:val="000000" w:themeColor="text1"/>
              </w:rPr>
              <w:t>Déploiement massif des énergies renouvelables raccordées au réseau :</w:t>
            </w:r>
            <w:r w:rsidRPr="000459AE">
              <w:rPr>
                <w:color w:val="000000" w:themeColor="text1"/>
              </w:rPr>
              <w:t xml:space="preserve"> centrales solaires photovoltaïques, hydroélectriques et éoliennes, en continuité avec les trajectoires du PANER et du SE4ALL, et en visant une part significativement rehaussée des ENR dans la capacité installée nationale à l'horizon 2035.</w:t>
            </w:r>
          </w:p>
          <w:p w14:paraId="45C001A0" w14:textId="77777777" w:rsidR="000459AE" w:rsidRPr="000459AE" w:rsidRDefault="000459AE" w:rsidP="008A3661">
            <w:pPr>
              <w:numPr>
                <w:ilvl w:val="0"/>
                <w:numId w:val="33"/>
              </w:numPr>
              <w:spacing w:after="120"/>
              <w:jc w:val="both"/>
              <w:rPr>
                <w:color w:val="000000" w:themeColor="text1"/>
              </w:rPr>
            </w:pPr>
            <w:r w:rsidRPr="000459AE">
              <w:rPr>
                <w:b/>
                <w:bCs/>
                <w:color w:val="000000" w:themeColor="text1"/>
              </w:rPr>
              <w:t>Électrification rurale par systèmes hybrides et hors réseau :</w:t>
            </w:r>
            <w:r w:rsidRPr="000459AE">
              <w:rPr>
                <w:color w:val="000000" w:themeColor="text1"/>
              </w:rPr>
              <w:t xml:space="preserve"> mini-réseaux solaires hybrides, kits solaires individuels et systèmes d'électrification décentralisée en ciblant les localités encore non desservies.</w:t>
            </w:r>
          </w:p>
          <w:p w14:paraId="720B2173" w14:textId="77777777" w:rsidR="000459AE" w:rsidRPr="000459AE" w:rsidRDefault="000459AE" w:rsidP="008A3661">
            <w:pPr>
              <w:numPr>
                <w:ilvl w:val="0"/>
                <w:numId w:val="33"/>
              </w:numPr>
              <w:spacing w:after="120"/>
              <w:jc w:val="both"/>
              <w:rPr>
                <w:color w:val="000000" w:themeColor="text1"/>
              </w:rPr>
            </w:pPr>
            <w:r w:rsidRPr="000459AE">
              <w:rPr>
                <w:b/>
                <w:bCs/>
                <w:color w:val="000000" w:themeColor="text1"/>
              </w:rPr>
              <w:t>Substitution aux combustibles ligneux pour la cuisson :</w:t>
            </w:r>
            <w:r w:rsidRPr="000459AE">
              <w:rPr>
                <w:color w:val="000000" w:themeColor="text1"/>
              </w:rPr>
              <w:t xml:space="preserve"> diffusion à grande échelle des foyers améliorés, promotion du gaz butane, du bioéthanol et du biogaz comme alternatives au bois-énergie, afin de réduire la pression sur les ressources forestières et les émissions associées à la biomasse.</w:t>
            </w:r>
          </w:p>
          <w:p w14:paraId="300F402D" w14:textId="77777777" w:rsidR="000459AE" w:rsidRPr="000459AE" w:rsidRDefault="000459AE" w:rsidP="008A3661">
            <w:pPr>
              <w:numPr>
                <w:ilvl w:val="0"/>
                <w:numId w:val="33"/>
              </w:numPr>
              <w:spacing w:after="120"/>
              <w:jc w:val="both"/>
              <w:rPr>
                <w:color w:val="000000" w:themeColor="text1"/>
              </w:rPr>
            </w:pPr>
            <w:r w:rsidRPr="000459AE">
              <w:rPr>
                <w:b/>
                <w:bCs/>
                <w:color w:val="000000" w:themeColor="text1"/>
              </w:rPr>
              <w:t>Efficacité énergétique dans les secteurs clés :</w:t>
            </w:r>
            <w:r w:rsidRPr="000459AE">
              <w:rPr>
                <w:color w:val="000000" w:themeColor="text1"/>
              </w:rPr>
              <w:t xml:space="preserve"> réduction des pertes dans les réseaux de distribution, amélioration de l'efficacité des bâtiments publics et privés, introduction de normes et d'étiquetage énergétique pour les équipements, et audits énergétiques dans le secteur industriel, conformément aux orientations du PANEE.</w:t>
            </w:r>
          </w:p>
          <w:p w14:paraId="541DBA84" w14:textId="77777777" w:rsidR="000459AE" w:rsidRPr="000459AE" w:rsidRDefault="000459AE" w:rsidP="008A3661">
            <w:pPr>
              <w:numPr>
                <w:ilvl w:val="0"/>
                <w:numId w:val="33"/>
              </w:numPr>
              <w:spacing w:after="120"/>
              <w:jc w:val="both"/>
              <w:rPr>
                <w:color w:val="000000" w:themeColor="text1"/>
              </w:rPr>
            </w:pPr>
            <w:r w:rsidRPr="000459AE">
              <w:rPr>
                <w:b/>
                <w:bCs/>
                <w:color w:val="000000" w:themeColor="text1"/>
              </w:rPr>
              <w:t>Développement des biocarburants :</w:t>
            </w:r>
            <w:r w:rsidRPr="000459AE">
              <w:rPr>
                <w:color w:val="000000" w:themeColor="text1"/>
              </w:rPr>
              <w:t xml:space="preserve"> substitution partielle aux hydrocarbures importés dans le secteur des transports, en valorisant le potentiel national en éthanol de canne à sucre et en biodiesel de pourghère.</w:t>
            </w:r>
            <w:r w:rsidRPr="000459AE">
              <w:t xml:space="preserve"> </w:t>
            </w:r>
            <w:r w:rsidRPr="000459AE">
              <w:rPr>
                <w:color w:val="000000" w:themeColor="text1"/>
              </w:rPr>
              <w:t>Il convient de souligner que le transport représente 40 % des émissions de CO₂ du secteur énergie et constitue à ce titre un levier d'atténuation majeur, insuffisamment adressé dans la CDN 2.0</w:t>
            </w:r>
          </w:p>
          <w:p w14:paraId="61E45E79" w14:textId="22611B50" w:rsidR="001E499F" w:rsidRPr="00DB5672" w:rsidRDefault="000459AE" w:rsidP="00DB5672">
            <w:pPr>
              <w:numPr>
                <w:ilvl w:val="0"/>
                <w:numId w:val="33"/>
              </w:numPr>
              <w:spacing w:before="120" w:after="120"/>
              <w:jc w:val="both"/>
              <w:rPr>
                <w:color w:val="000000" w:themeColor="text1"/>
              </w:rPr>
            </w:pPr>
            <w:r w:rsidRPr="000459AE">
              <w:rPr>
                <w:b/>
                <w:bCs/>
                <w:color w:val="000000" w:themeColor="text1"/>
              </w:rPr>
              <w:t>Interconnexions régionales :</w:t>
            </w:r>
            <w:r w:rsidRPr="000459AE">
              <w:rPr>
                <w:color w:val="000000" w:themeColor="text1"/>
              </w:rPr>
              <w:t xml:space="preserve"> renforcement de la sécurité d'approvisionnement et optimisation du mix électrique national via les interconnexions avec les pays voisins, en cohérence avec les orientations du SE4ALL. </w:t>
            </w:r>
          </w:p>
        </w:tc>
      </w:tr>
    </w:tbl>
    <w:p w14:paraId="2F522E57" w14:textId="3D490411" w:rsidR="00D25E61" w:rsidRPr="00D42155" w:rsidRDefault="003075F7" w:rsidP="00812F26">
      <w:pPr>
        <w:pStyle w:val="Titre3"/>
        <w:numPr>
          <w:ilvl w:val="2"/>
          <w:numId w:val="21"/>
        </w:numPr>
        <w:spacing w:before="240"/>
      </w:pPr>
      <w:bookmarkStart w:id="11" w:name="_Toc234853853"/>
      <w:r w:rsidRPr="00D42155">
        <w:lastRenderedPageBreak/>
        <w:t>A</w:t>
      </w:r>
      <w:r w:rsidR="00D25E61" w:rsidRPr="00D42155">
        <w:t>griculture</w:t>
      </w:r>
      <w:bookmarkEnd w:id="11"/>
    </w:p>
    <w:p w14:paraId="55913DC5" w14:textId="30DA8376" w:rsidR="00117B78" w:rsidRPr="00D3788F" w:rsidRDefault="00117B78" w:rsidP="00833B02">
      <w:pPr>
        <w:spacing w:before="120" w:after="120"/>
        <w:jc w:val="both"/>
      </w:pPr>
      <w:r w:rsidRPr="00D3788F">
        <w:t>L’agriculture est l’un des piliers de l’économie malienne, représentant plus de 16 % du PIB national et employant près de 80 % de la population active. Elle fournit des matières premières aux unités agro-industrielles, assure la sécurité alimentaire et constitue une source majeure de revenus. Le secteur mobilise environ 34,5 millions d’hectares de terres cultivées, pastorales et humides, avec un potentiel irrigable estimé à 2,2 millions d’hectares grâce aux fleuves Niger et Sénégal et à leurs affluents. Le Delta intérieur du Niger, avec plus de 30 000 km</w:t>
      </w:r>
      <w:r w:rsidRPr="00D3788F">
        <w:rPr>
          <w:vertAlign w:val="superscript"/>
        </w:rPr>
        <w:t>2</w:t>
      </w:r>
      <w:r w:rsidRPr="00D3788F">
        <w:t>, joue un rôle stratégique dans la riziculture irriguée et d’autres spéculations agricoles</w:t>
      </w:r>
      <w:r w:rsidR="000C1B3B">
        <w:rPr>
          <w:rStyle w:val="Appelnotedebasdep"/>
        </w:rPr>
        <w:footnoteReference w:id="2"/>
      </w:r>
      <w:r w:rsidRPr="00D3788F">
        <w:t>.</w:t>
      </w:r>
      <w:r w:rsidR="008E1644">
        <w:t xml:space="preserve"> </w:t>
      </w:r>
      <w:r w:rsidR="008E1644" w:rsidRPr="008E1644">
        <w:t>Toutefois, ce potentiel demeure fortement contraint par la variabilité pluviométrique, la dégradation des terres, l’érosion de la fertilité des sols, l’ensablement, la pression foncière et l’insuffisance d’accès aux intrants, aux équipements et aux services climatiques, ce qui accroît la vulnérabilité des systèmes de production.</w:t>
      </w:r>
    </w:p>
    <w:p w14:paraId="3FFB7F31" w14:textId="22FDEE68" w:rsidR="00117B78" w:rsidRPr="00D3788F" w:rsidRDefault="00117B78" w:rsidP="00833B02">
      <w:pPr>
        <w:spacing w:before="120" w:after="120"/>
        <w:jc w:val="both"/>
      </w:pPr>
      <w:r w:rsidRPr="00D3788F">
        <w:t>Le secteur est également une source importante d’émissions de gaz à effet de serre, notamment par la fermentation entérique du cheptel, la gestion des effluents d’élevage, la riziculture irriguée et le brûlage des résidus agricoles. En 2019, il représentait près de 69 % des émissions de CH</w:t>
      </w:r>
      <w:r w:rsidRPr="00D3788F">
        <w:rPr>
          <w:vertAlign w:val="subscript"/>
        </w:rPr>
        <w:t>4</w:t>
      </w:r>
      <w:r w:rsidRPr="00D3788F">
        <w:t xml:space="preserve"> et 31 % de celles de N</w:t>
      </w:r>
      <w:r w:rsidRPr="00D3788F">
        <w:rPr>
          <w:vertAlign w:val="subscript"/>
        </w:rPr>
        <w:t>2</w:t>
      </w:r>
      <w:r w:rsidRPr="00D3788F">
        <w:t>O, confirmant son rôle central dans le bilan national des émissions, bien que le Mali demeure globalement un puits de carbone</w:t>
      </w:r>
      <w:r w:rsidR="005D3F1E">
        <w:rPr>
          <w:rStyle w:val="Appelnotedebasdep"/>
        </w:rPr>
        <w:footnoteReference w:id="3"/>
      </w:r>
      <w:r w:rsidRPr="00D3788F">
        <w:t>.</w:t>
      </w:r>
      <w:r w:rsidR="008E1644">
        <w:t xml:space="preserve"> </w:t>
      </w:r>
      <w:r w:rsidR="008E1644" w:rsidRPr="008E1644">
        <w:t>Il constitue ainsi un secteur prioritaire pour la CDN 3.0, à la fois au regard de son poids socio-économique, de sa forte sensibilité aux aléas climatiques et de son potentiel d’atténuation à travers l’agroécologie, la gestion durable des sols, l’agroforesterie, l’amélioration des pratiques rizicoles et la valorisation des résidus agricoles.</w:t>
      </w:r>
    </w:p>
    <w:p w14:paraId="50C2DCCD" w14:textId="1417F54C" w:rsidR="001F5F0E" w:rsidRPr="00186791" w:rsidRDefault="00117B78" w:rsidP="00186791">
      <w:pPr>
        <w:spacing w:before="120" w:after="120"/>
        <w:jc w:val="both"/>
      </w:pPr>
      <w:r w:rsidRPr="00D3788F">
        <w:t>La politique de développement agricole constitue le cadre de référence du secteur et vise à promouvoir une agriculture durable, moderne et compétitive, en s’appuyant sur les exploitations familiales. Ses objectifs incluent : la sécurité et la souveraineté alimentaires, la réduction de la pauvreté rurale, la modernisation de l’agriculture familiale, le développement de l’agro-industrie, la gestion durable des ressources naturelles, l’amélioration des revenus et des conditions de vie en milieu rural, ainsi que la protection sociale et environnementale des exploitants.</w:t>
      </w:r>
      <w:r w:rsidR="008E1644">
        <w:t xml:space="preserve"> </w:t>
      </w:r>
      <w:r w:rsidR="008E1644" w:rsidRPr="008E1644">
        <w:t>Elle offre ainsi un cadre d’ancrage important pour l’intégration des mesures d’adaptation et d’atténuation dans la CDN 3.0, notamment en matière d’intensification durable, de maîtrise de l’eau, de résilience des exploitations familiales et de transition vers des systèmes de production plus sobres en carbone et plus résilients.</w:t>
      </w:r>
    </w:p>
    <w:p w14:paraId="7E307078" w14:textId="21B03A4D" w:rsidR="000033F2" w:rsidRPr="00E84225" w:rsidRDefault="000033F2" w:rsidP="00CB5789">
      <w:pPr>
        <w:pStyle w:val="Lgende"/>
        <w:keepNext/>
        <w:rPr>
          <w:sz w:val="20"/>
          <w:szCs w:val="20"/>
        </w:rPr>
      </w:pPr>
      <w:bookmarkStart w:id="12" w:name="_Toc234853927"/>
      <w:r w:rsidRPr="00E84225">
        <w:rPr>
          <w:sz w:val="20"/>
          <w:szCs w:val="20"/>
        </w:rPr>
        <w:t xml:space="preserve">Tableau </w:t>
      </w:r>
      <w:r w:rsidRPr="00E84225">
        <w:rPr>
          <w:sz w:val="20"/>
          <w:szCs w:val="20"/>
        </w:rPr>
        <w:fldChar w:fldCharType="begin"/>
      </w:r>
      <w:r w:rsidRPr="00E84225">
        <w:rPr>
          <w:sz w:val="20"/>
          <w:szCs w:val="20"/>
        </w:rPr>
        <w:instrText xml:space="preserve"> SEQ Tableau \* ARABIC </w:instrText>
      </w:r>
      <w:r w:rsidRPr="00E84225">
        <w:rPr>
          <w:sz w:val="20"/>
          <w:szCs w:val="20"/>
        </w:rPr>
        <w:fldChar w:fldCharType="separate"/>
      </w:r>
      <w:r w:rsidR="0018772E">
        <w:rPr>
          <w:noProof/>
          <w:sz w:val="20"/>
          <w:szCs w:val="20"/>
        </w:rPr>
        <w:t>3</w:t>
      </w:r>
      <w:r w:rsidRPr="00E84225">
        <w:rPr>
          <w:sz w:val="20"/>
          <w:szCs w:val="20"/>
        </w:rPr>
        <w:fldChar w:fldCharType="end"/>
      </w:r>
      <w:r w:rsidRPr="00E35393">
        <w:rPr>
          <w:sz w:val="20"/>
          <w:szCs w:val="20"/>
        </w:rPr>
        <w:t xml:space="preserve"> :</w:t>
      </w:r>
      <w:r w:rsidR="00CB5789" w:rsidRPr="00E35393">
        <w:rPr>
          <w:sz w:val="20"/>
          <w:szCs w:val="20"/>
        </w:rPr>
        <w:t xml:space="preserve"> Politiques et stratégies analysées dans le secteur de l’agriculture</w:t>
      </w:r>
      <w:bookmarkEnd w:id="12"/>
    </w:p>
    <w:tbl>
      <w:tblPr>
        <w:tblStyle w:val="Grilledutablea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3239"/>
        <w:gridCol w:w="4090"/>
        <w:gridCol w:w="3252"/>
      </w:tblGrid>
      <w:tr w:rsidR="003D7A68" w:rsidRPr="008A7835" w14:paraId="0E59F8D1" w14:textId="77777777" w:rsidTr="00327F5F">
        <w:trPr>
          <w:trHeight w:val="390"/>
        </w:trPr>
        <w:tc>
          <w:tcPr>
            <w:tcW w:w="933" w:type="pct"/>
            <w:shd w:val="clear" w:color="auto" w:fill="1F4E79" w:themeFill="accent1" w:themeFillShade="80"/>
            <w:vAlign w:val="center"/>
          </w:tcPr>
          <w:p w14:paraId="7D21A046" w14:textId="77777777" w:rsidR="003D7A68" w:rsidRPr="00E967D3" w:rsidRDefault="003D7A68" w:rsidP="00E7007D">
            <w:pPr>
              <w:jc w:val="center"/>
              <w:rPr>
                <w:rFonts w:asciiTheme="minorHAnsi" w:hAnsiTheme="minorHAnsi" w:cstheme="minorHAnsi"/>
                <w:b/>
                <w:color w:val="FFFFFF" w:themeColor="background1"/>
                <w:sz w:val="18"/>
                <w:szCs w:val="18"/>
                <w:lang w:eastAsia="en-US"/>
              </w:rPr>
            </w:pPr>
            <w:r w:rsidRPr="00E967D3">
              <w:rPr>
                <w:rFonts w:asciiTheme="minorHAnsi" w:hAnsiTheme="minorHAnsi" w:cstheme="minorHAnsi"/>
                <w:b/>
                <w:color w:val="FFFFFF" w:themeColor="background1"/>
                <w:sz w:val="18"/>
                <w:szCs w:val="18"/>
                <w:lang w:eastAsia="en-US"/>
              </w:rPr>
              <w:t>Politique / stratégie</w:t>
            </w:r>
          </w:p>
        </w:tc>
        <w:tc>
          <w:tcPr>
            <w:tcW w:w="1245" w:type="pct"/>
            <w:shd w:val="clear" w:color="auto" w:fill="1F4E79" w:themeFill="accent1" w:themeFillShade="80"/>
            <w:vAlign w:val="center"/>
          </w:tcPr>
          <w:p w14:paraId="0E0E8954" w14:textId="77777777" w:rsidR="003D7A68" w:rsidRPr="00E967D3" w:rsidRDefault="003D7A68" w:rsidP="00E7007D">
            <w:pPr>
              <w:jc w:val="center"/>
              <w:rPr>
                <w:rFonts w:asciiTheme="minorHAnsi" w:hAnsiTheme="minorHAnsi" w:cstheme="minorHAnsi"/>
                <w:b/>
                <w:color w:val="FFFFFF" w:themeColor="background1"/>
                <w:sz w:val="18"/>
                <w:szCs w:val="18"/>
                <w:lang w:eastAsia="en-US"/>
              </w:rPr>
            </w:pPr>
            <w:r w:rsidRPr="00E967D3">
              <w:rPr>
                <w:rFonts w:asciiTheme="minorHAnsi" w:hAnsiTheme="minorHAnsi" w:cstheme="minorHAnsi"/>
                <w:b/>
                <w:color w:val="FFFFFF" w:themeColor="background1"/>
                <w:sz w:val="18"/>
                <w:szCs w:val="18"/>
                <w:lang w:eastAsia="en-US"/>
              </w:rPr>
              <w:t>Description</w:t>
            </w:r>
          </w:p>
        </w:tc>
        <w:tc>
          <w:tcPr>
            <w:tcW w:w="1572" w:type="pct"/>
            <w:shd w:val="clear" w:color="auto" w:fill="1F4E79" w:themeFill="accent1" w:themeFillShade="80"/>
            <w:vAlign w:val="center"/>
          </w:tcPr>
          <w:p w14:paraId="5EB72492" w14:textId="77777777" w:rsidR="003D7A68" w:rsidRPr="00E967D3" w:rsidRDefault="003D7A68" w:rsidP="00E7007D">
            <w:pPr>
              <w:jc w:val="center"/>
              <w:rPr>
                <w:rFonts w:asciiTheme="minorHAnsi" w:hAnsiTheme="minorHAnsi" w:cstheme="minorHAnsi"/>
                <w:b/>
                <w:color w:val="FFFFFF" w:themeColor="background1"/>
                <w:sz w:val="18"/>
                <w:szCs w:val="18"/>
                <w:lang w:eastAsia="en-US"/>
              </w:rPr>
            </w:pPr>
            <w:r w:rsidRPr="00E967D3">
              <w:rPr>
                <w:rFonts w:asciiTheme="minorHAnsi" w:hAnsiTheme="minorHAnsi" w:cstheme="minorHAnsi"/>
                <w:b/>
                <w:color w:val="FFFFFF" w:themeColor="background1"/>
                <w:sz w:val="18"/>
                <w:szCs w:val="18"/>
                <w:lang w:eastAsia="en-US"/>
              </w:rPr>
              <w:t>Principales orientations climatiques</w:t>
            </w:r>
          </w:p>
        </w:tc>
        <w:tc>
          <w:tcPr>
            <w:tcW w:w="1250" w:type="pct"/>
            <w:shd w:val="clear" w:color="auto" w:fill="1F4E79" w:themeFill="accent1" w:themeFillShade="80"/>
            <w:vAlign w:val="center"/>
          </w:tcPr>
          <w:p w14:paraId="3302D2B3" w14:textId="12DC6671" w:rsidR="003D7A68" w:rsidRPr="00E967D3" w:rsidRDefault="003D7A68" w:rsidP="00E7007D">
            <w:pPr>
              <w:jc w:val="center"/>
              <w:rPr>
                <w:rFonts w:asciiTheme="minorHAnsi" w:hAnsiTheme="minorHAnsi" w:cstheme="minorHAnsi"/>
                <w:b/>
                <w:color w:val="FFFFFF" w:themeColor="background1"/>
                <w:sz w:val="18"/>
                <w:szCs w:val="18"/>
                <w:lang w:eastAsia="en-US"/>
              </w:rPr>
            </w:pPr>
            <w:r w:rsidRPr="00E967D3">
              <w:rPr>
                <w:rFonts w:asciiTheme="minorHAnsi" w:hAnsiTheme="minorHAnsi" w:cstheme="minorHAnsi"/>
                <w:b/>
                <w:color w:val="FFFFFF" w:themeColor="background1"/>
                <w:sz w:val="18"/>
                <w:szCs w:val="18"/>
                <w:lang w:eastAsia="en-US"/>
              </w:rPr>
              <w:t>Cibles quantitatives</w:t>
            </w:r>
          </w:p>
        </w:tc>
      </w:tr>
      <w:tr w:rsidR="003D7A68" w:rsidRPr="005D3733" w14:paraId="7B3FEDE0" w14:textId="77777777" w:rsidTr="008A7835">
        <w:tc>
          <w:tcPr>
            <w:tcW w:w="933" w:type="pct"/>
            <w:vAlign w:val="center"/>
          </w:tcPr>
          <w:p w14:paraId="2CAB30F6" w14:textId="5C1CBA66" w:rsidR="003D7A68" w:rsidRPr="00E967D3" w:rsidRDefault="00983550"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lang w:eastAsia="en-US"/>
              </w:rPr>
              <w:t>Loi d’orientation agricole (LOA, 2006)</w:t>
            </w:r>
          </w:p>
        </w:tc>
        <w:tc>
          <w:tcPr>
            <w:tcW w:w="1245" w:type="pct"/>
            <w:vAlign w:val="center"/>
          </w:tcPr>
          <w:p w14:paraId="67177F9E" w14:textId="031A6EC3" w:rsidR="003D7A68" w:rsidRPr="00E967D3" w:rsidRDefault="002541BF" w:rsidP="008A7835">
            <w:pPr>
              <w:spacing w:after="12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Cadre fédérateur du développement agricole au Mali. Elle vise la souveraineté alimentaire et fait de l’agriculture un moteur de l’économie nationale. Elle </w:t>
            </w:r>
            <w:r w:rsidRPr="00E967D3">
              <w:rPr>
                <w:rFonts w:asciiTheme="minorHAnsi" w:hAnsiTheme="minorHAnsi" w:cstheme="minorHAnsi"/>
                <w:sz w:val="18"/>
                <w:szCs w:val="18"/>
              </w:rPr>
              <w:lastRenderedPageBreak/>
              <w:t>repose sur la complémentarité entre agriculture familiale, entreprises agricoles modernes et chaînes de valeur structurées.</w:t>
            </w:r>
          </w:p>
        </w:tc>
        <w:tc>
          <w:tcPr>
            <w:tcW w:w="1572" w:type="pct"/>
            <w:vAlign w:val="center"/>
          </w:tcPr>
          <w:p w14:paraId="497C1223" w14:textId="77777777" w:rsidR="001408E2" w:rsidRPr="00E967D3" w:rsidRDefault="002541BF" w:rsidP="008A3661">
            <w:pPr>
              <w:pStyle w:val="Paragraphedeliste"/>
              <w:numPr>
                <w:ilvl w:val="0"/>
                <w:numId w:val="22"/>
              </w:numPr>
              <w:ind w:left="250" w:hanging="250"/>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lastRenderedPageBreak/>
              <w:t xml:space="preserve">Protection de l’environnement, </w:t>
            </w:r>
          </w:p>
          <w:p w14:paraId="22E800EE" w14:textId="77777777" w:rsidR="001408E2" w:rsidRPr="00E967D3" w:rsidRDefault="001408E2" w:rsidP="008A3661">
            <w:pPr>
              <w:pStyle w:val="Paragraphedeliste"/>
              <w:numPr>
                <w:ilvl w:val="0"/>
                <w:numId w:val="22"/>
              </w:numPr>
              <w:ind w:left="250" w:hanging="250"/>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Gestion</w:t>
            </w:r>
            <w:r w:rsidR="002541BF" w:rsidRPr="00E967D3">
              <w:rPr>
                <w:rFonts w:asciiTheme="minorHAnsi" w:hAnsiTheme="minorHAnsi" w:cstheme="minorHAnsi"/>
                <w:sz w:val="18"/>
                <w:szCs w:val="18"/>
              </w:rPr>
              <w:t xml:space="preserve"> durable des ressources naturelles, </w:t>
            </w:r>
          </w:p>
          <w:p w14:paraId="5B4AFFC1" w14:textId="79766DAC" w:rsidR="001408E2" w:rsidRPr="00E967D3" w:rsidRDefault="001408E2" w:rsidP="008A3661">
            <w:pPr>
              <w:pStyle w:val="Paragraphedeliste"/>
              <w:numPr>
                <w:ilvl w:val="0"/>
                <w:numId w:val="22"/>
              </w:numPr>
              <w:ind w:left="250" w:hanging="250"/>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Maîtrise</w:t>
            </w:r>
            <w:r w:rsidR="002541BF" w:rsidRPr="00E967D3">
              <w:rPr>
                <w:rFonts w:asciiTheme="minorHAnsi" w:hAnsiTheme="minorHAnsi" w:cstheme="minorHAnsi"/>
                <w:sz w:val="18"/>
                <w:szCs w:val="18"/>
              </w:rPr>
              <w:t xml:space="preserve"> de l’eau, prévention des risques agricoles, </w:t>
            </w:r>
          </w:p>
          <w:p w14:paraId="57D3C32B" w14:textId="45D23CA9" w:rsidR="001408E2" w:rsidRPr="00E967D3" w:rsidRDefault="001408E2" w:rsidP="008A3661">
            <w:pPr>
              <w:pStyle w:val="Paragraphedeliste"/>
              <w:numPr>
                <w:ilvl w:val="0"/>
                <w:numId w:val="22"/>
              </w:numPr>
              <w:ind w:left="250" w:hanging="250"/>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lastRenderedPageBreak/>
              <w:t>Gestion</w:t>
            </w:r>
            <w:r w:rsidR="002541BF" w:rsidRPr="00E967D3">
              <w:rPr>
                <w:rFonts w:asciiTheme="minorHAnsi" w:hAnsiTheme="minorHAnsi" w:cstheme="minorHAnsi"/>
                <w:sz w:val="18"/>
                <w:szCs w:val="18"/>
              </w:rPr>
              <w:t xml:space="preserve"> des calamités, </w:t>
            </w:r>
          </w:p>
          <w:p w14:paraId="09511EBB" w14:textId="77777777" w:rsidR="003D7A68" w:rsidRDefault="001408E2" w:rsidP="008A3661">
            <w:pPr>
              <w:pStyle w:val="Paragraphedeliste"/>
              <w:numPr>
                <w:ilvl w:val="0"/>
                <w:numId w:val="22"/>
              </w:numPr>
              <w:ind w:left="250" w:hanging="250"/>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Aménagement</w:t>
            </w:r>
            <w:r w:rsidR="002541BF" w:rsidRPr="00E967D3">
              <w:rPr>
                <w:rFonts w:asciiTheme="minorHAnsi" w:hAnsiTheme="minorHAnsi" w:cstheme="minorHAnsi"/>
                <w:sz w:val="18"/>
                <w:szCs w:val="18"/>
              </w:rPr>
              <w:t xml:space="preserve"> pastoral, sécurisation des productions agricoles.</w:t>
            </w:r>
          </w:p>
          <w:p w14:paraId="1F144FEB" w14:textId="1DC0FEB2" w:rsidR="00FC4132" w:rsidRPr="00E967D3" w:rsidRDefault="00FC4132" w:rsidP="008A3661">
            <w:pPr>
              <w:pStyle w:val="Paragraphedeliste"/>
              <w:numPr>
                <w:ilvl w:val="0"/>
                <w:numId w:val="22"/>
              </w:numPr>
              <w:ind w:left="250" w:hanging="250"/>
              <w:contextualSpacing w:val="0"/>
              <w:jc w:val="both"/>
              <w:rPr>
                <w:rFonts w:asciiTheme="minorHAnsi" w:hAnsiTheme="minorHAnsi" w:cstheme="minorHAnsi"/>
                <w:sz w:val="18"/>
                <w:szCs w:val="18"/>
                <w:lang w:eastAsia="en-US"/>
              </w:rPr>
            </w:pPr>
            <w:r w:rsidRPr="00FC4132">
              <w:rPr>
                <w:rFonts w:asciiTheme="minorHAnsi" w:hAnsiTheme="minorHAnsi" w:cstheme="minorHAnsi"/>
                <w:b/>
                <w:bCs/>
                <w:sz w:val="18"/>
                <w:szCs w:val="18"/>
                <w:lang w:eastAsia="en-US"/>
              </w:rPr>
              <w:t>Renforcement de la résilience climatique des systèmes de production face aux sécheresses, inondations et variabilité pluviométrique.</w:t>
            </w:r>
            <w:r w:rsidRPr="00FC4132">
              <w:rPr>
                <w:rFonts w:asciiTheme="minorHAnsi" w:hAnsiTheme="minorHAnsi" w:cstheme="minorHAnsi"/>
                <w:sz w:val="18"/>
                <w:szCs w:val="18"/>
                <w:lang w:eastAsia="en-US"/>
              </w:rPr>
              <w:br/>
            </w:r>
            <w:r w:rsidRPr="00FC4132">
              <w:rPr>
                <w:rFonts w:asciiTheme="minorHAnsi" w:hAnsiTheme="minorHAnsi" w:cstheme="minorHAnsi"/>
                <w:b/>
                <w:bCs/>
                <w:sz w:val="18"/>
                <w:szCs w:val="18"/>
                <w:lang w:eastAsia="en-US"/>
              </w:rPr>
              <w:t>- Promotion implicite des pratiques agricoles durables compatibles avec les objectifs de réduction des émissions et d’adaptation.</w:t>
            </w:r>
          </w:p>
        </w:tc>
        <w:tc>
          <w:tcPr>
            <w:tcW w:w="1250" w:type="pct"/>
            <w:vAlign w:val="center"/>
          </w:tcPr>
          <w:p w14:paraId="2E1874A7" w14:textId="34C58C75" w:rsidR="003D7A68" w:rsidRPr="00E967D3" w:rsidRDefault="002541BF" w:rsidP="008A3661">
            <w:pPr>
              <w:pStyle w:val="Paragraphedeliste"/>
              <w:numPr>
                <w:ilvl w:val="0"/>
                <w:numId w:val="23"/>
              </w:numPr>
              <w:spacing w:after="120"/>
              <w:ind w:left="303" w:hanging="274"/>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lastRenderedPageBreak/>
              <w:t xml:space="preserve">Création d’un Fonds national des risques et calamités agricoles alimenté par au moins </w:t>
            </w:r>
            <w:r w:rsidRPr="00E967D3">
              <w:rPr>
                <w:rFonts w:asciiTheme="minorHAnsi" w:hAnsiTheme="minorHAnsi" w:cstheme="minorHAnsi"/>
                <w:b/>
                <w:sz w:val="18"/>
                <w:szCs w:val="18"/>
              </w:rPr>
              <w:t>20 % du budget de l’État</w:t>
            </w:r>
            <w:r w:rsidRPr="00E967D3">
              <w:rPr>
                <w:rFonts w:asciiTheme="minorHAnsi" w:hAnsiTheme="minorHAnsi" w:cstheme="minorHAnsi"/>
                <w:sz w:val="18"/>
                <w:szCs w:val="18"/>
              </w:rPr>
              <w:t xml:space="preserve"> selon la PNCC.</w:t>
            </w:r>
          </w:p>
        </w:tc>
      </w:tr>
      <w:tr w:rsidR="003D7A68" w14:paraId="62BA573B" w14:textId="77777777" w:rsidTr="008A7835">
        <w:tc>
          <w:tcPr>
            <w:tcW w:w="933" w:type="pct"/>
            <w:vAlign w:val="center"/>
          </w:tcPr>
          <w:p w14:paraId="5E95A7F4" w14:textId="2D0406F1" w:rsidR="003D7A68" w:rsidRPr="00E967D3" w:rsidRDefault="003B4487"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lang w:eastAsia="en-US"/>
              </w:rPr>
              <w:t>Politique de développement agricole (PDA 2013)</w:t>
            </w:r>
          </w:p>
        </w:tc>
        <w:tc>
          <w:tcPr>
            <w:tcW w:w="1245" w:type="pct"/>
            <w:vAlign w:val="center"/>
          </w:tcPr>
          <w:p w14:paraId="2E5925F7" w14:textId="3B167373" w:rsidR="003D7A68" w:rsidRPr="00E967D3" w:rsidRDefault="00F42A6A"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rPr>
              <w:t>Cadre d’opérationnalisation de la LOA. Elle vise à faire du secteur agricole un moteur de l’économie nationale et un garant de la souveraineté alimentaire dans une logique de développement durable.</w:t>
            </w:r>
          </w:p>
        </w:tc>
        <w:tc>
          <w:tcPr>
            <w:tcW w:w="1572" w:type="pct"/>
            <w:vAlign w:val="center"/>
          </w:tcPr>
          <w:p w14:paraId="7917648D" w14:textId="77777777" w:rsidR="00F42A6A" w:rsidRPr="00E967D3" w:rsidRDefault="00F42A6A" w:rsidP="008A3661">
            <w:pPr>
              <w:pStyle w:val="Paragraphedeliste"/>
              <w:numPr>
                <w:ilvl w:val="0"/>
                <w:numId w:val="25"/>
              </w:numPr>
              <w:ind w:left="250" w:hanging="25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Sécurité alimentaire, gestion rationnelle des ressources naturelles, </w:t>
            </w:r>
          </w:p>
          <w:p w14:paraId="1F0BFD23" w14:textId="77777777" w:rsidR="00F42A6A" w:rsidRPr="00E967D3" w:rsidRDefault="00F42A6A" w:rsidP="008A3661">
            <w:pPr>
              <w:pStyle w:val="Paragraphedeliste"/>
              <w:numPr>
                <w:ilvl w:val="0"/>
                <w:numId w:val="25"/>
              </w:numPr>
              <w:ind w:left="250" w:hanging="25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Prise en compte des changements climatiques, </w:t>
            </w:r>
          </w:p>
          <w:p w14:paraId="468ABD12" w14:textId="77777777" w:rsidR="00F42A6A" w:rsidRPr="00E967D3" w:rsidRDefault="00F42A6A" w:rsidP="008A3661">
            <w:pPr>
              <w:pStyle w:val="Paragraphedeliste"/>
              <w:numPr>
                <w:ilvl w:val="0"/>
                <w:numId w:val="25"/>
              </w:numPr>
              <w:ind w:left="250" w:hanging="25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Modernisation des systèmes de production, </w:t>
            </w:r>
          </w:p>
          <w:p w14:paraId="62A9D0F7" w14:textId="6D507967" w:rsidR="00F42A6A" w:rsidRPr="00E967D3" w:rsidRDefault="00F42A6A" w:rsidP="008A3661">
            <w:pPr>
              <w:pStyle w:val="Paragraphedeliste"/>
              <w:numPr>
                <w:ilvl w:val="0"/>
                <w:numId w:val="25"/>
              </w:numPr>
              <w:ind w:left="250" w:hanging="25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Compétitivité des filières, </w:t>
            </w:r>
          </w:p>
          <w:p w14:paraId="07EEDD17" w14:textId="77777777" w:rsidR="00FC4132" w:rsidRPr="00532CCE" w:rsidRDefault="00F42A6A" w:rsidP="00FC4132">
            <w:pPr>
              <w:pStyle w:val="Paragraphedeliste"/>
              <w:numPr>
                <w:ilvl w:val="0"/>
                <w:numId w:val="25"/>
              </w:numPr>
              <w:ind w:left="250" w:hanging="250"/>
              <w:jc w:val="both"/>
              <w:rPr>
                <w:rFonts w:asciiTheme="minorHAnsi" w:hAnsiTheme="minorHAnsi" w:cstheme="minorHAnsi"/>
                <w:sz w:val="18"/>
                <w:szCs w:val="18"/>
              </w:rPr>
            </w:pPr>
            <w:r w:rsidRPr="00E967D3">
              <w:rPr>
                <w:rFonts w:asciiTheme="minorHAnsi" w:hAnsiTheme="minorHAnsi" w:cstheme="minorHAnsi"/>
                <w:sz w:val="18"/>
                <w:szCs w:val="18"/>
              </w:rPr>
              <w:t>Innovation, formation et réduction de la pauvreté rurale.</w:t>
            </w:r>
            <w:r w:rsidR="00FC4132" w:rsidRPr="00FC4132">
              <w:rPr>
                <w:rFonts w:ascii="Times New Roman" w:eastAsia="Times New Roman" w:hAnsi="Times New Roman" w:cs="Times New Roman"/>
                <w:b/>
                <w:bCs/>
                <w:sz w:val="24"/>
                <w:szCs w:val="24"/>
                <w:lang w:eastAsia="zh-CN"/>
              </w:rPr>
              <w:t xml:space="preserve"> </w:t>
            </w:r>
          </w:p>
          <w:p w14:paraId="691EDE4F" w14:textId="0E5903AE" w:rsidR="00FC4132" w:rsidRPr="00FC4132" w:rsidRDefault="00FC4132" w:rsidP="00FC4132">
            <w:pPr>
              <w:pStyle w:val="Paragraphedeliste"/>
              <w:numPr>
                <w:ilvl w:val="0"/>
                <w:numId w:val="25"/>
              </w:numPr>
              <w:ind w:left="250" w:hanging="250"/>
              <w:jc w:val="both"/>
              <w:rPr>
                <w:rFonts w:asciiTheme="minorHAnsi" w:hAnsiTheme="minorHAnsi" w:cstheme="minorHAnsi"/>
                <w:sz w:val="18"/>
                <w:szCs w:val="18"/>
              </w:rPr>
            </w:pPr>
            <w:r w:rsidRPr="00FC4132">
              <w:rPr>
                <w:rFonts w:asciiTheme="minorHAnsi" w:hAnsiTheme="minorHAnsi" w:cstheme="minorHAnsi"/>
                <w:b/>
                <w:bCs/>
                <w:sz w:val="18"/>
                <w:szCs w:val="18"/>
              </w:rPr>
              <w:t>Intégration progressive des approches d’agriculture climato-intelligente (CSA) et agroécologie dans les systèmes de production.</w:t>
            </w:r>
            <w:r w:rsidRPr="00FC4132">
              <w:rPr>
                <w:rFonts w:asciiTheme="minorHAnsi" w:hAnsiTheme="minorHAnsi" w:cstheme="minorHAnsi"/>
                <w:sz w:val="18"/>
                <w:szCs w:val="18"/>
              </w:rPr>
              <w:br/>
            </w:r>
            <w:r w:rsidRPr="00FC4132">
              <w:rPr>
                <w:rFonts w:asciiTheme="minorHAnsi" w:hAnsiTheme="minorHAnsi" w:cstheme="minorHAnsi"/>
                <w:b/>
                <w:bCs/>
                <w:sz w:val="18"/>
                <w:szCs w:val="18"/>
              </w:rPr>
              <w:t>- Amélioration de l’accès aux services climatiques et aux technologies agricoles résilientes.</w:t>
            </w:r>
            <w:r w:rsidRPr="00FC4132">
              <w:rPr>
                <w:rFonts w:asciiTheme="minorHAnsi" w:hAnsiTheme="minorHAnsi" w:cstheme="minorHAnsi"/>
                <w:sz w:val="18"/>
                <w:szCs w:val="18"/>
              </w:rPr>
              <w:t xml:space="preserve"> </w:t>
            </w:r>
          </w:p>
          <w:p w14:paraId="2310EB33" w14:textId="604370B0" w:rsidR="003D7A68" w:rsidRDefault="003D7A68" w:rsidP="008A3661">
            <w:pPr>
              <w:pStyle w:val="Paragraphedeliste"/>
              <w:numPr>
                <w:ilvl w:val="0"/>
                <w:numId w:val="25"/>
              </w:numPr>
              <w:ind w:left="250" w:hanging="250"/>
              <w:jc w:val="both"/>
              <w:rPr>
                <w:rFonts w:asciiTheme="minorHAnsi" w:hAnsiTheme="minorHAnsi" w:cstheme="minorHAnsi"/>
                <w:sz w:val="18"/>
                <w:szCs w:val="18"/>
                <w:lang w:eastAsia="en-US"/>
              </w:rPr>
            </w:pPr>
          </w:p>
          <w:p w14:paraId="3E16AB4B" w14:textId="2CDF4E7B" w:rsidR="00FC4132" w:rsidRPr="00E967D3" w:rsidRDefault="00FC4132" w:rsidP="008A3661">
            <w:pPr>
              <w:pStyle w:val="Paragraphedeliste"/>
              <w:numPr>
                <w:ilvl w:val="0"/>
                <w:numId w:val="25"/>
              </w:numPr>
              <w:ind w:left="250" w:hanging="250"/>
              <w:jc w:val="both"/>
              <w:rPr>
                <w:rFonts w:asciiTheme="minorHAnsi" w:hAnsiTheme="minorHAnsi" w:cstheme="minorHAnsi"/>
                <w:sz w:val="18"/>
                <w:szCs w:val="18"/>
                <w:lang w:eastAsia="en-US"/>
              </w:rPr>
            </w:pPr>
          </w:p>
        </w:tc>
        <w:tc>
          <w:tcPr>
            <w:tcW w:w="1250" w:type="pct"/>
            <w:vAlign w:val="center"/>
          </w:tcPr>
          <w:p w14:paraId="65AE1722" w14:textId="65587A82" w:rsidR="003D7A68" w:rsidRPr="00E967D3" w:rsidRDefault="003D7A68" w:rsidP="008A7835">
            <w:pPr>
              <w:spacing w:after="120"/>
              <w:jc w:val="both"/>
              <w:rPr>
                <w:rFonts w:asciiTheme="minorHAnsi" w:hAnsiTheme="minorHAnsi" w:cstheme="minorHAnsi"/>
                <w:sz w:val="18"/>
                <w:szCs w:val="18"/>
                <w:lang w:eastAsia="en-US"/>
              </w:rPr>
            </w:pPr>
          </w:p>
        </w:tc>
      </w:tr>
      <w:tr w:rsidR="003D7A68" w14:paraId="4E6EE92F" w14:textId="77777777" w:rsidTr="008A78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3" w:type="pct"/>
            <w:tcBorders>
              <w:top w:val="single" w:sz="4" w:space="0" w:color="auto"/>
              <w:left w:val="single" w:sz="4" w:space="0" w:color="auto"/>
              <w:bottom w:val="single" w:sz="4" w:space="0" w:color="auto"/>
              <w:right w:val="single" w:sz="4" w:space="0" w:color="auto"/>
            </w:tcBorders>
            <w:vAlign w:val="center"/>
          </w:tcPr>
          <w:p w14:paraId="757400BA" w14:textId="59B2D140" w:rsidR="003D7A68" w:rsidRPr="00E967D3" w:rsidRDefault="00E71DD6"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lang w:eastAsia="en-US"/>
              </w:rPr>
              <w:t>Politique nationale de développement de l’élevage (200</w:t>
            </w:r>
            <w:r w:rsidR="00E4439A" w:rsidRPr="00E967D3">
              <w:rPr>
                <w:rFonts w:asciiTheme="minorHAnsi" w:hAnsiTheme="minorHAnsi" w:cstheme="minorHAnsi"/>
                <w:sz w:val="18"/>
                <w:szCs w:val="18"/>
                <w:lang w:eastAsia="en-US"/>
              </w:rPr>
              <w:t>4</w:t>
            </w:r>
            <w:r w:rsidRPr="00E967D3">
              <w:rPr>
                <w:rFonts w:asciiTheme="minorHAnsi" w:hAnsiTheme="minorHAnsi" w:cstheme="minorHAnsi"/>
                <w:sz w:val="18"/>
                <w:szCs w:val="18"/>
                <w:lang w:eastAsia="en-US"/>
              </w:rPr>
              <w:t>)</w:t>
            </w:r>
          </w:p>
        </w:tc>
        <w:tc>
          <w:tcPr>
            <w:tcW w:w="1245" w:type="pct"/>
            <w:tcBorders>
              <w:top w:val="single" w:sz="4" w:space="0" w:color="auto"/>
              <w:left w:val="single" w:sz="4" w:space="0" w:color="auto"/>
              <w:bottom w:val="single" w:sz="4" w:space="0" w:color="auto"/>
              <w:right w:val="single" w:sz="4" w:space="0" w:color="auto"/>
            </w:tcBorders>
            <w:vAlign w:val="center"/>
          </w:tcPr>
          <w:p w14:paraId="6EC04CE0" w14:textId="6A5E410C" w:rsidR="003D7A68" w:rsidRPr="00E967D3" w:rsidRDefault="00A6380E" w:rsidP="008A7835">
            <w:pPr>
              <w:spacing w:after="60"/>
              <w:jc w:val="both"/>
              <w:rPr>
                <w:rFonts w:asciiTheme="minorHAnsi" w:hAnsiTheme="minorHAnsi" w:cstheme="minorHAnsi"/>
                <w:sz w:val="18"/>
                <w:szCs w:val="18"/>
              </w:rPr>
            </w:pPr>
            <w:r w:rsidRPr="00E967D3">
              <w:rPr>
                <w:rFonts w:asciiTheme="minorHAnsi" w:hAnsiTheme="minorHAnsi" w:cstheme="minorHAnsi"/>
                <w:sz w:val="18"/>
                <w:szCs w:val="18"/>
              </w:rPr>
              <w:t>Cadre d’orientation du sous-secteur élevage. Elle vise le développement durable de l’élevage, l’amélioration de la productivité, de la santé animale, de l’alimentation du bétail, de la transformation et de la commercialisation.</w:t>
            </w:r>
          </w:p>
        </w:tc>
        <w:tc>
          <w:tcPr>
            <w:tcW w:w="1572" w:type="pct"/>
            <w:tcBorders>
              <w:top w:val="single" w:sz="4" w:space="0" w:color="auto"/>
              <w:left w:val="single" w:sz="4" w:space="0" w:color="auto"/>
              <w:bottom w:val="single" w:sz="4" w:space="0" w:color="auto"/>
              <w:right w:val="single" w:sz="4" w:space="0" w:color="auto"/>
            </w:tcBorders>
            <w:vAlign w:val="center"/>
          </w:tcPr>
          <w:p w14:paraId="50819A74" w14:textId="77777777" w:rsidR="005273E7" w:rsidRPr="00E967D3" w:rsidRDefault="00A6380E" w:rsidP="008A3661">
            <w:pPr>
              <w:pStyle w:val="Paragraphedeliste"/>
              <w:numPr>
                <w:ilvl w:val="0"/>
                <w:numId w:val="31"/>
              </w:numPr>
              <w:ind w:left="245" w:hanging="245"/>
              <w:contextualSpacing w:val="0"/>
              <w:jc w:val="both"/>
              <w:rPr>
                <w:rFonts w:asciiTheme="minorHAnsi" w:hAnsiTheme="minorHAnsi" w:cstheme="minorHAnsi"/>
                <w:sz w:val="18"/>
                <w:szCs w:val="18"/>
              </w:rPr>
            </w:pPr>
            <w:r w:rsidRPr="00E967D3">
              <w:rPr>
                <w:rFonts w:asciiTheme="minorHAnsi" w:hAnsiTheme="minorHAnsi" w:cstheme="minorHAnsi"/>
                <w:sz w:val="18"/>
                <w:szCs w:val="18"/>
              </w:rPr>
              <w:t xml:space="preserve">Hydraulique pastorale, </w:t>
            </w:r>
          </w:p>
          <w:p w14:paraId="4DDA9106" w14:textId="77777777" w:rsidR="005273E7" w:rsidRPr="00E967D3" w:rsidRDefault="005273E7" w:rsidP="008A3661">
            <w:pPr>
              <w:pStyle w:val="Paragraphedeliste"/>
              <w:numPr>
                <w:ilvl w:val="0"/>
                <w:numId w:val="31"/>
              </w:numPr>
              <w:ind w:left="245" w:hanging="245"/>
              <w:contextualSpacing w:val="0"/>
              <w:jc w:val="both"/>
              <w:rPr>
                <w:rFonts w:asciiTheme="minorHAnsi" w:hAnsiTheme="minorHAnsi" w:cstheme="minorHAnsi"/>
                <w:sz w:val="18"/>
                <w:szCs w:val="18"/>
              </w:rPr>
            </w:pPr>
            <w:r w:rsidRPr="00E967D3">
              <w:rPr>
                <w:rFonts w:asciiTheme="minorHAnsi" w:hAnsiTheme="minorHAnsi" w:cstheme="minorHAnsi"/>
                <w:sz w:val="18"/>
                <w:szCs w:val="18"/>
              </w:rPr>
              <w:t>Cartographie</w:t>
            </w:r>
            <w:r w:rsidR="00A6380E" w:rsidRPr="00E967D3">
              <w:rPr>
                <w:rFonts w:asciiTheme="minorHAnsi" w:hAnsiTheme="minorHAnsi" w:cstheme="minorHAnsi"/>
                <w:sz w:val="18"/>
                <w:szCs w:val="18"/>
              </w:rPr>
              <w:t xml:space="preserve"> des points d’eau et pâturages, </w:t>
            </w:r>
          </w:p>
          <w:p w14:paraId="261E2B86" w14:textId="20F9C314" w:rsidR="005273E7" w:rsidRPr="00E967D3" w:rsidRDefault="005273E7" w:rsidP="008A3661">
            <w:pPr>
              <w:pStyle w:val="Paragraphedeliste"/>
              <w:numPr>
                <w:ilvl w:val="0"/>
                <w:numId w:val="31"/>
              </w:numPr>
              <w:ind w:left="245" w:hanging="245"/>
              <w:contextualSpacing w:val="0"/>
              <w:jc w:val="both"/>
              <w:rPr>
                <w:rFonts w:asciiTheme="minorHAnsi" w:hAnsiTheme="minorHAnsi" w:cstheme="minorHAnsi"/>
                <w:sz w:val="18"/>
                <w:szCs w:val="18"/>
              </w:rPr>
            </w:pPr>
            <w:r w:rsidRPr="00E967D3">
              <w:rPr>
                <w:rFonts w:asciiTheme="minorHAnsi" w:hAnsiTheme="minorHAnsi" w:cstheme="minorHAnsi"/>
                <w:sz w:val="18"/>
                <w:szCs w:val="18"/>
              </w:rPr>
              <w:t>Restauration</w:t>
            </w:r>
            <w:r w:rsidR="00A6380E" w:rsidRPr="00E967D3">
              <w:rPr>
                <w:rFonts w:asciiTheme="minorHAnsi" w:hAnsiTheme="minorHAnsi" w:cstheme="minorHAnsi"/>
                <w:sz w:val="18"/>
                <w:szCs w:val="18"/>
              </w:rPr>
              <w:t xml:space="preserve"> des parcours, </w:t>
            </w:r>
          </w:p>
          <w:p w14:paraId="4E392450" w14:textId="77777777" w:rsidR="00CE1122" w:rsidRPr="00E967D3" w:rsidRDefault="005273E7" w:rsidP="008A3661">
            <w:pPr>
              <w:pStyle w:val="Paragraphedeliste"/>
              <w:numPr>
                <w:ilvl w:val="0"/>
                <w:numId w:val="31"/>
              </w:numPr>
              <w:ind w:left="245" w:hanging="245"/>
              <w:contextualSpacing w:val="0"/>
              <w:jc w:val="both"/>
              <w:rPr>
                <w:rFonts w:asciiTheme="minorHAnsi" w:hAnsiTheme="minorHAnsi" w:cstheme="minorHAnsi"/>
                <w:sz w:val="18"/>
                <w:szCs w:val="18"/>
              </w:rPr>
            </w:pPr>
            <w:r w:rsidRPr="00E967D3">
              <w:rPr>
                <w:rFonts w:asciiTheme="minorHAnsi" w:hAnsiTheme="minorHAnsi" w:cstheme="minorHAnsi"/>
                <w:sz w:val="18"/>
                <w:szCs w:val="18"/>
              </w:rPr>
              <w:t>Lutte</w:t>
            </w:r>
            <w:r w:rsidR="00A6380E" w:rsidRPr="00E967D3">
              <w:rPr>
                <w:rFonts w:asciiTheme="minorHAnsi" w:hAnsiTheme="minorHAnsi" w:cstheme="minorHAnsi"/>
                <w:sz w:val="18"/>
                <w:szCs w:val="18"/>
              </w:rPr>
              <w:t xml:space="preserve"> contre les feux de brousse, cultures fourragères, </w:t>
            </w:r>
          </w:p>
          <w:p w14:paraId="6F5240DB" w14:textId="77777777" w:rsidR="00FC4132" w:rsidRPr="00532CCE" w:rsidRDefault="00CE1122" w:rsidP="008A3661">
            <w:pPr>
              <w:pStyle w:val="Paragraphedeliste"/>
              <w:numPr>
                <w:ilvl w:val="0"/>
                <w:numId w:val="31"/>
              </w:numPr>
              <w:ind w:left="245" w:hanging="245"/>
              <w:contextualSpacing w:val="0"/>
              <w:jc w:val="both"/>
              <w:rPr>
                <w:rFonts w:asciiTheme="minorHAnsi" w:hAnsiTheme="minorHAnsi" w:cstheme="minorHAnsi"/>
                <w:sz w:val="18"/>
                <w:szCs w:val="18"/>
              </w:rPr>
            </w:pPr>
            <w:r w:rsidRPr="00E967D3">
              <w:rPr>
                <w:rFonts w:asciiTheme="minorHAnsi" w:hAnsiTheme="minorHAnsi" w:cstheme="minorHAnsi"/>
                <w:sz w:val="18"/>
                <w:szCs w:val="18"/>
              </w:rPr>
              <w:t>Régénération</w:t>
            </w:r>
            <w:r w:rsidR="00A6380E" w:rsidRPr="00E967D3">
              <w:rPr>
                <w:rFonts w:asciiTheme="minorHAnsi" w:hAnsiTheme="minorHAnsi" w:cstheme="minorHAnsi"/>
                <w:sz w:val="18"/>
                <w:szCs w:val="18"/>
              </w:rPr>
              <w:t xml:space="preserve"> des parcours, gestion rationnelle des ressources naturelles.</w:t>
            </w:r>
            <w:r w:rsidR="00FC4132" w:rsidRPr="00FC4132">
              <w:rPr>
                <w:b/>
                <w:bCs/>
              </w:rPr>
              <w:t xml:space="preserve"> </w:t>
            </w:r>
          </w:p>
          <w:p w14:paraId="5D3232FD" w14:textId="75F5BCA0" w:rsidR="003D7A68" w:rsidRPr="00E967D3" w:rsidRDefault="00FC4132" w:rsidP="008A3661">
            <w:pPr>
              <w:pStyle w:val="Paragraphedeliste"/>
              <w:numPr>
                <w:ilvl w:val="0"/>
                <w:numId w:val="31"/>
              </w:numPr>
              <w:ind w:left="245" w:hanging="245"/>
              <w:contextualSpacing w:val="0"/>
              <w:jc w:val="both"/>
              <w:rPr>
                <w:rFonts w:asciiTheme="minorHAnsi" w:hAnsiTheme="minorHAnsi" w:cstheme="minorHAnsi"/>
                <w:sz w:val="18"/>
                <w:szCs w:val="18"/>
              </w:rPr>
            </w:pPr>
            <w:r w:rsidRPr="00FC4132">
              <w:rPr>
                <w:rFonts w:asciiTheme="minorHAnsi" w:hAnsiTheme="minorHAnsi" w:cstheme="minorHAnsi"/>
                <w:b/>
                <w:bCs/>
                <w:sz w:val="18"/>
                <w:szCs w:val="18"/>
              </w:rPr>
              <w:t>Réduction de la vulnérabilité du pastoralisme face au stress climatique et aux crises fourragères récurrentes.</w:t>
            </w:r>
            <w:r w:rsidRPr="00FC4132">
              <w:rPr>
                <w:rFonts w:asciiTheme="minorHAnsi" w:hAnsiTheme="minorHAnsi" w:cstheme="minorHAnsi"/>
                <w:sz w:val="18"/>
                <w:szCs w:val="18"/>
              </w:rPr>
              <w:br/>
            </w:r>
            <w:r w:rsidRPr="00FC4132">
              <w:rPr>
                <w:rFonts w:asciiTheme="minorHAnsi" w:hAnsiTheme="minorHAnsi" w:cstheme="minorHAnsi"/>
                <w:b/>
                <w:bCs/>
                <w:sz w:val="18"/>
                <w:szCs w:val="18"/>
              </w:rPr>
              <w:t>- Potentiel d’atténuation via la gestion améliorée des troupeaux et des déjections animales.</w:t>
            </w:r>
          </w:p>
        </w:tc>
        <w:tc>
          <w:tcPr>
            <w:tcW w:w="1250" w:type="pct"/>
            <w:tcBorders>
              <w:top w:val="single" w:sz="4" w:space="0" w:color="auto"/>
              <w:left w:val="single" w:sz="4" w:space="0" w:color="auto"/>
              <w:bottom w:val="single" w:sz="4" w:space="0" w:color="auto"/>
              <w:right w:val="single" w:sz="4" w:space="0" w:color="auto"/>
            </w:tcBorders>
            <w:vAlign w:val="center"/>
          </w:tcPr>
          <w:p w14:paraId="7B999826" w14:textId="36EBB779" w:rsidR="003D7A68" w:rsidRPr="00E967D3" w:rsidRDefault="00A6380E" w:rsidP="008A3661">
            <w:pPr>
              <w:pStyle w:val="Paragraphedeliste"/>
              <w:numPr>
                <w:ilvl w:val="0"/>
                <w:numId w:val="32"/>
              </w:numPr>
              <w:spacing w:after="60"/>
              <w:ind w:left="300" w:hanging="300"/>
              <w:jc w:val="both"/>
              <w:rPr>
                <w:rFonts w:asciiTheme="minorHAnsi" w:hAnsiTheme="minorHAnsi" w:cstheme="minorHAnsi"/>
                <w:sz w:val="18"/>
                <w:szCs w:val="18"/>
              </w:rPr>
            </w:pPr>
            <w:r w:rsidRPr="00E967D3">
              <w:rPr>
                <w:rFonts w:asciiTheme="minorHAnsi" w:hAnsiTheme="minorHAnsi" w:cstheme="minorHAnsi"/>
                <w:sz w:val="18"/>
                <w:szCs w:val="18"/>
              </w:rPr>
              <w:t xml:space="preserve">Besoin de financement évalué à </w:t>
            </w:r>
            <w:r w:rsidRPr="00E967D3">
              <w:rPr>
                <w:rFonts w:asciiTheme="minorHAnsi" w:hAnsiTheme="minorHAnsi" w:cstheme="minorHAnsi"/>
                <w:b/>
                <w:sz w:val="18"/>
                <w:szCs w:val="18"/>
              </w:rPr>
              <w:t>75 milliards FCFA</w:t>
            </w:r>
            <w:r w:rsidRPr="00E967D3">
              <w:rPr>
                <w:rFonts w:asciiTheme="minorHAnsi" w:hAnsiTheme="minorHAnsi" w:cstheme="minorHAnsi"/>
                <w:sz w:val="18"/>
                <w:szCs w:val="18"/>
              </w:rPr>
              <w:t xml:space="preserve"> pour 2004-2009, dont </w:t>
            </w:r>
            <w:r w:rsidRPr="00E967D3">
              <w:rPr>
                <w:rFonts w:asciiTheme="minorHAnsi" w:hAnsiTheme="minorHAnsi" w:cstheme="minorHAnsi"/>
                <w:b/>
                <w:sz w:val="18"/>
                <w:szCs w:val="18"/>
              </w:rPr>
              <w:t>25 milliards FCFA</w:t>
            </w:r>
            <w:r w:rsidRPr="00E967D3">
              <w:rPr>
                <w:rFonts w:asciiTheme="minorHAnsi" w:hAnsiTheme="minorHAnsi" w:cstheme="minorHAnsi"/>
                <w:sz w:val="18"/>
                <w:szCs w:val="18"/>
              </w:rPr>
              <w:t xml:space="preserve"> pour l’amélioration de l’alimentation animale.</w:t>
            </w:r>
          </w:p>
        </w:tc>
      </w:tr>
      <w:tr w:rsidR="003D7A68" w14:paraId="73B615B8" w14:textId="77777777" w:rsidTr="008A7835">
        <w:tc>
          <w:tcPr>
            <w:tcW w:w="933" w:type="pct"/>
            <w:vAlign w:val="center"/>
          </w:tcPr>
          <w:p w14:paraId="0FF481D3" w14:textId="0C4E30AF" w:rsidR="003D7A68" w:rsidRPr="00E967D3" w:rsidRDefault="006F3B5C"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lang w:eastAsia="en-US"/>
              </w:rPr>
              <w:t>Stratégie nationale de développement de la riziculture</w:t>
            </w:r>
            <w:r w:rsidR="007B77C5" w:rsidRPr="00E967D3">
              <w:rPr>
                <w:rFonts w:asciiTheme="minorHAnsi" w:hAnsiTheme="minorHAnsi" w:cstheme="minorHAnsi"/>
                <w:sz w:val="18"/>
                <w:szCs w:val="18"/>
                <w:lang w:eastAsia="en-US"/>
              </w:rPr>
              <w:t xml:space="preserve"> (SNDR 2009-2018)</w:t>
            </w:r>
          </w:p>
        </w:tc>
        <w:tc>
          <w:tcPr>
            <w:tcW w:w="1245" w:type="pct"/>
            <w:vAlign w:val="center"/>
          </w:tcPr>
          <w:p w14:paraId="322535A6" w14:textId="4A87ACD1" w:rsidR="003D7A68" w:rsidRPr="00E967D3" w:rsidRDefault="00743AC4" w:rsidP="008A7835">
            <w:pPr>
              <w:jc w:val="both"/>
              <w:rPr>
                <w:rFonts w:asciiTheme="minorHAnsi" w:eastAsia="Times New Roman" w:hAnsiTheme="minorHAnsi" w:cstheme="minorHAnsi"/>
                <w:b/>
                <w:sz w:val="18"/>
                <w:szCs w:val="18"/>
                <w:u w:val="single"/>
                <w:lang w:eastAsia="en-US"/>
              </w:rPr>
            </w:pPr>
            <w:r w:rsidRPr="00E967D3">
              <w:rPr>
                <w:rFonts w:asciiTheme="minorHAnsi" w:hAnsiTheme="minorHAnsi" w:cstheme="minorHAnsi"/>
                <w:sz w:val="18"/>
                <w:szCs w:val="18"/>
              </w:rPr>
              <w:t xml:space="preserve">Stratégie dédiée au développement de la filière riz, inscrite dans l’approfondissement de la LOA et mise en œuvre depuis 2009. Elle a soutenu les investissements publics dans l’irrigation, </w:t>
            </w:r>
            <w:r w:rsidRPr="00E967D3">
              <w:rPr>
                <w:rFonts w:asciiTheme="minorHAnsi" w:hAnsiTheme="minorHAnsi" w:cstheme="minorHAnsi"/>
                <w:sz w:val="18"/>
                <w:szCs w:val="18"/>
              </w:rPr>
              <w:lastRenderedPageBreak/>
              <w:t>les variétés améliorées, les intrants, le crédit agricole et la transformation.</w:t>
            </w:r>
          </w:p>
        </w:tc>
        <w:tc>
          <w:tcPr>
            <w:tcW w:w="1572" w:type="pct"/>
            <w:vAlign w:val="center"/>
          </w:tcPr>
          <w:p w14:paraId="0EF66C79" w14:textId="77777777" w:rsidR="00743AC4" w:rsidRPr="00E967D3" w:rsidRDefault="00743AC4" w:rsidP="008A3661">
            <w:pPr>
              <w:pStyle w:val="Paragraphedeliste"/>
              <w:numPr>
                <w:ilvl w:val="0"/>
                <w:numId w:val="27"/>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lastRenderedPageBreak/>
              <w:t>Maîtrise de l’eau, extension des aménagements hydro-agricoles,</w:t>
            </w:r>
          </w:p>
          <w:p w14:paraId="7509D19B" w14:textId="77777777" w:rsidR="00743AC4" w:rsidRPr="00E967D3" w:rsidRDefault="00743AC4" w:rsidP="008A3661">
            <w:pPr>
              <w:pStyle w:val="Paragraphedeliste"/>
              <w:numPr>
                <w:ilvl w:val="0"/>
                <w:numId w:val="27"/>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Amélioration des rendements, </w:t>
            </w:r>
          </w:p>
          <w:p w14:paraId="6791E4D2" w14:textId="32B020B8" w:rsidR="00743AC4" w:rsidRPr="00E967D3" w:rsidRDefault="00743AC4" w:rsidP="008A3661">
            <w:pPr>
              <w:pStyle w:val="Paragraphedeliste"/>
              <w:numPr>
                <w:ilvl w:val="0"/>
                <w:numId w:val="27"/>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Réduction de la dépendance aux importations, </w:t>
            </w:r>
          </w:p>
          <w:p w14:paraId="2227CAAC" w14:textId="77777777" w:rsidR="00FC4132" w:rsidRDefault="00743AC4" w:rsidP="008A3661">
            <w:pPr>
              <w:pStyle w:val="Paragraphedeliste"/>
              <w:numPr>
                <w:ilvl w:val="0"/>
                <w:numId w:val="27"/>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Résilience de la production rizicole face aux aléas climatiques.</w:t>
            </w:r>
            <w:r w:rsidR="00FC4132">
              <w:rPr>
                <w:rFonts w:asciiTheme="minorHAnsi" w:hAnsiTheme="minorHAnsi" w:cstheme="minorHAnsi"/>
                <w:sz w:val="18"/>
                <w:szCs w:val="18"/>
              </w:rPr>
              <w:t xml:space="preserve"> </w:t>
            </w:r>
          </w:p>
          <w:p w14:paraId="1C966F4A" w14:textId="07174111" w:rsidR="003D7A68" w:rsidRPr="00E967D3" w:rsidRDefault="00FC4132" w:rsidP="008A3661">
            <w:pPr>
              <w:pStyle w:val="Paragraphedeliste"/>
              <w:numPr>
                <w:ilvl w:val="0"/>
                <w:numId w:val="27"/>
              </w:numPr>
              <w:ind w:left="245" w:hanging="245"/>
              <w:contextualSpacing w:val="0"/>
              <w:jc w:val="both"/>
              <w:rPr>
                <w:rFonts w:asciiTheme="minorHAnsi" w:hAnsiTheme="minorHAnsi" w:cstheme="minorHAnsi"/>
                <w:sz w:val="18"/>
                <w:szCs w:val="18"/>
                <w:lang w:eastAsia="en-US"/>
              </w:rPr>
            </w:pPr>
            <w:r w:rsidRPr="00FC4132">
              <w:rPr>
                <w:rFonts w:asciiTheme="minorHAnsi" w:hAnsiTheme="minorHAnsi" w:cstheme="minorHAnsi"/>
                <w:sz w:val="18"/>
                <w:szCs w:val="18"/>
              </w:rPr>
              <w:lastRenderedPageBreak/>
              <w:t>Forte sensibilité du système rizicole aux émissions de méthane, faisant de la filière un levier clé d’atténuation dans la CDN 3.0</w:t>
            </w:r>
          </w:p>
        </w:tc>
        <w:tc>
          <w:tcPr>
            <w:tcW w:w="1250" w:type="pct"/>
            <w:vAlign w:val="center"/>
          </w:tcPr>
          <w:p w14:paraId="19BFF210" w14:textId="0694D9B5" w:rsidR="003D7A68" w:rsidRPr="00E967D3" w:rsidRDefault="00743AC4" w:rsidP="008A3661">
            <w:pPr>
              <w:pStyle w:val="Paragraphedeliste"/>
              <w:numPr>
                <w:ilvl w:val="0"/>
                <w:numId w:val="28"/>
              </w:numPr>
              <w:spacing w:after="120"/>
              <w:ind w:left="302" w:hanging="302"/>
              <w:contextualSpacing w:val="0"/>
              <w:jc w:val="both"/>
              <w:rPr>
                <w:rFonts w:asciiTheme="minorHAnsi" w:eastAsia="Times New Roman" w:hAnsiTheme="minorHAnsi" w:cstheme="minorHAnsi"/>
                <w:sz w:val="18"/>
                <w:szCs w:val="18"/>
                <w:lang w:eastAsia="en-US"/>
              </w:rPr>
            </w:pPr>
            <w:r w:rsidRPr="00E967D3">
              <w:rPr>
                <w:rFonts w:asciiTheme="minorHAnsi" w:hAnsiTheme="minorHAnsi" w:cstheme="minorHAnsi"/>
                <w:b/>
                <w:sz w:val="18"/>
                <w:szCs w:val="18"/>
              </w:rPr>
              <w:lastRenderedPageBreak/>
              <w:t>90 000 ha</w:t>
            </w:r>
            <w:r w:rsidRPr="00E967D3">
              <w:rPr>
                <w:rFonts w:asciiTheme="minorHAnsi" w:hAnsiTheme="minorHAnsi" w:cstheme="minorHAnsi"/>
                <w:sz w:val="18"/>
                <w:szCs w:val="18"/>
              </w:rPr>
              <w:t xml:space="preserve"> irrigués dans la zone Office du Niger consacrés principalement à la riziculture.</w:t>
            </w:r>
          </w:p>
        </w:tc>
      </w:tr>
      <w:tr w:rsidR="003D7A68" w14:paraId="653F73B3" w14:textId="77777777" w:rsidTr="008A7835">
        <w:tc>
          <w:tcPr>
            <w:tcW w:w="933" w:type="pct"/>
            <w:vAlign w:val="center"/>
          </w:tcPr>
          <w:p w14:paraId="2B6C1FBE" w14:textId="1D0B7848" w:rsidR="003D7A68" w:rsidRPr="00E967D3" w:rsidRDefault="008A7788"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lang w:eastAsia="en-US"/>
              </w:rPr>
              <w:t>Programme de développement stratégique de la filière coton (2013-2018)</w:t>
            </w:r>
          </w:p>
        </w:tc>
        <w:tc>
          <w:tcPr>
            <w:tcW w:w="1245" w:type="pct"/>
            <w:vAlign w:val="center"/>
          </w:tcPr>
          <w:p w14:paraId="6E0A8513" w14:textId="45885FF4" w:rsidR="003D7A68" w:rsidRPr="00E967D3" w:rsidRDefault="00482B77" w:rsidP="008A7835">
            <w:pPr>
              <w:jc w:val="both"/>
              <w:rPr>
                <w:rFonts w:asciiTheme="minorHAnsi" w:hAnsiTheme="minorHAnsi" w:cstheme="minorHAnsi"/>
                <w:sz w:val="18"/>
                <w:szCs w:val="18"/>
                <w:highlight w:val="yellow"/>
                <w:lang w:eastAsia="en-US"/>
              </w:rPr>
            </w:pPr>
            <w:r w:rsidRPr="00E967D3">
              <w:rPr>
                <w:rFonts w:asciiTheme="minorHAnsi" w:hAnsiTheme="minorHAnsi" w:cstheme="minorHAnsi"/>
                <w:sz w:val="18"/>
                <w:szCs w:val="18"/>
              </w:rPr>
              <w:t>Programme sous-sectoriel visant la consolidation d’une filière stratégique pour l’économie rurale, les revenus agricoles et les exportations.</w:t>
            </w:r>
          </w:p>
        </w:tc>
        <w:tc>
          <w:tcPr>
            <w:tcW w:w="1572" w:type="pct"/>
            <w:vAlign w:val="center"/>
          </w:tcPr>
          <w:p w14:paraId="0C18EDD6" w14:textId="77777777" w:rsidR="00482B77" w:rsidRPr="00E967D3" w:rsidRDefault="00482B77"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Intensification agricole, </w:t>
            </w:r>
          </w:p>
          <w:p w14:paraId="590DBCEB" w14:textId="75E72146" w:rsidR="00482B77" w:rsidRPr="00E967D3" w:rsidRDefault="00482B77"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Structuration des producteurs,</w:t>
            </w:r>
          </w:p>
          <w:p w14:paraId="6642AFA1" w14:textId="77777777" w:rsidR="00482B77" w:rsidRPr="00E967D3" w:rsidRDefault="00482B77"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 Amélioration de la fertilité via l’intégration coton-céréales, </w:t>
            </w:r>
          </w:p>
          <w:p w14:paraId="348D10E7" w14:textId="77777777" w:rsidR="00FC4132" w:rsidRDefault="00482B77"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Utilisation de la fumure organique et des engrais, intégration agriculture-élevage.</w:t>
            </w:r>
            <w:r w:rsidR="00FC4132">
              <w:rPr>
                <w:rFonts w:asciiTheme="minorHAnsi" w:hAnsiTheme="minorHAnsi" w:cstheme="minorHAnsi"/>
                <w:sz w:val="18"/>
                <w:szCs w:val="18"/>
              </w:rPr>
              <w:t xml:space="preserve"> </w:t>
            </w:r>
          </w:p>
          <w:p w14:paraId="2B34F440" w14:textId="18B00A6F" w:rsidR="003D7A68" w:rsidRPr="00E967D3" w:rsidRDefault="00FC4132"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FC4132">
              <w:rPr>
                <w:rFonts w:asciiTheme="minorHAnsi" w:hAnsiTheme="minorHAnsi" w:cstheme="minorHAnsi"/>
                <w:sz w:val="18"/>
                <w:szCs w:val="18"/>
              </w:rPr>
              <w:t>Potentiel d’amélioration de la durabilité via la réduction des intrants chimiques et l’adoption de pratiques agroécologiques.</w:t>
            </w:r>
          </w:p>
        </w:tc>
        <w:tc>
          <w:tcPr>
            <w:tcW w:w="1250" w:type="pct"/>
            <w:vAlign w:val="center"/>
          </w:tcPr>
          <w:p w14:paraId="735028F0" w14:textId="372CD89E" w:rsidR="003D7A68" w:rsidRPr="00E967D3" w:rsidRDefault="00482B77" w:rsidP="008A3661">
            <w:pPr>
              <w:pStyle w:val="Paragraphedeliste"/>
              <w:numPr>
                <w:ilvl w:val="0"/>
                <w:numId w:val="29"/>
              </w:numPr>
              <w:ind w:left="300" w:hanging="30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Le Mali a atteint environ </w:t>
            </w:r>
            <w:r w:rsidRPr="00E967D3">
              <w:rPr>
                <w:rFonts w:asciiTheme="minorHAnsi" w:hAnsiTheme="minorHAnsi" w:cstheme="minorHAnsi"/>
                <w:b/>
                <w:sz w:val="18"/>
                <w:szCs w:val="18"/>
              </w:rPr>
              <w:t>730 000 tonnes</w:t>
            </w:r>
            <w:r w:rsidRPr="00E967D3">
              <w:rPr>
                <w:rFonts w:asciiTheme="minorHAnsi" w:hAnsiTheme="minorHAnsi" w:cstheme="minorHAnsi"/>
                <w:sz w:val="18"/>
                <w:szCs w:val="18"/>
              </w:rPr>
              <w:t xml:space="preserve"> de coton en 2020/2021, devenant premier producteur d’Afrique de l’Ouest ; </w:t>
            </w:r>
          </w:p>
        </w:tc>
      </w:tr>
      <w:tr w:rsidR="008A7788" w14:paraId="0560BEB6" w14:textId="77777777" w:rsidTr="008A7835">
        <w:tc>
          <w:tcPr>
            <w:tcW w:w="933" w:type="pct"/>
            <w:vAlign w:val="center"/>
          </w:tcPr>
          <w:p w14:paraId="1D3D0182" w14:textId="635D493F" w:rsidR="008A7788" w:rsidRPr="00E967D3" w:rsidRDefault="00A57561"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lang w:eastAsia="en-US"/>
              </w:rPr>
              <w:t>Politique nationale sur les changements climatiques (PNCC)</w:t>
            </w:r>
          </w:p>
        </w:tc>
        <w:tc>
          <w:tcPr>
            <w:tcW w:w="1245" w:type="pct"/>
            <w:vAlign w:val="center"/>
          </w:tcPr>
          <w:p w14:paraId="486F8ED9" w14:textId="5F285B12" w:rsidR="008A7788" w:rsidRPr="00E967D3" w:rsidRDefault="00CD4A3E"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rPr>
              <w:t>Cadre national de référence pour l’intégration des changements climatiques dans les politiques sectorielles et territoriales. Elle vise un développement socio-économique durable intégrant les défis climatiques.</w:t>
            </w:r>
          </w:p>
        </w:tc>
        <w:tc>
          <w:tcPr>
            <w:tcW w:w="1572" w:type="pct"/>
            <w:vAlign w:val="center"/>
          </w:tcPr>
          <w:p w14:paraId="7E1CBF8A" w14:textId="77777777" w:rsidR="00CD4A3E" w:rsidRPr="00E967D3" w:rsidRDefault="00CD4A3E"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Gouvernance climatique, </w:t>
            </w:r>
          </w:p>
          <w:p w14:paraId="36684EDA" w14:textId="0FCED7B3" w:rsidR="00CD4A3E" w:rsidRPr="00E967D3" w:rsidRDefault="00CD4A3E"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Intégration du climat dans les politiques publiques, </w:t>
            </w:r>
          </w:p>
          <w:p w14:paraId="23A08A2F" w14:textId="41E0DC3C" w:rsidR="00CD4A3E" w:rsidRPr="00E967D3" w:rsidRDefault="00CD4A3E"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Adaptation, gestion des risques, atténuation des GES, </w:t>
            </w:r>
          </w:p>
          <w:p w14:paraId="55D6495F" w14:textId="77777777" w:rsidR="00FC4132" w:rsidRDefault="00CD4A3E"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Transfert de technologies, recherche, données, sensibilisation et financement climatique.</w:t>
            </w:r>
          </w:p>
          <w:p w14:paraId="7AC804A1" w14:textId="3DEA0533" w:rsidR="008A7788" w:rsidRPr="00E967D3" w:rsidRDefault="00FC4132"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Pr>
                <w:rFonts w:asciiTheme="minorHAnsi" w:hAnsiTheme="minorHAnsi" w:cstheme="minorHAnsi"/>
                <w:sz w:val="18"/>
                <w:szCs w:val="18"/>
              </w:rPr>
              <w:t xml:space="preserve"> </w:t>
            </w:r>
            <w:r w:rsidRPr="00FC4132">
              <w:rPr>
                <w:rFonts w:asciiTheme="minorHAnsi" w:hAnsiTheme="minorHAnsi" w:cstheme="minorHAnsi"/>
                <w:sz w:val="18"/>
                <w:szCs w:val="18"/>
              </w:rPr>
              <w:t>Cadre fondamental d’orientation pour l’intégration systématique du climat dans la planification sectorielle et territoriale.</w:t>
            </w:r>
          </w:p>
        </w:tc>
        <w:tc>
          <w:tcPr>
            <w:tcW w:w="1250" w:type="pct"/>
            <w:vAlign w:val="center"/>
          </w:tcPr>
          <w:p w14:paraId="6666809C" w14:textId="1935BFA8" w:rsidR="008A7788" w:rsidRPr="00E967D3" w:rsidRDefault="00CD4A3E" w:rsidP="008A3661">
            <w:pPr>
              <w:pStyle w:val="Paragraphedeliste"/>
              <w:numPr>
                <w:ilvl w:val="0"/>
                <w:numId w:val="29"/>
              </w:numPr>
              <w:ind w:left="300" w:hanging="30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Vision à l’horizon </w:t>
            </w:r>
            <w:r w:rsidRPr="00E967D3">
              <w:rPr>
                <w:rFonts w:asciiTheme="minorHAnsi" w:hAnsiTheme="minorHAnsi" w:cstheme="minorHAnsi"/>
                <w:b/>
                <w:sz w:val="18"/>
                <w:szCs w:val="18"/>
              </w:rPr>
              <w:t>2025</w:t>
            </w:r>
            <w:r w:rsidRPr="00E967D3">
              <w:rPr>
                <w:rFonts w:asciiTheme="minorHAnsi" w:hAnsiTheme="minorHAnsi" w:cstheme="minorHAnsi"/>
                <w:sz w:val="18"/>
                <w:szCs w:val="18"/>
              </w:rPr>
              <w:t xml:space="preserve">. </w:t>
            </w:r>
          </w:p>
        </w:tc>
      </w:tr>
      <w:tr w:rsidR="00A57561" w14:paraId="7DDAA254" w14:textId="77777777" w:rsidTr="008A7835">
        <w:tc>
          <w:tcPr>
            <w:tcW w:w="933" w:type="pct"/>
            <w:vAlign w:val="center"/>
          </w:tcPr>
          <w:p w14:paraId="7EE7EA24" w14:textId="66CEFDC6" w:rsidR="00A57561" w:rsidRPr="00E967D3" w:rsidRDefault="00404E0A"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lang w:eastAsia="en-US"/>
              </w:rPr>
              <w:t>Stratégie</w:t>
            </w:r>
            <w:r w:rsidR="00787CA8" w:rsidRPr="00E967D3">
              <w:rPr>
                <w:rFonts w:asciiTheme="minorHAnsi" w:hAnsiTheme="minorHAnsi" w:cstheme="minorHAnsi"/>
                <w:sz w:val="18"/>
                <w:szCs w:val="18"/>
                <w:lang w:eastAsia="en-US"/>
              </w:rPr>
              <w:t xml:space="preserve"> nationale sur les changements climatiques (SNCC</w:t>
            </w:r>
            <w:r w:rsidRPr="00E967D3">
              <w:rPr>
                <w:rFonts w:asciiTheme="minorHAnsi" w:hAnsiTheme="minorHAnsi" w:cstheme="minorHAnsi"/>
                <w:sz w:val="18"/>
                <w:szCs w:val="18"/>
                <w:lang w:eastAsia="en-US"/>
              </w:rPr>
              <w:t> ,</w:t>
            </w:r>
            <w:r w:rsidR="005D0A71" w:rsidRPr="00E967D3">
              <w:rPr>
                <w:rFonts w:asciiTheme="minorHAnsi" w:hAnsiTheme="minorHAnsi" w:cstheme="minorHAnsi"/>
                <w:sz w:val="18"/>
                <w:szCs w:val="18"/>
                <w:lang w:eastAsia="en-US"/>
              </w:rPr>
              <w:t>2011</w:t>
            </w:r>
            <w:r w:rsidR="00787CA8" w:rsidRPr="00E967D3">
              <w:rPr>
                <w:rFonts w:asciiTheme="minorHAnsi" w:hAnsiTheme="minorHAnsi" w:cstheme="minorHAnsi"/>
                <w:sz w:val="18"/>
                <w:szCs w:val="18"/>
                <w:lang w:eastAsia="en-US"/>
              </w:rPr>
              <w:t>)</w:t>
            </w:r>
          </w:p>
        </w:tc>
        <w:tc>
          <w:tcPr>
            <w:tcW w:w="1245" w:type="pct"/>
            <w:vAlign w:val="center"/>
          </w:tcPr>
          <w:p w14:paraId="220E5AEB" w14:textId="1A0DC44F" w:rsidR="00A57561" w:rsidRPr="00E967D3" w:rsidRDefault="005D0A71"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rPr>
              <w:t>Instrument d’opérationnalisation de la PNCC, élaboré de manière participative avec l’appui de la coopération norvégienne, de la GIZ et d’EcoSecurities, sous la coordination de l’AEDD. Elle définit les axes stratégiques permettant de mettre en œuvre la politique nationale climat.</w:t>
            </w:r>
          </w:p>
        </w:tc>
        <w:tc>
          <w:tcPr>
            <w:tcW w:w="1572" w:type="pct"/>
            <w:vAlign w:val="center"/>
          </w:tcPr>
          <w:p w14:paraId="1FDD9563" w14:textId="77777777" w:rsidR="00874707" w:rsidRPr="00E967D3" w:rsidRDefault="005D0A71" w:rsidP="008A7835">
            <w:pPr>
              <w:spacing w:after="12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La SNCC repose sur </w:t>
            </w:r>
            <w:r w:rsidRPr="00E967D3">
              <w:rPr>
                <w:rFonts w:asciiTheme="minorHAnsi" w:hAnsiTheme="minorHAnsi" w:cstheme="minorHAnsi"/>
                <w:b/>
                <w:sz w:val="18"/>
                <w:szCs w:val="18"/>
              </w:rPr>
              <w:t>8 axes stratégiques</w:t>
            </w:r>
            <w:r w:rsidRPr="00E967D3">
              <w:rPr>
                <w:rFonts w:asciiTheme="minorHAnsi" w:hAnsiTheme="minorHAnsi" w:cstheme="minorHAnsi"/>
                <w:sz w:val="18"/>
                <w:szCs w:val="18"/>
              </w:rPr>
              <w:t xml:space="preserve"> :</w:t>
            </w:r>
          </w:p>
          <w:p w14:paraId="461D904F" w14:textId="77777777" w:rsidR="00874707" w:rsidRPr="00E967D3" w:rsidRDefault="005D0A71"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 </w:t>
            </w:r>
            <w:r w:rsidR="00874707" w:rsidRPr="00E967D3">
              <w:rPr>
                <w:rFonts w:asciiTheme="minorHAnsi" w:hAnsiTheme="minorHAnsi" w:cstheme="minorHAnsi"/>
                <w:sz w:val="18"/>
                <w:szCs w:val="18"/>
              </w:rPr>
              <w:t>Cadre</w:t>
            </w:r>
            <w:r w:rsidRPr="00E967D3">
              <w:rPr>
                <w:rFonts w:asciiTheme="minorHAnsi" w:hAnsiTheme="minorHAnsi" w:cstheme="minorHAnsi"/>
                <w:sz w:val="18"/>
                <w:szCs w:val="18"/>
              </w:rPr>
              <w:t xml:space="preserve"> institutionnel climat ; </w:t>
            </w:r>
          </w:p>
          <w:p w14:paraId="516B1684" w14:textId="77777777" w:rsidR="00874707" w:rsidRPr="00E967D3" w:rsidRDefault="00874707"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Accès</w:t>
            </w:r>
            <w:r w:rsidR="005D0A71" w:rsidRPr="00E967D3">
              <w:rPr>
                <w:rFonts w:asciiTheme="minorHAnsi" w:hAnsiTheme="minorHAnsi" w:cstheme="minorHAnsi"/>
                <w:sz w:val="18"/>
                <w:szCs w:val="18"/>
              </w:rPr>
              <w:t xml:space="preserve"> aux financements climat ; </w:t>
            </w:r>
          </w:p>
          <w:p w14:paraId="37E9F621" w14:textId="3F4964DF" w:rsidR="00874707" w:rsidRPr="00E967D3" w:rsidRDefault="00874707"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Renforcement</w:t>
            </w:r>
            <w:r w:rsidR="005D0A71" w:rsidRPr="00E967D3">
              <w:rPr>
                <w:rFonts w:asciiTheme="minorHAnsi" w:hAnsiTheme="minorHAnsi" w:cstheme="minorHAnsi"/>
                <w:sz w:val="18"/>
                <w:szCs w:val="18"/>
              </w:rPr>
              <w:t xml:space="preserve"> des capacités et de la recherche ; </w:t>
            </w:r>
          </w:p>
          <w:p w14:paraId="23FCAFC9" w14:textId="77777777" w:rsidR="00874707" w:rsidRPr="00E967D3" w:rsidRDefault="00874707"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Information</w:t>
            </w:r>
            <w:r w:rsidR="005D0A71" w:rsidRPr="00E967D3">
              <w:rPr>
                <w:rFonts w:asciiTheme="minorHAnsi" w:hAnsiTheme="minorHAnsi" w:cstheme="minorHAnsi"/>
                <w:sz w:val="18"/>
                <w:szCs w:val="18"/>
              </w:rPr>
              <w:t xml:space="preserve"> et sensibilisation ; </w:t>
            </w:r>
          </w:p>
          <w:p w14:paraId="37F36276" w14:textId="35D92E58" w:rsidR="00874707" w:rsidRPr="00E967D3" w:rsidRDefault="00874707"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Suivi</w:t>
            </w:r>
            <w:r w:rsidR="005D0A71" w:rsidRPr="00E967D3">
              <w:rPr>
                <w:rFonts w:asciiTheme="minorHAnsi" w:hAnsiTheme="minorHAnsi" w:cstheme="minorHAnsi"/>
                <w:sz w:val="18"/>
                <w:szCs w:val="18"/>
              </w:rPr>
              <w:t xml:space="preserve"> du climat ; </w:t>
            </w:r>
          </w:p>
          <w:p w14:paraId="099571D6" w14:textId="77777777" w:rsidR="00874707" w:rsidRPr="00E967D3" w:rsidRDefault="00874707"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Intégration</w:t>
            </w:r>
            <w:r w:rsidR="005D0A71" w:rsidRPr="00E967D3">
              <w:rPr>
                <w:rFonts w:asciiTheme="minorHAnsi" w:hAnsiTheme="minorHAnsi" w:cstheme="minorHAnsi"/>
                <w:sz w:val="18"/>
                <w:szCs w:val="18"/>
              </w:rPr>
              <w:t xml:space="preserve"> des changements climatiques dans les politiques sectorielles ; </w:t>
            </w:r>
          </w:p>
          <w:p w14:paraId="49598004" w14:textId="18C116B2" w:rsidR="00874707" w:rsidRPr="00E967D3" w:rsidRDefault="00874707"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Prise</w:t>
            </w:r>
            <w:r w:rsidR="005D0A71" w:rsidRPr="00E967D3">
              <w:rPr>
                <w:rFonts w:asciiTheme="minorHAnsi" w:hAnsiTheme="minorHAnsi" w:cstheme="minorHAnsi"/>
                <w:sz w:val="18"/>
                <w:szCs w:val="18"/>
              </w:rPr>
              <w:t xml:space="preserve"> en compte territoriale ;</w:t>
            </w:r>
          </w:p>
          <w:p w14:paraId="48180240" w14:textId="77777777" w:rsidR="00FC4132" w:rsidRDefault="005D0A71"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 </w:t>
            </w:r>
            <w:r w:rsidR="00874707" w:rsidRPr="00E967D3">
              <w:rPr>
                <w:rFonts w:asciiTheme="minorHAnsi" w:hAnsiTheme="minorHAnsi" w:cstheme="minorHAnsi"/>
                <w:sz w:val="18"/>
                <w:szCs w:val="18"/>
              </w:rPr>
              <w:t>Implication</w:t>
            </w:r>
            <w:r w:rsidRPr="00E967D3">
              <w:rPr>
                <w:rFonts w:asciiTheme="minorHAnsi" w:hAnsiTheme="minorHAnsi" w:cstheme="minorHAnsi"/>
                <w:sz w:val="18"/>
                <w:szCs w:val="18"/>
              </w:rPr>
              <w:t xml:space="preserve"> du secteur privé.</w:t>
            </w:r>
            <w:r w:rsidR="00FC4132">
              <w:rPr>
                <w:rFonts w:asciiTheme="minorHAnsi" w:hAnsiTheme="minorHAnsi" w:cstheme="minorHAnsi"/>
                <w:sz w:val="18"/>
                <w:szCs w:val="18"/>
              </w:rPr>
              <w:t xml:space="preserve"> </w:t>
            </w:r>
          </w:p>
          <w:p w14:paraId="1BC2BC52" w14:textId="07C9142F" w:rsidR="00A57561" w:rsidRPr="00E967D3" w:rsidRDefault="00FC4132"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FC4132">
              <w:rPr>
                <w:rFonts w:asciiTheme="minorHAnsi" w:hAnsiTheme="minorHAnsi" w:cstheme="minorHAnsi"/>
                <w:sz w:val="18"/>
                <w:szCs w:val="18"/>
              </w:rPr>
              <w:t>Base structurante pour la mise en œuvre opérationnelle de la CDN et le renforcement du système national de gouvernance climatique.</w:t>
            </w:r>
          </w:p>
        </w:tc>
        <w:tc>
          <w:tcPr>
            <w:tcW w:w="1250" w:type="pct"/>
            <w:vAlign w:val="center"/>
          </w:tcPr>
          <w:p w14:paraId="18BF4C31" w14:textId="728F2F6C" w:rsidR="00A57561" w:rsidRPr="00E967D3" w:rsidRDefault="005D0A71" w:rsidP="008A3661">
            <w:pPr>
              <w:pStyle w:val="Paragraphedeliste"/>
              <w:numPr>
                <w:ilvl w:val="0"/>
                <w:numId w:val="29"/>
              </w:numPr>
              <w:ind w:left="300" w:hanging="30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Le Plan d’Action National Climat associé couvre </w:t>
            </w:r>
            <w:r w:rsidRPr="00E967D3">
              <w:rPr>
                <w:rFonts w:asciiTheme="minorHAnsi" w:hAnsiTheme="minorHAnsi" w:cstheme="minorHAnsi"/>
                <w:b/>
                <w:sz w:val="18"/>
                <w:szCs w:val="18"/>
              </w:rPr>
              <w:t>2012-2017</w:t>
            </w:r>
            <w:r w:rsidRPr="00E967D3">
              <w:rPr>
                <w:rFonts w:asciiTheme="minorHAnsi" w:hAnsiTheme="minorHAnsi" w:cstheme="minorHAnsi"/>
                <w:sz w:val="18"/>
                <w:szCs w:val="18"/>
              </w:rPr>
              <w:t xml:space="preserve"> et comprend </w:t>
            </w:r>
            <w:r w:rsidRPr="00E967D3">
              <w:rPr>
                <w:rFonts w:asciiTheme="minorHAnsi" w:hAnsiTheme="minorHAnsi" w:cstheme="minorHAnsi"/>
                <w:b/>
                <w:sz w:val="18"/>
                <w:szCs w:val="18"/>
              </w:rPr>
              <w:t>148 actions</w:t>
            </w:r>
            <w:r w:rsidRPr="00E967D3">
              <w:rPr>
                <w:rFonts w:asciiTheme="minorHAnsi" w:hAnsiTheme="minorHAnsi" w:cstheme="minorHAnsi"/>
                <w:sz w:val="18"/>
                <w:szCs w:val="18"/>
              </w:rPr>
              <w:t xml:space="preserve"> : </w:t>
            </w:r>
            <w:r w:rsidRPr="00E967D3">
              <w:rPr>
                <w:rFonts w:asciiTheme="minorHAnsi" w:hAnsiTheme="minorHAnsi" w:cstheme="minorHAnsi"/>
                <w:b/>
                <w:sz w:val="18"/>
                <w:szCs w:val="18"/>
              </w:rPr>
              <w:t>40 % adaptation</w:t>
            </w:r>
            <w:r w:rsidRPr="00E967D3">
              <w:rPr>
                <w:rFonts w:asciiTheme="minorHAnsi" w:hAnsiTheme="minorHAnsi" w:cstheme="minorHAnsi"/>
                <w:sz w:val="18"/>
                <w:szCs w:val="18"/>
              </w:rPr>
              <w:t xml:space="preserve">, </w:t>
            </w:r>
            <w:r w:rsidRPr="00E967D3">
              <w:rPr>
                <w:rFonts w:asciiTheme="minorHAnsi" w:hAnsiTheme="minorHAnsi" w:cstheme="minorHAnsi"/>
                <w:b/>
                <w:sz w:val="18"/>
                <w:szCs w:val="18"/>
              </w:rPr>
              <w:t>20 % atténuation</w:t>
            </w:r>
            <w:r w:rsidRPr="00E967D3">
              <w:rPr>
                <w:rFonts w:asciiTheme="minorHAnsi" w:hAnsiTheme="minorHAnsi" w:cstheme="minorHAnsi"/>
                <w:sz w:val="18"/>
                <w:szCs w:val="18"/>
              </w:rPr>
              <w:t xml:space="preserve">, </w:t>
            </w:r>
            <w:r w:rsidRPr="00E967D3">
              <w:rPr>
                <w:rFonts w:asciiTheme="minorHAnsi" w:hAnsiTheme="minorHAnsi" w:cstheme="minorHAnsi"/>
                <w:b/>
                <w:sz w:val="18"/>
                <w:szCs w:val="18"/>
              </w:rPr>
              <w:t>18 % gouvernance</w:t>
            </w:r>
            <w:r w:rsidRPr="00E967D3">
              <w:rPr>
                <w:rFonts w:asciiTheme="minorHAnsi" w:hAnsiTheme="minorHAnsi" w:cstheme="minorHAnsi"/>
                <w:sz w:val="18"/>
                <w:szCs w:val="18"/>
              </w:rPr>
              <w:t xml:space="preserve">, </w:t>
            </w:r>
            <w:r w:rsidRPr="00E967D3">
              <w:rPr>
                <w:rFonts w:asciiTheme="minorHAnsi" w:hAnsiTheme="minorHAnsi" w:cstheme="minorHAnsi"/>
                <w:b/>
                <w:sz w:val="18"/>
                <w:szCs w:val="18"/>
              </w:rPr>
              <w:t>16 % renforcement des capacités</w:t>
            </w:r>
            <w:r w:rsidRPr="00E967D3">
              <w:rPr>
                <w:rFonts w:asciiTheme="minorHAnsi" w:hAnsiTheme="minorHAnsi" w:cstheme="minorHAnsi"/>
                <w:sz w:val="18"/>
                <w:szCs w:val="18"/>
              </w:rPr>
              <w:t>.</w:t>
            </w:r>
          </w:p>
        </w:tc>
      </w:tr>
      <w:tr w:rsidR="00A57561" w14:paraId="4F20DA98" w14:textId="77777777" w:rsidTr="008A7835">
        <w:tc>
          <w:tcPr>
            <w:tcW w:w="933" w:type="pct"/>
            <w:vAlign w:val="center"/>
          </w:tcPr>
          <w:p w14:paraId="24379F59" w14:textId="1E5D8FE6" w:rsidR="00A57561" w:rsidRPr="00E967D3" w:rsidRDefault="00887B67"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lang w:eastAsia="en-US"/>
              </w:rPr>
              <w:t>Stratégie Nationale de Sécurité Alimentaire (SNSA)</w:t>
            </w:r>
          </w:p>
        </w:tc>
        <w:tc>
          <w:tcPr>
            <w:tcW w:w="1245" w:type="pct"/>
            <w:vAlign w:val="center"/>
          </w:tcPr>
          <w:p w14:paraId="04E8E11E" w14:textId="34D04EF7" w:rsidR="00A57561" w:rsidRPr="00E967D3" w:rsidRDefault="00562716" w:rsidP="008A7835">
            <w:pPr>
              <w:jc w:val="both"/>
              <w:rPr>
                <w:rFonts w:asciiTheme="minorHAnsi" w:hAnsiTheme="minorHAnsi" w:cstheme="minorHAnsi"/>
                <w:sz w:val="18"/>
                <w:szCs w:val="18"/>
                <w:highlight w:val="yellow"/>
                <w:lang w:eastAsia="en-US"/>
              </w:rPr>
            </w:pPr>
            <w:r w:rsidRPr="00E967D3">
              <w:rPr>
                <w:rFonts w:asciiTheme="minorHAnsi" w:hAnsiTheme="minorHAnsi" w:cstheme="minorHAnsi"/>
                <w:sz w:val="18"/>
                <w:szCs w:val="18"/>
                <w:lang w:eastAsia="en-US"/>
              </w:rPr>
              <w:t>L’objectif</w:t>
            </w:r>
            <w:r w:rsidR="00F54379" w:rsidRPr="00E967D3">
              <w:rPr>
                <w:rFonts w:asciiTheme="minorHAnsi" w:hAnsiTheme="minorHAnsi" w:cstheme="minorHAnsi"/>
                <w:sz w:val="18"/>
                <w:szCs w:val="18"/>
                <w:lang w:eastAsia="en-US"/>
              </w:rPr>
              <w:t xml:space="preserve"> est d’assurer l’accès de tous les </w:t>
            </w:r>
            <w:r w:rsidRPr="00E967D3">
              <w:rPr>
                <w:rFonts w:asciiTheme="minorHAnsi" w:hAnsiTheme="minorHAnsi" w:cstheme="minorHAnsi"/>
                <w:sz w:val="18"/>
                <w:szCs w:val="18"/>
                <w:lang w:eastAsia="en-US"/>
              </w:rPr>
              <w:t>Maliens</w:t>
            </w:r>
            <w:r w:rsidR="00F54379" w:rsidRPr="00E967D3">
              <w:rPr>
                <w:rFonts w:asciiTheme="minorHAnsi" w:hAnsiTheme="minorHAnsi" w:cstheme="minorHAnsi"/>
                <w:sz w:val="18"/>
                <w:szCs w:val="18"/>
                <w:lang w:eastAsia="en-US"/>
              </w:rPr>
              <w:t xml:space="preserve">, à tout moment, aux aliments nécessaires pour mener une vie saine et active. Pour atteindre ces objectifs, les lignes d’intervention de la SNSA couvrent la plupart des priorités du développement agricole et y ajoute un </w:t>
            </w:r>
            <w:r w:rsidR="00F54379" w:rsidRPr="00E967D3">
              <w:rPr>
                <w:rFonts w:asciiTheme="minorHAnsi" w:hAnsiTheme="minorHAnsi" w:cstheme="minorHAnsi"/>
                <w:sz w:val="18"/>
                <w:szCs w:val="18"/>
                <w:lang w:eastAsia="en-US"/>
              </w:rPr>
              <w:lastRenderedPageBreak/>
              <w:t>plan national de réponse (PNR) pour améliorer la prévention et la gestion des crises alimentaires conjoncturelles</w:t>
            </w:r>
          </w:p>
        </w:tc>
        <w:tc>
          <w:tcPr>
            <w:tcW w:w="1572" w:type="pct"/>
            <w:vAlign w:val="center"/>
          </w:tcPr>
          <w:p w14:paraId="045B85D1" w14:textId="77777777" w:rsidR="000B1D21" w:rsidRPr="00E967D3" w:rsidRDefault="000B1D21"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lastRenderedPageBreak/>
              <w:t xml:space="preserve">Prévention et gestion des crises alimentaires, </w:t>
            </w:r>
          </w:p>
          <w:p w14:paraId="3999EDF7" w14:textId="528AD24C" w:rsidR="000B1D21" w:rsidRPr="00E967D3" w:rsidRDefault="000B1D21"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Amélioration de la disponibilité alimentaire, </w:t>
            </w:r>
          </w:p>
          <w:p w14:paraId="10195C4C" w14:textId="57735EB2" w:rsidR="000B1D21" w:rsidRPr="00E967D3" w:rsidRDefault="000B1D21"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Renforcement de la résilience des ménages vulnérables, </w:t>
            </w:r>
          </w:p>
          <w:p w14:paraId="6F6FFCD6" w14:textId="77777777" w:rsidR="00FC4132" w:rsidRDefault="000B1D21"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Gestion des risques conjoncturels.</w:t>
            </w:r>
            <w:r w:rsidR="00FC4132">
              <w:rPr>
                <w:rFonts w:asciiTheme="minorHAnsi" w:hAnsiTheme="minorHAnsi" w:cstheme="minorHAnsi"/>
                <w:sz w:val="18"/>
                <w:szCs w:val="18"/>
              </w:rPr>
              <w:t xml:space="preserve"> </w:t>
            </w:r>
          </w:p>
          <w:p w14:paraId="7510EFD2" w14:textId="3B5CBA9D" w:rsidR="00A57561" w:rsidRPr="00E967D3" w:rsidRDefault="00FC4132"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FC4132">
              <w:rPr>
                <w:rFonts w:asciiTheme="minorHAnsi" w:hAnsiTheme="minorHAnsi" w:cstheme="minorHAnsi"/>
                <w:sz w:val="18"/>
                <w:szCs w:val="18"/>
              </w:rPr>
              <w:lastRenderedPageBreak/>
              <w:t>Instrument clé de résilience climatique en lien direct avec les chocs de sécheresse, inondations et volatilité des productions agricoles.</w:t>
            </w:r>
          </w:p>
        </w:tc>
        <w:tc>
          <w:tcPr>
            <w:tcW w:w="1250" w:type="pct"/>
            <w:vAlign w:val="center"/>
          </w:tcPr>
          <w:p w14:paraId="25CD46C6" w14:textId="77777777" w:rsidR="00A57561" w:rsidRPr="00E967D3" w:rsidRDefault="00A57561" w:rsidP="008A3661">
            <w:pPr>
              <w:pStyle w:val="Paragraphedeliste"/>
              <w:numPr>
                <w:ilvl w:val="0"/>
                <w:numId w:val="29"/>
              </w:numPr>
              <w:ind w:left="300" w:hanging="300"/>
              <w:jc w:val="both"/>
              <w:rPr>
                <w:rFonts w:asciiTheme="minorHAnsi" w:hAnsiTheme="minorHAnsi" w:cstheme="minorHAnsi"/>
                <w:sz w:val="18"/>
                <w:szCs w:val="18"/>
                <w:lang w:eastAsia="en-US"/>
              </w:rPr>
            </w:pPr>
          </w:p>
        </w:tc>
      </w:tr>
      <w:tr w:rsidR="00A57561" w14:paraId="34E9C2A2" w14:textId="77777777" w:rsidTr="008A7835">
        <w:tc>
          <w:tcPr>
            <w:tcW w:w="933" w:type="pct"/>
            <w:vAlign w:val="center"/>
          </w:tcPr>
          <w:p w14:paraId="0285B5FD" w14:textId="6460A2D3" w:rsidR="00A57561" w:rsidRPr="00E967D3" w:rsidRDefault="00FE6A4F"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lang w:eastAsia="en-US"/>
              </w:rPr>
              <w:t>Programme National d’Investissement Agricole 2015-2025</w:t>
            </w:r>
          </w:p>
        </w:tc>
        <w:tc>
          <w:tcPr>
            <w:tcW w:w="1245" w:type="pct"/>
            <w:vAlign w:val="center"/>
          </w:tcPr>
          <w:p w14:paraId="5EA363DB" w14:textId="78639A96" w:rsidR="00A57561" w:rsidRPr="00E967D3" w:rsidRDefault="00833F40" w:rsidP="008A7835">
            <w:pPr>
              <w:jc w:val="both"/>
              <w:rPr>
                <w:rFonts w:asciiTheme="minorHAnsi" w:hAnsiTheme="minorHAnsi" w:cstheme="minorHAnsi"/>
                <w:sz w:val="18"/>
                <w:szCs w:val="18"/>
                <w:highlight w:val="yellow"/>
                <w:lang w:eastAsia="en-US"/>
              </w:rPr>
            </w:pPr>
            <w:r w:rsidRPr="00E967D3">
              <w:rPr>
                <w:rFonts w:asciiTheme="minorHAnsi" w:hAnsiTheme="minorHAnsi" w:cstheme="minorHAnsi"/>
                <w:sz w:val="18"/>
                <w:szCs w:val="18"/>
                <w:lang w:eastAsia="en-US"/>
              </w:rPr>
              <w:t xml:space="preserve">Approuvé en 2014, il est le plan d’investissements prioritaires dans le secteur agricole en soutien de la PDA et des stratégies </w:t>
            </w:r>
            <w:r w:rsidR="00E54C69" w:rsidRPr="00E967D3">
              <w:rPr>
                <w:rFonts w:asciiTheme="minorHAnsi" w:hAnsiTheme="minorHAnsi" w:cstheme="minorHAnsi"/>
                <w:sz w:val="18"/>
                <w:szCs w:val="18"/>
                <w:lang w:eastAsia="en-US"/>
              </w:rPr>
              <w:t>sous-sectorielles</w:t>
            </w:r>
            <w:r w:rsidRPr="00E967D3">
              <w:rPr>
                <w:rFonts w:asciiTheme="minorHAnsi" w:hAnsiTheme="minorHAnsi" w:cstheme="minorHAnsi"/>
                <w:sz w:val="18"/>
                <w:szCs w:val="18"/>
                <w:lang w:eastAsia="en-US"/>
              </w:rPr>
              <w:t xml:space="preserve">.  </w:t>
            </w:r>
          </w:p>
        </w:tc>
        <w:tc>
          <w:tcPr>
            <w:tcW w:w="1572" w:type="pct"/>
            <w:vAlign w:val="center"/>
          </w:tcPr>
          <w:p w14:paraId="18289238" w14:textId="77777777" w:rsidR="00E54C69" w:rsidRPr="00E967D3" w:rsidRDefault="00E54C69"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Investissements productifs,</w:t>
            </w:r>
          </w:p>
          <w:p w14:paraId="36515D46" w14:textId="38A4D54E" w:rsidR="007D7005" w:rsidRPr="00E967D3" w:rsidRDefault="00E54C69"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 </w:t>
            </w:r>
            <w:r w:rsidR="002764CA" w:rsidRPr="00E967D3">
              <w:rPr>
                <w:rFonts w:asciiTheme="minorHAnsi" w:hAnsiTheme="minorHAnsi" w:cstheme="minorHAnsi"/>
                <w:sz w:val="18"/>
                <w:szCs w:val="18"/>
              </w:rPr>
              <w:t>Aménagements</w:t>
            </w:r>
            <w:r w:rsidRPr="00E967D3">
              <w:rPr>
                <w:rFonts w:asciiTheme="minorHAnsi" w:hAnsiTheme="minorHAnsi" w:cstheme="minorHAnsi"/>
                <w:sz w:val="18"/>
                <w:szCs w:val="18"/>
              </w:rPr>
              <w:t xml:space="preserve"> agricoles,</w:t>
            </w:r>
          </w:p>
          <w:p w14:paraId="04266752" w14:textId="2CF1CC27" w:rsidR="007D7005" w:rsidRPr="00E967D3" w:rsidRDefault="00E54C69"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 </w:t>
            </w:r>
            <w:r w:rsidR="002764CA" w:rsidRPr="00E967D3">
              <w:rPr>
                <w:rFonts w:asciiTheme="minorHAnsi" w:hAnsiTheme="minorHAnsi" w:cstheme="minorHAnsi"/>
                <w:sz w:val="18"/>
                <w:szCs w:val="18"/>
              </w:rPr>
              <w:t>Infrastructures</w:t>
            </w:r>
            <w:r w:rsidRPr="00E967D3">
              <w:rPr>
                <w:rFonts w:asciiTheme="minorHAnsi" w:hAnsiTheme="minorHAnsi" w:cstheme="minorHAnsi"/>
                <w:sz w:val="18"/>
                <w:szCs w:val="18"/>
              </w:rPr>
              <w:t xml:space="preserve">, intrants, équipements, crédit agricole, </w:t>
            </w:r>
          </w:p>
          <w:p w14:paraId="527BA57A" w14:textId="77777777" w:rsidR="00FC4132" w:rsidRDefault="002764CA"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Compétitivité</w:t>
            </w:r>
            <w:r w:rsidR="00E54C69" w:rsidRPr="00E967D3">
              <w:rPr>
                <w:rFonts w:asciiTheme="minorHAnsi" w:hAnsiTheme="minorHAnsi" w:cstheme="minorHAnsi"/>
                <w:sz w:val="18"/>
                <w:szCs w:val="18"/>
              </w:rPr>
              <w:t xml:space="preserve"> des filières végétales, animales, pêche et aquaculture.</w:t>
            </w:r>
            <w:r w:rsidR="00FC4132">
              <w:rPr>
                <w:rFonts w:asciiTheme="minorHAnsi" w:hAnsiTheme="minorHAnsi" w:cstheme="minorHAnsi"/>
                <w:sz w:val="18"/>
                <w:szCs w:val="18"/>
              </w:rPr>
              <w:t xml:space="preserve"> </w:t>
            </w:r>
          </w:p>
          <w:p w14:paraId="3D3AA433" w14:textId="3F4EF0E0" w:rsidR="00A57561" w:rsidRPr="00E967D3" w:rsidRDefault="00FC4132"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FC4132">
              <w:rPr>
                <w:rFonts w:asciiTheme="minorHAnsi" w:hAnsiTheme="minorHAnsi" w:cstheme="minorHAnsi"/>
                <w:sz w:val="18"/>
                <w:szCs w:val="18"/>
              </w:rPr>
              <w:t>Forte opportunité d’orientation vers les investissements climato-intelligents et résilients dans la CDN 3.0.</w:t>
            </w:r>
          </w:p>
        </w:tc>
        <w:tc>
          <w:tcPr>
            <w:tcW w:w="1250" w:type="pct"/>
            <w:vAlign w:val="center"/>
          </w:tcPr>
          <w:p w14:paraId="0DBA08A1" w14:textId="661BEBDA" w:rsidR="00A57561" w:rsidRPr="00E967D3" w:rsidRDefault="00E54C69" w:rsidP="008A3661">
            <w:pPr>
              <w:pStyle w:val="Paragraphedeliste"/>
              <w:numPr>
                <w:ilvl w:val="0"/>
                <w:numId w:val="29"/>
              </w:numPr>
              <w:ind w:left="300" w:hanging="30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Objectif de </w:t>
            </w:r>
            <w:r w:rsidRPr="00E967D3">
              <w:rPr>
                <w:rFonts w:asciiTheme="minorHAnsi" w:hAnsiTheme="minorHAnsi" w:cstheme="minorHAnsi"/>
                <w:b/>
                <w:sz w:val="18"/>
                <w:szCs w:val="18"/>
              </w:rPr>
              <w:t>6 % de croissance annuelle du secteur agricole</w:t>
            </w:r>
            <w:r w:rsidRPr="00E967D3">
              <w:rPr>
                <w:rFonts w:asciiTheme="minorHAnsi" w:hAnsiTheme="minorHAnsi" w:cstheme="minorHAnsi"/>
                <w:sz w:val="18"/>
                <w:szCs w:val="18"/>
              </w:rPr>
              <w:t xml:space="preserve"> ; coût total évalué à </w:t>
            </w:r>
            <w:r w:rsidRPr="00E967D3">
              <w:rPr>
                <w:rFonts w:asciiTheme="minorHAnsi" w:hAnsiTheme="minorHAnsi" w:cstheme="minorHAnsi"/>
                <w:b/>
                <w:sz w:val="18"/>
                <w:szCs w:val="18"/>
              </w:rPr>
              <w:t>6 951 milliards FCFA</w:t>
            </w:r>
            <w:r w:rsidRPr="00E967D3">
              <w:rPr>
                <w:rFonts w:asciiTheme="minorHAnsi" w:hAnsiTheme="minorHAnsi" w:cstheme="minorHAnsi"/>
                <w:sz w:val="18"/>
                <w:szCs w:val="18"/>
              </w:rPr>
              <w:t xml:space="preserve"> sur 2015-2024, soit environ </w:t>
            </w:r>
            <w:r w:rsidRPr="00E967D3">
              <w:rPr>
                <w:rFonts w:asciiTheme="minorHAnsi" w:hAnsiTheme="minorHAnsi" w:cstheme="minorHAnsi"/>
                <w:b/>
                <w:sz w:val="18"/>
                <w:szCs w:val="18"/>
              </w:rPr>
              <w:t>695 milliards FCFA/an</w:t>
            </w:r>
            <w:r w:rsidRPr="00E967D3">
              <w:rPr>
                <w:rFonts w:asciiTheme="minorHAnsi" w:hAnsiTheme="minorHAnsi" w:cstheme="minorHAnsi"/>
                <w:sz w:val="18"/>
                <w:szCs w:val="18"/>
              </w:rPr>
              <w:t>.</w:t>
            </w:r>
          </w:p>
        </w:tc>
      </w:tr>
      <w:tr w:rsidR="00EB136A" w14:paraId="7A1A7597" w14:textId="77777777" w:rsidTr="008A7835">
        <w:tc>
          <w:tcPr>
            <w:tcW w:w="933" w:type="pct"/>
            <w:vAlign w:val="center"/>
          </w:tcPr>
          <w:p w14:paraId="60A53F96" w14:textId="7ED6300B" w:rsidR="00697FEF" w:rsidRPr="00E967D3" w:rsidRDefault="00697FEF"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lang w:eastAsia="en-US"/>
              </w:rPr>
              <w:t xml:space="preserve">Politique nationale de développement de la pèche et de l’aquaculture au </w:t>
            </w:r>
            <w:r w:rsidR="003A206D" w:rsidRPr="00E967D3">
              <w:rPr>
                <w:rFonts w:asciiTheme="minorHAnsi" w:hAnsiTheme="minorHAnsi" w:cstheme="minorHAnsi"/>
                <w:sz w:val="18"/>
                <w:szCs w:val="18"/>
                <w:lang w:eastAsia="en-US"/>
              </w:rPr>
              <w:t>M</w:t>
            </w:r>
            <w:r w:rsidRPr="00E967D3">
              <w:rPr>
                <w:rFonts w:asciiTheme="minorHAnsi" w:hAnsiTheme="minorHAnsi" w:cstheme="minorHAnsi"/>
                <w:sz w:val="18"/>
                <w:szCs w:val="18"/>
                <w:lang w:eastAsia="en-US"/>
              </w:rPr>
              <w:t>ali</w:t>
            </w:r>
          </w:p>
          <w:p w14:paraId="621D6911" w14:textId="3E854365" w:rsidR="00EB136A" w:rsidRPr="00E967D3" w:rsidRDefault="00EB136A" w:rsidP="008A7835">
            <w:pPr>
              <w:jc w:val="both"/>
              <w:rPr>
                <w:rFonts w:asciiTheme="minorHAnsi" w:hAnsiTheme="minorHAnsi" w:cstheme="minorHAnsi"/>
                <w:sz w:val="18"/>
                <w:szCs w:val="18"/>
                <w:lang w:eastAsia="en-US"/>
              </w:rPr>
            </w:pPr>
          </w:p>
        </w:tc>
        <w:tc>
          <w:tcPr>
            <w:tcW w:w="1245" w:type="pct"/>
            <w:vAlign w:val="center"/>
          </w:tcPr>
          <w:p w14:paraId="1D54A3BE" w14:textId="412BE3E8" w:rsidR="00EB136A" w:rsidRPr="00E967D3" w:rsidRDefault="008005E4" w:rsidP="008A7835">
            <w:pPr>
              <w:jc w:val="both"/>
              <w:rPr>
                <w:rFonts w:asciiTheme="minorHAnsi" w:hAnsiTheme="minorHAnsi" w:cstheme="minorHAnsi"/>
                <w:sz w:val="18"/>
                <w:szCs w:val="18"/>
                <w:lang w:eastAsia="en-US"/>
              </w:rPr>
            </w:pPr>
            <w:r w:rsidRPr="00E967D3">
              <w:rPr>
                <w:rFonts w:asciiTheme="minorHAnsi" w:hAnsiTheme="minorHAnsi" w:cstheme="minorHAnsi"/>
                <w:sz w:val="18"/>
                <w:szCs w:val="18"/>
              </w:rPr>
              <w:t>Cadre de développement durable des ressources halieutiques et aquacoles, visant à améliorer la production, la sécurité alimentaire, les revenus et l’emploi.</w:t>
            </w:r>
          </w:p>
        </w:tc>
        <w:tc>
          <w:tcPr>
            <w:tcW w:w="1572" w:type="pct"/>
            <w:vAlign w:val="center"/>
          </w:tcPr>
          <w:p w14:paraId="591D3558" w14:textId="77777777" w:rsidR="008005E4" w:rsidRPr="00E967D3" w:rsidRDefault="008005E4"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Gestion durable des plans d’eau,</w:t>
            </w:r>
          </w:p>
          <w:p w14:paraId="33EB4ADC" w14:textId="7EE0DCFA" w:rsidR="008005E4" w:rsidRPr="00E967D3" w:rsidRDefault="008005E4"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Développement de l’aquaculture extensive et semi-intensive, </w:t>
            </w:r>
          </w:p>
          <w:p w14:paraId="77ACCC14" w14:textId="0A0E3F01" w:rsidR="008005E4" w:rsidRPr="00E967D3" w:rsidRDefault="008005E4"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Protection des écosystèmes aquatiques,</w:t>
            </w:r>
          </w:p>
          <w:p w14:paraId="12029B0B" w14:textId="77777777" w:rsidR="00FC4132" w:rsidRDefault="008005E4"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E967D3">
              <w:rPr>
                <w:rFonts w:asciiTheme="minorHAnsi" w:hAnsiTheme="minorHAnsi" w:cstheme="minorHAnsi"/>
                <w:sz w:val="18"/>
                <w:szCs w:val="18"/>
              </w:rPr>
              <w:t>Adaptation aux variations hydrologiques et climatiques.</w:t>
            </w:r>
            <w:r w:rsidR="00FC4132">
              <w:rPr>
                <w:rFonts w:asciiTheme="minorHAnsi" w:hAnsiTheme="minorHAnsi" w:cstheme="minorHAnsi"/>
                <w:sz w:val="18"/>
                <w:szCs w:val="18"/>
              </w:rPr>
              <w:t xml:space="preserve"> </w:t>
            </w:r>
          </w:p>
          <w:p w14:paraId="531A7F72" w14:textId="221B7274" w:rsidR="00EB136A" w:rsidRPr="00E967D3" w:rsidRDefault="00FC4132" w:rsidP="008A3661">
            <w:pPr>
              <w:pStyle w:val="Paragraphedeliste"/>
              <w:numPr>
                <w:ilvl w:val="0"/>
                <w:numId w:val="29"/>
              </w:numPr>
              <w:ind w:left="245" w:hanging="245"/>
              <w:contextualSpacing w:val="0"/>
              <w:jc w:val="both"/>
              <w:rPr>
                <w:rFonts w:asciiTheme="minorHAnsi" w:hAnsiTheme="minorHAnsi" w:cstheme="minorHAnsi"/>
                <w:sz w:val="18"/>
                <w:szCs w:val="18"/>
                <w:lang w:eastAsia="en-US"/>
              </w:rPr>
            </w:pPr>
            <w:r w:rsidRPr="00FC4132">
              <w:rPr>
                <w:rFonts w:asciiTheme="minorHAnsi" w:hAnsiTheme="minorHAnsi" w:cstheme="minorHAnsi"/>
                <w:sz w:val="18"/>
                <w:szCs w:val="18"/>
              </w:rPr>
              <w:t>Secteur fortement exposé à la variabilité hydrologique du Niger et à la pression climatique sur les écosystèmes aquatiques.</w:t>
            </w:r>
          </w:p>
        </w:tc>
        <w:tc>
          <w:tcPr>
            <w:tcW w:w="1250" w:type="pct"/>
            <w:vAlign w:val="center"/>
          </w:tcPr>
          <w:p w14:paraId="3A9826EF" w14:textId="7E2B5D6B" w:rsidR="00EB136A" w:rsidRPr="00E967D3" w:rsidRDefault="008005E4" w:rsidP="008A3661">
            <w:pPr>
              <w:pStyle w:val="Paragraphedeliste"/>
              <w:numPr>
                <w:ilvl w:val="0"/>
                <w:numId w:val="29"/>
              </w:numPr>
              <w:ind w:left="300" w:hanging="300"/>
              <w:jc w:val="both"/>
              <w:rPr>
                <w:rFonts w:asciiTheme="minorHAnsi" w:hAnsiTheme="minorHAnsi" w:cstheme="minorHAnsi"/>
                <w:sz w:val="18"/>
                <w:szCs w:val="18"/>
                <w:lang w:eastAsia="en-US"/>
              </w:rPr>
            </w:pPr>
            <w:r w:rsidRPr="00E967D3">
              <w:rPr>
                <w:rFonts w:asciiTheme="minorHAnsi" w:hAnsiTheme="minorHAnsi" w:cstheme="minorHAnsi"/>
                <w:sz w:val="18"/>
                <w:szCs w:val="18"/>
              </w:rPr>
              <w:t xml:space="preserve">La demande nationale est estimée à environ </w:t>
            </w:r>
            <w:r w:rsidRPr="00E967D3">
              <w:rPr>
                <w:rFonts w:asciiTheme="minorHAnsi" w:hAnsiTheme="minorHAnsi" w:cstheme="minorHAnsi"/>
                <w:b/>
                <w:sz w:val="18"/>
                <w:szCs w:val="18"/>
              </w:rPr>
              <w:t>200 000 tonnes/an</w:t>
            </w:r>
            <w:r w:rsidRPr="00E967D3">
              <w:rPr>
                <w:rFonts w:asciiTheme="minorHAnsi" w:hAnsiTheme="minorHAnsi" w:cstheme="minorHAnsi"/>
                <w:sz w:val="18"/>
                <w:szCs w:val="18"/>
              </w:rPr>
              <w:t xml:space="preserve"> ; les captures sont autour de </w:t>
            </w:r>
            <w:r w:rsidRPr="00E967D3">
              <w:rPr>
                <w:rFonts w:asciiTheme="minorHAnsi" w:hAnsiTheme="minorHAnsi" w:cstheme="minorHAnsi"/>
                <w:b/>
                <w:sz w:val="18"/>
                <w:szCs w:val="18"/>
              </w:rPr>
              <w:t>100 000 tonnes/an</w:t>
            </w:r>
            <w:r w:rsidRPr="00E967D3">
              <w:rPr>
                <w:rFonts w:asciiTheme="minorHAnsi" w:hAnsiTheme="minorHAnsi" w:cstheme="minorHAnsi"/>
                <w:sz w:val="18"/>
                <w:szCs w:val="18"/>
              </w:rPr>
              <w:t xml:space="preserve"> et l’aquaculture environ </w:t>
            </w:r>
            <w:r w:rsidRPr="00E967D3">
              <w:rPr>
                <w:rFonts w:asciiTheme="minorHAnsi" w:hAnsiTheme="minorHAnsi" w:cstheme="minorHAnsi"/>
                <w:b/>
                <w:sz w:val="18"/>
                <w:szCs w:val="18"/>
              </w:rPr>
              <w:t>5 000 tonnes/an</w:t>
            </w:r>
            <w:r w:rsidRPr="00E967D3">
              <w:rPr>
                <w:rFonts w:asciiTheme="minorHAnsi" w:hAnsiTheme="minorHAnsi" w:cstheme="minorHAnsi"/>
                <w:sz w:val="18"/>
                <w:szCs w:val="18"/>
              </w:rPr>
              <w:t xml:space="preserve"> selon la revue sectorielle.</w:t>
            </w:r>
          </w:p>
        </w:tc>
      </w:tr>
    </w:tbl>
    <w:p w14:paraId="61114F41" w14:textId="02C45A3B" w:rsidR="00D6270F" w:rsidRPr="00A86575" w:rsidRDefault="00D6270F" w:rsidP="00A2004A">
      <w:pPr>
        <w:spacing w:before="240"/>
        <w:jc w:val="both"/>
      </w:pPr>
      <w:r w:rsidRPr="00D6270F">
        <w:t xml:space="preserve">Le secteur agricole est principalement abordé sous l'angle de l'adaptation, mais il offre également des </w:t>
      </w:r>
      <w:r w:rsidRPr="00D6270F">
        <w:rPr>
          <w:b/>
          <w:bCs/>
        </w:rPr>
        <w:t>opportunités significatives en matière d'atténuation</w:t>
      </w:r>
      <w:r w:rsidRPr="00D6270F">
        <w:t>. Les leviers les plus pertinents concernent la gestion durable des terres, les pratiques agroécologiques, la restauration de la fertilité des sols, le recours aux engrais organiques et le placement profond des engrais chimiques, la valorisation des résidus agricoles ainsi que l'amélioration de la gestion de l'eau en riziculture. La SNCC mentionne explicitement la réduction des émissions de méthane dans les périmètres rizicoles par l'amélioration du drainage, la valorisation des résidus agricoles comme source de biomasse et la diffusion du compostage.</w:t>
      </w:r>
      <w:r w:rsidR="00FC4132" w:rsidRPr="00FC4132">
        <w:t xml:space="preserve"> Ces options constituent des leviers à fort potentiel de réduction des émissions tout en générant des co-bénéfices importants en matière de productivité agricole, de sécurité alimentaire et de restauration des sols dégradés.</w:t>
      </w:r>
    </w:p>
    <w:p w14:paraId="0883545E" w14:textId="08DB383B" w:rsidR="00A86575" w:rsidRDefault="00A86575" w:rsidP="00A86575">
      <w:pPr>
        <w:jc w:val="both"/>
      </w:pPr>
      <w:r w:rsidRPr="00A86575">
        <w:t>Dans l’élevage, l’atténuation peut être recherchée à travers l’amélioration de l’alimentation animale, la gestion durable des parcours, la régénération des pâturages, la valorisation des déchets animaux, la réduction de la pression sur les ressources naturelles et l’amélioration de la productivité des troupeaux. Ces mesures peuvent réduire l’intensité des émissions par unité de produit tout en renforçant la résilience des systèmes pastoraux.</w:t>
      </w:r>
      <w:r w:rsidR="00FC4132">
        <w:t xml:space="preserve"> </w:t>
      </w:r>
      <w:r w:rsidR="00FC4132" w:rsidRPr="00FC4132">
        <w:t>Elles contribuent également à limiter les émissions de méthane entérique et à améliorer l’efficacité des systèmes d’élevage extensifs, qui constituent une source majeure d’émissions dans le bilan national.</w:t>
      </w:r>
    </w:p>
    <w:p w14:paraId="7555CC5C" w14:textId="1DA95E84" w:rsidR="002E26A5" w:rsidRDefault="002E26A5" w:rsidP="00A86575">
      <w:pPr>
        <w:jc w:val="both"/>
      </w:pPr>
      <w:r w:rsidRPr="002E26A5">
        <w:t xml:space="preserve">Dans le secteur de la pêche et de l'aquaculture, le potentiel d'atténuation est plus modeste en volume mais mobilise plusieurs leviers concrets : développement d'une aquaculture durable, réduction des pertes post-capture, amélioration des procédés de conservation, recours à des </w:t>
      </w:r>
      <w:r w:rsidRPr="002E26A5">
        <w:lastRenderedPageBreak/>
        <w:t>équipements sobres en énergie, protection des zones humides et reboisement des bassins versants. La PDA prévoit à cet égard l'aménagement des mares, bassins et stations aquacoles, la modernisation des pêcheries ainsi que l'amélioration des structures de transformation, de conservation et de commercialisation.</w:t>
      </w:r>
      <w:r w:rsidR="00FC4132">
        <w:t xml:space="preserve"> </w:t>
      </w:r>
      <w:r w:rsidR="00FC4132" w:rsidRPr="00FC4132">
        <w:t>Ces interventions contribuent également à réduire les pertes alimentaires et à améliorer l’efficacité des chaînes de valeur, ce qui a des effets indirects positifs sur les émissions de gaz à effet de serre.</w:t>
      </w:r>
    </w:p>
    <w:p w14:paraId="195C93E7" w14:textId="77777777" w:rsidR="00FC4132" w:rsidRPr="00FC4132" w:rsidRDefault="00ED0C8B" w:rsidP="00FC4132">
      <w:pPr>
        <w:jc w:val="both"/>
      </w:pPr>
      <w:r>
        <w:t>L</w:t>
      </w:r>
      <w:r w:rsidRPr="00ED0C8B">
        <w:t xml:space="preserve">a </w:t>
      </w:r>
      <w:r w:rsidRPr="00ED0C8B">
        <w:rPr>
          <w:b/>
          <w:bCs/>
        </w:rPr>
        <w:t>Vision Mali 2063</w:t>
      </w:r>
      <w:r w:rsidRPr="00ED0C8B">
        <w:t xml:space="preserve"> et de la </w:t>
      </w:r>
      <w:r w:rsidRPr="00ED0C8B">
        <w:rPr>
          <w:b/>
          <w:bCs/>
        </w:rPr>
        <w:t>SNEDD 2024-2033</w:t>
      </w:r>
      <w:r w:rsidRPr="00ED0C8B">
        <w:t xml:space="preserve"> permet</w:t>
      </w:r>
      <w:r>
        <w:t>tent</w:t>
      </w:r>
      <w:r w:rsidRPr="00ED0C8B">
        <w:t xml:space="preserve"> de repositionner la CDN 3.0 comme un outil de transformation économique verte, et non uniquement comme un document climatique. Pour les secteurs agriculture, élevage et pêche, la priorité reste l’adaptation, mais la CDN 3.0 doit mieux valoriser les </w:t>
      </w:r>
      <w:r w:rsidRPr="00ED0C8B">
        <w:rPr>
          <w:b/>
          <w:bCs/>
        </w:rPr>
        <w:t>co-bénéfices d’atténuation</w:t>
      </w:r>
      <w:r w:rsidRPr="00ED0C8B">
        <w:t>, notamment à travers la gestion durable des terres, la riziculture bas-carbone, l’agroécologie, les engrais organiques, la valorisation des résidus agricoles et animaux, et la restauration des écosystèmes productifs</w:t>
      </w:r>
      <w:r w:rsidRPr="00A66239">
        <w:t>.</w:t>
      </w:r>
      <w:r w:rsidR="00FC4132" w:rsidRPr="00A66239">
        <w:t xml:space="preserve"> Cette approche intégrée permet de faire de l’agriculture un levier central de la transition climatique du Mali, combinant sécurité alimentaire, résilience des systèmes de production et réduction progressive de l’intensité carbone du secteur.</w:t>
      </w:r>
    </w:p>
    <w:p w14:paraId="6F71DB8F" w14:textId="0FA2CD27" w:rsidR="00ED0C8B" w:rsidRDefault="00ED0C8B" w:rsidP="00ED0C8B">
      <w:pPr>
        <w:jc w:val="both"/>
      </w:pPr>
    </w:p>
    <w:tbl>
      <w:tblPr>
        <w:tblStyle w:val="Grilledutableau"/>
        <w:tblW w:w="0" w:type="auto"/>
        <w:shd w:val="clear" w:color="auto" w:fill="DEEAF6" w:themeFill="accent1" w:themeFillTint="33"/>
        <w:tblLook w:val="04A0" w:firstRow="1" w:lastRow="0" w:firstColumn="1" w:lastColumn="0" w:noHBand="0" w:noVBand="1"/>
      </w:tblPr>
      <w:tblGrid>
        <w:gridCol w:w="13018"/>
      </w:tblGrid>
      <w:tr w:rsidR="000459AE" w14:paraId="2258F468" w14:textId="77777777" w:rsidTr="000459AE">
        <w:tc>
          <w:tcPr>
            <w:tcW w:w="13018" w:type="dxa"/>
            <w:shd w:val="clear" w:color="auto" w:fill="DEEAF6" w:themeFill="accent1" w:themeFillTint="33"/>
          </w:tcPr>
          <w:p w14:paraId="52CAF9C3" w14:textId="77777777" w:rsidR="000459AE" w:rsidRPr="000459AE" w:rsidRDefault="000459AE" w:rsidP="000459AE">
            <w:pPr>
              <w:spacing w:before="120" w:after="120"/>
              <w:jc w:val="both"/>
            </w:pPr>
            <w:r w:rsidRPr="000459AE">
              <w:t>Sur la base de la revue sectorielle conduite, les éléments suivants devront être intégrés dans la CDN 3.0 :</w:t>
            </w:r>
          </w:p>
          <w:p w14:paraId="4FDC9A69" w14:textId="74BED940" w:rsidR="000459AE" w:rsidRPr="000459AE" w:rsidRDefault="000459AE" w:rsidP="008A3661">
            <w:pPr>
              <w:numPr>
                <w:ilvl w:val="0"/>
                <w:numId w:val="46"/>
              </w:numPr>
              <w:spacing w:before="120" w:after="120"/>
              <w:jc w:val="both"/>
            </w:pPr>
            <w:r w:rsidRPr="000459AE">
              <w:rPr>
                <w:b/>
                <w:bCs/>
              </w:rPr>
              <w:t>Riziculture bas-carbone et gestion améliorée de l’eau</w:t>
            </w:r>
            <w:r w:rsidRPr="000459AE">
              <w:t xml:space="preserve"> : mise à l’échelle du Système de Riziculture Intensif (SRI), promotion de l’irrigation intermittente et amélioration du drainage des rizières afin de réduire les émissions de méthane (CH₄), tout en améliorant les rendements, l’efficience hydrique et la résilience des producteurs. </w:t>
            </w:r>
            <w:r w:rsidR="00FC4132" w:rsidRPr="00FC4132">
              <w:t>Ces approches permettent également de sécuriser la production face à la variabilité hydrologique et de réduire la dépendance à une irrigation continue fortement consommatrice d’eau.</w:t>
            </w:r>
          </w:p>
          <w:p w14:paraId="5D1C8F8D" w14:textId="6B3634F7" w:rsidR="000459AE" w:rsidRPr="000459AE" w:rsidRDefault="000459AE" w:rsidP="008A3661">
            <w:pPr>
              <w:numPr>
                <w:ilvl w:val="0"/>
                <w:numId w:val="46"/>
              </w:numPr>
              <w:spacing w:before="120" w:after="120"/>
              <w:jc w:val="both"/>
            </w:pPr>
            <w:r w:rsidRPr="000459AE">
              <w:rPr>
                <w:b/>
                <w:bCs/>
              </w:rPr>
              <w:t>Gestion durable de la fertilité des sols et réduction des émissions de N₂O</w:t>
            </w:r>
            <w:r w:rsidRPr="000459AE">
              <w:t xml:space="preserve"> : promotion de la fumure organique, du compostage, du placement profond des engrais chimiques et de l’utilisation raisonnée de l’urée, afin de réduire les pertes d’azote, limiter les émissions de protoxyde d’azote (N₂O) et améliorer durablement la qualité des sols. </w:t>
            </w:r>
            <w:r w:rsidR="00FC4132">
              <w:t xml:space="preserve"> </w:t>
            </w:r>
            <w:r w:rsidR="00FC4132" w:rsidRPr="00FC4132">
              <w:t>Ces pratiques contribuent aussi à restaurer la capacité productive des sols dégradés et à réduire la dépendance aux intrants importés.</w:t>
            </w:r>
          </w:p>
          <w:p w14:paraId="2BBBF329" w14:textId="53B01289" w:rsidR="000459AE" w:rsidRPr="000459AE" w:rsidRDefault="000459AE" w:rsidP="008A3661">
            <w:pPr>
              <w:numPr>
                <w:ilvl w:val="0"/>
                <w:numId w:val="46"/>
              </w:numPr>
              <w:spacing w:before="120" w:after="120"/>
              <w:jc w:val="both"/>
            </w:pPr>
            <w:r w:rsidRPr="000459AE">
              <w:rPr>
                <w:b/>
                <w:bCs/>
              </w:rPr>
              <w:t>Agroécologie, restauration des terres et séquestration du carbone</w:t>
            </w:r>
            <w:r w:rsidRPr="000459AE">
              <w:t xml:space="preserve"> : développement des systèmes de culture agroécologiques, protection des sols, restauration des terres dégradées et gestion durable des paysages agricoles, afin d’accroître le stockage du carbone dans les sols et la biomasse tout en renforçant la résilience des exploitations. </w:t>
            </w:r>
            <w:r w:rsidR="00FC4132" w:rsidRPr="00FC4132">
              <w:t>Ces interventions constituent un levier majeur de co-bénéfices climat–biodiversité–sécurité alimentaire, notamment dans les zones fortement affectées par la dégradation des terres.</w:t>
            </w:r>
          </w:p>
          <w:p w14:paraId="646C24B0" w14:textId="67E0F570" w:rsidR="000459AE" w:rsidRPr="000459AE" w:rsidRDefault="000459AE" w:rsidP="008A3661">
            <w:pPr>
              <w:numPr>
                <w:ilvl w:val="0"/>
                <w:numId w:val="46"/>
              </w:numPr>
              <w:spacing w:before="120" w:after="120"/>
              <w:jc w:val="both"/>
            </w:pPr>
            <w:r w:rsidRPr="000459AE">
              <w:rPr>
                <w:b/>
                <w:bCs/>
              </w:rPr>
              <w:t>Élevage et pastoralisme résilients à faible intensité carbone</w:t>
            </w:r>
            <w:r w:rsidRPr="000459AE">
              <w:t xml:space="preserve"> : amélioration de l’alimentation animale, régénération des pâturages, gestion durable des parcours, valorisation des déchets animaux et amélioration de la productivité des troupeaux, afin de réduire l’intensité des émissions de méthane par unité de production animale. </w:t>
            </w:r>
            <w:r w:rsidR="00FC4132" w:rsidRPr="00FC4132">
              <w:t>Ces mesures contribuent également à réduire la pression sur les ressources naturelles et à limiter les conflits liés à l’accès aux pâturages et aux points d’eau.</w:t>
            </w:r>
          </w:p>
          <w:p w14:paraId="23C86801" w14:textId="732FB17E" w:rsidR="000459AE" w:rsidRPr="000459AE" w:rsidRDefault="000459AE" w:rsidP="008A3661">
            <w:pPr>
              <w:numPr>
                <w:ilvl w:val="0"/>
                <w:numId w:val="46"/>
              </w:numPr>
              <w:spacing w:before="120" w:after="120"/>
              <w:jc w:val="both"/>
            </w:pPr>
            <w:r w:rsidRPr="000459AE">
              <w:rPr>
                <w:b/>
                <w:bCs/>
              </w:rPr>
              <w:lastRenderedPageBreak/>
              <w:t>Pêche et aquaculture durables à co-bénéfices climatiques</w:t>
            </w:r>
            <w:r w:rsidRPr="000459AE">
              <w:t xml:space="preserve"> : développement d’une aquaculture résiliente, réduction des pertes post-capture, amélioration des techniques de conservation et de transformation, diffusion d’équipements sobres en énergie et protection des écosystèmes aquatiques et zones humides. </w:t>
            </w:r>
            <w:r w:rsidR="00FC4132" w:rsidRPr="00FC4132">
              <w:t>Ces actions renforcent la sécurité alimentaire et réduisent les pertes post-production, qui constituent un facteur indirect important d’inefficience du système alimentaire.</w:t>
            </w:r>
          </w:p>
          <w:p w14:paraId="7937FECD" w14:textId="77777777" w:rsidR="00FC4132" w:rsidRPr="00FC4132" w:rsidRDefault="000459AE" w:rsidP="00FC4132">
            <w:pPr>
              <w:numPr>
                <w:ilvl w:val="0"/>
                <w:numId w:val="46"/>
              </w:numPr>
              <w:spacing w:before="120" w:after="120"/>
              <w:jc w:val="both"/>
            </w:pPr>
            <w:r w:rsidRPr="000459AE">
              <w:rPr>
                <w:b/>
                <w:bCs/>
              </w:rPr>
              <w:t>MRV et quantification des émissions du secteur AFAT</w:t>
            </w:r>
            <w:r w:rsidRPr="000459AE">
              <w:t xml:space="preserve"> : mise en place d’un système robuste de collecte de données d’activité, développement de facteurs d’émission locaux, utilisation d’outils tels que EX-ACT, ALU Tool et IPCC Inventory Software, et quantification ex ante/ex post des réductions d’émissions pour chaque mesure inscrite dans la CDN 3.0.</w:t>
            </w:r>
            <w:r w:rsidR="00FC4132">
              <w:t xml:space="preserve"> </w:t>
            </w:r>
            <w:r w:rsidR="00FC4132" w:rsidRPr="00532CCE">
              <w:t>Ce dispositif est essentiel pour assurer la crédibilité, la transparence et la comparabilité internationale des engagements du Mali, ainsi que pour faciliter l’accès au financement climatique basé sur les résultats.</w:t>
            </w:r>
          </w:p>
          <w:p w14:paraId="7436F036" w14:textId="77777777" w:rsidR="00FC4132" w:rsidRPr="00FC4132" w:rsidRDefault="00FC4132" w:rsidP="00FC4132">
            <w:pPr>
              <w:numPr>
                <w:ilvl w:val="0"/>
                <w:numId w:val="46"/>
              </w:numPr>
              <w:spacing w:before="120" w:after="120"/>
              <w:jc w:val="both"/>
              <w:rPr>
                <w:vanish/>
              </w:rPr>
            </w:pPr>
            <w:r w:rsidRPr="00FC4132">
              <w:rPr>
                <w:vanish/>
              </w:rPr>
              <w:t>Haut du formulaire</w:t>
            </w:r>
          </w:p>
          <w:p w14:paraId="7AAA3DA0" w14:textId="77777777" w:rsidR="00FC4132" w:rsidRPr="00FC4132" w:rsidRDefault="00FC4132" w:rsidP="00FC4132">
            <w:pPr>
              <w:numPr>
                <w:ilvl w:val="0"/>
                <w:numId w:val="46"/>
              </w:numPr>
              <w:spacing w:before="120" w:after="120"/>
              <w:jc w:val="both"/>
              <w:rPr>
                <w:vanish/>
              </w:rPr>
            </w:pPr>
            <w:r w:rsidRPr="00FC4132">
              <w:rPr>
                <w:vanish/>
              </w:rPr>
              <w:t>Bas du formulaire</w:t>
            </w:r>
          </w:p>
          <w:p w14:paraId="39DB04EE" w14:textId="700B269F" w:rsidR="000459AE" w:rsidRDefault="000459AE" w:rsidP="00D36DC2">
            <w:pPr>
              <w:numPr>
                <w:ilvl w:val="0"/>
                <w:numId w:val="46"/>
              </w:numPr>
              <w:spacing w:before="120" w:after="120"/>
              <w:jc w:val="both"/>
            </w:pPr>
          </w:p>
        </w:tc>
      </w:tr>
    </w:tbl>
    <w:p w14:paraId="0DED2635" w14:textId="4230391E" w:rsidR="007D592B" w:rsidRDefault="007D592B" w:rsidP="00FE663F">
      <w:pPr>
        <w:pStyle w:val="Titre3"/>
        <w:numPr>
          <w:ilvl w:val="2"/>
          <w:numId w:val="21"/>
        </w:numPr>
        <w:spacing w:before="240"/>
      </w:pPr>
      <w:bookmarkStart w:id="13" w:name="_Toc234853854"/>
      <w:r>
        <w:lastRenderedPageBreak/>
        <w:t>Forêts</w:t>
      </w:r>
      <w:bookmarkEnd w:id="13"/>
      <w:r w:rsidR="000C4714">
        <w:t xml:space="preserve"> </w:t>
      </w:r>
    </w:p>
    <w:p w14:paraId="416637F7" w14:textId="307B1CC3" w:rsidR="00FC3D4D" w:rsidRPr="00CB3CB1" w:rsidRDefault="00FC3D4D" w:rsidP="00CB3CB1">
      <w:pPr>
        <w:jc w:val="both"/>
      </w:pPr>
      <w:r w:rsidRPr="00CB3CB1">
        <w:t xml:space="preserve">Le secteur des forêts occupe une place importante dans le bilan climatique du Mali : il constitue à la fois la principale source de puits de carbone du pays, assurant la quasi-totalité de la séquestration nette qui permet au Mali de demeurer globalement un puits de GES et est l’un des secteurs les plus menacés par la conjugaison des pressions anthropiques et climatiques. </w:t>
      </w:r>
      <w:r w:rsidR="00FC4132" w:rsidRPr="00FC4132">
        <w:t>Il joue également un rôle déterminant dans les moyens de subsistance ruraux, la fourniture d’énergie domestique, la régulation du cycle de l’eau et la préservation de la biodiversité, ce qui en fait un secteur transversal au cœur des enjeux de résilience climatique.</w:t>
      </w:r>
    </w:p>
    <w:p w14:paraId="371364D4" w14:textId="77777777" w:rsidR="00FC4132" w:rsidRPr="00FC4132" w:rsidRDefault="00FC3D4D" w:rsidP="00FC4132">
      <w:pPr>
        <w:jc w:val="both"/>
      </w:pPr>
      <w:r w:rsidRPr="00CB3CB1">
        <w:t>Le domaine forestier national couvre environ 100 millions d’hectares, soit près de 26 % du territoire, mais subit une dégradation continue : selon la Politique Forestière Nationale (2017), 500 000 hectares de forêts disparaissent chaque année, et les prélèvements de bois sont estimés à plus de 12 millions de tonnes par an, contre une capacité de régénération de 7 millions de tonnes par an. Cette dégradation, alimentée principalement par le bois-énergie (qui couvre près de 80 % des besoins énergétiques nationaux), les défrichements agricoles, les feux de brousse et le surpâturage, fragilise la capacité de séquestration du secteur et appelle une réponse structurée à l’horizon 2035.</w:t>
      </w:r>
      <w:r w:rsidR="00FC4132">
        <w:t xml:space="preserve"> </w:t>
      </w:r>
      <w:r w:rsidR="00FC4132" w:rsidRPr="00532CCE">
        <w:t>Elle entraîne également une perte progressive des services écosystémiques, notamment la fertilité des sols, la protection contre l’érosion, la régulation climatique locale et la disponibilité des ressources non ligneuses forestières essentielles aux communautés rurales.</w:t>
      </w:r>
      <w:r w:rsidR="00FC4132" w:rsidRPr="00FC4132">
        <w:t xml:space="preserve"> </w:t>
      </w:r>
      <w:r w:rsidR="00FC4132" w:rsidRPr="00532CCE">
        <w:t>Dans le contexte de la CDN 3.0, cette dynamique place le secteur forestier comme un levier prioritaire d’atténuation, mais également comme un pilier central des stratégies d’adaptation fondées sur les écosystèmes, notamment à travers la restauration des paysages dégradés, l’agroforesterie, la gestion durable des forêts et la réduction de la pression sur le bois-énergie.</w:t>
      </w:r>
    </w:p>
    <w:p w14:paraId="097DE576" w14:textId="7E0FF52D" w:rsidR="00FC3D4D" w:rsidRDefault="00FC3D4D" w:rsidP="00CB3CB1">
      <w:pPr>
        <w:jc w:val="both"/>
      </w:pPr>
    </w:p>
    <w:p w14:paraId="0FC1C46F" w14:textId="06B44BF7" w:rsidR="009357D5" w:rsidRPr="00E84225" w:rsidRDefault="009357D5" w:rsidP="009357D5">
      <w:pPr>
        <w:pStyle w:val="Lgende"/>
        <w:keepNext/>
        <w:rPr>
          <w:sz w:val="20"/>
          <w:szCs w:val="20"/>
        </w:rPr>
      </w:pPr>
      <w:bookmarkStart w:id="14" w:name="_Toc234853928"/>
      <w:r w:rsidRPr="00E84225">
        <w:rPr>
          <w:sz w:val="20"/>
          <w:szCs w:val="20"/>
        </w:rPr>
        <w:lastRenderedPageBreak/>
        <w:t xml:space="preserve">Tableau </w:t>
      </w:r>
      <w:r w:rsidRPr="00E84225">
        <w:rPr>
          <w:sz w:val="20"/>
          <w:szCs w:val="20"/>
        </w:rPr>
        <w:fldChar w:fldCharType="begin"/>
      </w:r>
      <w:r w:rsidRPr="00E84225">
        <w:rPr>
          <w:sz w:val="20"/>
          <w:szCs w:val="20"/>
        </w:rPr>
        <w:instrText xml:space="preserve"> SEQ Tableau \* ARABIC </w:instrText>
      </w:r>
      <w:r w:rsidRPr="00E84225">
        <w:rPr>
          <w:sz w:val="20"/>
          <w:szCs w:val="20"/>
        </w:rPr>
        <w:fldChar w:fldCharType="separate"/>
      </w:r>
      <w:r w:rsidR="0018772E">
        <w:rPr>
          <w:noProof/>
          <w:sz w:val="20"/>
          <w:szCs w:val="20"/>
        </w:rPr>
        <w:t>4</w:t>
      </w:r>
      <w:r w:rsidRPr="00E84225">
        <w:rPr>
          <w:sz w:val="20"/>
          <w:szCs w:val="20"/>
        </w:rPr>
        <w:fldChar w:fldCharType="end"/>
      </w:r>
      <w:r w:rsidRPr="00E84225">
        <w:rPr>
          <w:sz w:val="20"/>
          <w:szCs w:val="20"/>
        </w:rPr>
        <w:t> : Politique et stratégie</w:t>
      </w:r>
      <w:r w:rsidR="00003F25" w:rsidRPr="00E84225">
        <w:rPr>
          <w:sz w:val="20"/>
          <w:szCs w:val="20"/>
        </w:rPr>
        <w:t>s</w:t>
      </w:r>
      <w:r w:rsidRPr="00E84225">
        <w:rPr>
          <w:sz w:val="20"/>
          <w:szCs w:val="20"/>
        </w:rPr>
        <w:t xml:space="preserve"> analysé</w:t>
      </w:r>
      <w:r w:rsidR="00003F25" w:rsidRPr="00E84225">
        <w:rPr>
          <w:sz w:val="20"/>
          <w:szCs w:val="20"/>
        </w:rPr>
        <w:t>es dans le secteur forêt</w:t>
      </w:r>
      <w:bookmarkEnd w:id="14"/>
    </w:p>
    <w:tbl>
      <w:tblPr>
        <w:tblStyle w:val="TableauGrille1Clai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0"/>
        <w:gridCol w:w="3520"/>
        <w:gridCol w:w="4048"/>
        <w:gridCol w:w="2750"/>
      </w:tblGrid>
      <w:tr w:rsidR="00CB3CB1" w:rsidRPr="00C83094" w14:paraId="03F6954D" w14:textId="77777777" w:rsidTr="006748E7">
        <w:trPr>
          <w:trHeight w:val="352"/>
          <w:tblHeader/>
        </w:trPr>
        <w:tc>
          <w:tcPr>
            <w:tcW w:w="1034" w:type="pct"/>
            <w:shd w:val="clear" w:color="auto" w:fill="1F4E79" w:themeFill="accent1" w:themeFillShade="80"/>
            <w:vAlign w:val="center"/>
          </w:tcPr>
          <w:p w14:paraId="4F9D2B99" w14:textId="77777777" w:rsidR="00CB3CB1" w:rsidRPr="006748E7" w:rsidRDefault="00CB3CB1" w:rsidP="00E7007D">
            <w:pPr>
              <w:pStyle w:val="NormalWeb"/>
              <w:spacing w:after="240"/>
              <w:jc w:val="center"/>
              <w:rPr>
                <w:rFonts w:asciiTheme="minorHAnsi" w:hAnsiTheme="minorHAnsi" w:cstheme="minorHAnsi"/>
                <w:color w:val="FFFFFF" w:themeColor="background1"/>
                <w:sz w:val="18"/>
                <w:szCs w:val="18"/>
              </w:rPr>
            </w:pPr>
            <w:r w:rsidRPr="006748E7">
              <w:rPr>
                <w:rFonts w:asciiTheme="minorHAnsi" w:hAnsiTheme="minorHAnsi" w:cstheme="minorHAnsi"/>
                <w:b/>
                <w:bCs/>
                <w:color w:val="FFFFFF" w:themeColor="background1"/>
                <w:sz w:val="18"/>
                <w:szCs w:val="18"/>
              </w:rPr>
              <w:t>Politique / stratégie</w:t>
            </w:r>
          </w:p>
        </w:tc>
        <w:tc>
          <w:tcPr>
            <w:tcW w:w="1353" w:type="pct"/>
            <w:shd w:val="clear" w:color="auto" w:fill="1F4E79" w:themeFill="accent1" w:themeFillShade="80"/>
            <w:vAlign w:val="center"/>
          </w:tcPr>
          <w:p w14:paraId="5B9E7BB3" w14:textId="77777777" w:rsidR="00CB3CB1" w:rsidRPr="006748E7" w:rsidRDefault="00CB3CB1" w:rsidP="00E7007D">
            <w:pPr>
              <w:pStyle w:val="NormalWeb"/>
              <w:spacing w:after="240"/>
              <w:jc w:val="center"/>
              <w:rPr>
                <w:rFonts w:asciiTheme="minorHAnsi" w:hAnsiTheme="minorHAnsi" w:cstheme="minorHAnsi"/>
                <w:color w:val="FFFFFF" w:themeColor="background1"/>
                <w:sz w:val="18"/>
                <w:szCs w:val="18"/>
              </w:rPr>
            </w:pPr>
            <w:r w:rsidRPr="006748E7">
              <w:rPr>
                <w:rFonts w:asciiTheme="minorHAnsi" w:hAnsiTheme="minorHAnsi" w:cstheme="minorHAnsi"/>
                <w:b/>
                <w:bCs/>
                <w:color w:val="FFFFFF" w:themeColor="background1"/>
                <w:sz w:val="18"/>
                <w:szCs w:val="18"/>
              </w:rPr>
              <w:t>Description</w:t>
            </w:r>
          </w:p>
        </w:tc>
        <w:tc>
          <w:tcPr>
            <w:tcW w:w="1556" w:type="pct"/>
            <w:shd w:val="clear" w:color="auto" w:fill="1F4E79" w:themeFill="accent1" w:themeFillShade="80"/>
            <w:vAlign w:val="center"/>
          </w:tcPr>
          <w:p w14:paraId="69FC6A2D" w14:textId="77777777" w:rsidR="00CB3CB1" w:rsidRPr="006748E7" w:rsidRDefault="00CB3CB1" w:rsidP="00E7007D">
            <w:pPr>
              <w:pStyle w:val="NormalWeb"/>
              <w:spacing w:after="240"/>
              <w:jc w:val="center"/>
              <w:rPr>
                <w:rFonts w:asciiTheme="minorHAnsi" w:hAnsiTheme="minorHAnsi" w:cstheme="minorHAnsi"/>
                <w:color w:val="FFFFFF" w:themeColor="background1"/>
                <w:sz w:val="18"/>
                <w:szCs w:val="18"/>
              </w:rPr>
            </w:pPr>
            <w:r w:rsidRPr="006748E7">
              <w:rPr>
                <w:rFonts w:asciiTheme="minorHAnsi" w:hAnsiTheme="minorHAnsi" w:cstheme="minorHAnsi"/>
                <w:b/>
                <w:bCs/>
                <w:color w:val="FFFFFF" w:themeColor="background1"/>
                <w:sz w:val="18"/>
                <w:szCs w:val="18"/>
              </w:rPr>
              <w:t>Principales orientations climatiques</w:t>
            </w:r>
          </w:p>
        </w:tc>
        <w:tc>
          <w:tcPr>
            <w:tcW w:w="1057" w:type="pct"/>
            <w:shd w:val="clear" w:color="auto" w:fill="1F4E79" w:themeFill="accent1" w:themeFillShade="80"/>
            <w:vAlign w:val="center"/>
          </w:tcPr>
          <w:p w14:paraId="13822C9F" w14:textId="77777777" w:rsidR="00CB3CB1" w:rsidRPr="006748E7" w:rsidRDefault="00CB3CB1" w:rsidP="00E7007D">
            <w:pPr>
              <w:pStyle w:val="NormalWeb"/>
              <w:spacing w:after="240"/>
              <w:jc w:val="center"/>
              <w:rPr>
                <w:rFonts w:asciiTheme="minorHAnsi" w:hAnsiTheme="minorHAnsi" w:cstheme="minorHAnsi"/>
                <w:color w:val="FFFFFF" w:themeColor="background1"/>
                <w:sz w:val="18"/>
                <w:szCs w:val="18"/>
              </w:rPr>
            </w:pPr>
            <w:r w:rsidRPr="006748E7">
              <w:rPr>
                <w:rFonts w:asciiTheme="minorHAnsi" w:hAnsiTheme="minorHAnsi" w:cstheme="minorHAnsi"/>
                <w:b/>
                <w:bCs/>
                <w:color w:val="FFFFFF" w:themeColor="background1"/>
                <w:sz w:val="18"/>
                <w:szCs w:val="18"/>
              </w:rPr>
              <w:t>Cibles quantitatives</w:t>
            </w:r>
          </w:p>
        </w:tc>
      </w:tr>
      <w:tr w:rsidR="00CB3CB1" w:rsidRPr="00C83094" w14:paraId="0570DA28" w14:textId="77777777" w:rsidTr="008D75B5">
        <w:tc>
          <w:tcPr>
            <w:tcW w:w="1034" w:type="pct"/>
          </w:tcPr>
          <w:p w14:paraId="25CA4DAB" w14:textId="77777777" w:rsidR="00CB3CB1" w:rsidRPr="00C83094" w:rsidRDefault="00CB3CB1" w:rsidP="00CB3CB1">
            <w:pPr>
              <w:pStyle w:val="NormalWeb"/>
              <w:spacing w:after="240"/>
              <w:jc w:val="both"/>
              <w:rPr>
                <w:rFonts w:asciiTheme="minorHAnsi" w:hAnsiTheme="minorHAnsi" w:cstheme="minorHAnsi"/>
                <w:sz w:val="18"/>
                <w:szCs w:val="18"/>
              </w:rPr>
            </w:pPr>
            <w:r w:rsidRPr="00C83094">
              <w:rPr>
                <w:rFonts w:asciiTheme="minorHAnsi" w:hAnsiTheme="minorHAnsi" w:cstheme="minorHAnsi"/>
                <w:b/>
                <w:bCs/>
                <w:sz w:val="18"/>
                <w:szCs w:val="18"/>
              </w:rPr>
              <w:t>Politique Forestière Nationale (PFN)</w:t>
            </w:r>
          </w:p>
          <w:p w14:paraId="5D12506B" w14:textId="77777777" w:rsidR="00CB3CB1" w:rsidRPr="00C83094" w:rsidRDefault="00CB3CB1" w:rsidP="00CB3CB1">
            <w:pPr>
              <w:pStyle w:val="NormalWeb"/>
              <w:spacing w:before="0" w:after="240"/>
              <w:jc w:val="both"/>
              <w:rPr>
                <w:rFonts w:asciiTheme="minorHAnsi" w:hAnsiTheme="minorHAnsi" w:cstheme="minorHAnsi"/>
                <w:sz w:val="18"/>
                <w:szCs w:val="18"/>
              </w:rPr>
            </w:pPr>
            <w:r w:rsidRPr="00C83094">
              <w:rPr>
                <w:rFonts w:asciiTheme="minorHAnsi" w:hAnsiTheme="minorHAnsi" w:cstheme="minorHAnsi"/>
                <w:sz w:val="18"/>
                <w:szCs w:val="18"/>
              </w:rPr>
              <w:t>Ministère de l’Environnement, de l’Assainissement et du Développement Durable</w:t>
            </w:r>
          </w:p>
          <w:p w14:paraId="22A3F4A9" w14:textId="77777777" w:rsidR="00CB3CB1" w:rsidRPr="00C83094" w:rsidRDefault="00CB3CB1" w:rsidP="00CB3CB1">
            <w:pPr>
              <w:pStyle w:val="NormalWeb"/>
              <w:spacing w:before="0" w:after="240"/>
              <w:jc w:val="both"/>
              <w:rPr>
                <w:rFonts w:asciiTheme="minorHAnsi" w:hAnsiTheme="minorHAnsi" w:cstheme="minorHAnsi"/>
                <w:sz w:val="18"/>
                <w:szCs w:val="18"/>
              </w:rPr>
            </w:pPr>
            <w:r w:rsidRPr="00C83094">
              <w:rPr>
                <w:rFonts w:asciiTheme="minorHAnsi" w:hAnsiTheme="minorHAnsi" w:cstheme="minorHAnsi"/>
                <w:sz w:val="18"/>
                <w:szCs w:val="18"/>
              </w:rPr>
              <w:t>Approuvée par décret N°2017-0845/P-RM</w:t>
            </w:r>
          </w:p>
        </w:tc>
        <w:tc>
          <w:tcPr>
            <w:tcW w:w="1353" w:type="pct"/>
          </w:tcPr>
          <w:p w14:paraId="06EDBE6E" w14:textId="77777777" w:rsidR="00CB3CB1" w:rsidRPr="00C83094" w:rsidRDefault="00CB3CB1" w:rsidP="00CB3CB1">
            <w:pPr>
              <w:pStyle w:val="NormalWeb"/>
              <w:spacing w:after="240"/>
              <w:jc w:val="both"/>
              <w:rPr>
                <w:rFonts w:asciiTheme="minorHAnsi" w:hAnsiTheme="minorHAnsi" w:cstheme="minorHAnsi"/>
                <w:sz w:val="18"/>
                <w:szCs w:val="18"/>
              </w:rPr>
            </w:pPr>
            <w:r w:rsidRPr="00C83094">
              <w:rPr>
                <w:rFonts w:asciiTheme="minorHAnsi" w:hAnsiTheme="minorHAnsi" w:cstheme="minorHAnsi"/>
                <w:sz w:val="18"/>
                <w:szCs w:val="18"/>
              </w:rPr>
              <w:t>Cadre national de référence pour la gestion intégrée et durable des ressources forestières et fauniques, en vue de contribuer à la lutte contre la pauvreté. Elle révise la PFN initiale de 1995 et structure l’action publique selon les dimensions sociale, économique et écologique.</w:t>
            </w:r>
          </w:p>
        </w:tc>
        <w:tc>
          <w:tcPr>
            <w:tcW w:w="1556" w:type="pct"/>
          </w:tcPr>
          <w:p w14:paraId="7F19695C" w14:textId="77777777" w:rsidR="00221B53" w:rsidRPr="00C83094" w:rsidRDefault="00CB3CB1" w:rsidP="008A3661">
            <w:pPr>
              <w:pStyle w:val="NormalWeb"/>
              <w:numPr>
                <w:ilvl w:val="0"/>
                <w:numId w:val="49"/>
              </w:numPr>
              <w:spacing w:before="0" w:after="240"/>
              <w:ind w:left="339" w:hanging="283"/>
              <w:jc w:val="both"/>
              <w:rPr>
                <w:rFonts w:asciiTheme="minorHAnsi" w:hAnsiTheme="minorHAnsi" w:cstheme="minorHAnsi"/>
                <w:sz w:val="18"/>
                <w:szCs w:val="18"/>
              </w:rPr>
            </w:pPr>
            <w:r w:rsidRPr="00C83094">
              <w:rPr>
                <w:rFonts w:asciiTheme="minorHAnsi" w:hAnsiTheme="minorHAnsi" w:cstheme="minorHAnsi"/>
                <w:sz w:val="18"/>
                <w:szCs w:val="18"/>
              </w:rPr>
              <w:t>Gestion intégrée et durable des écosystèmes forestiers et fauniques.</w:t>
            </w:r>
          </w:p>
          <w:p w14:paraId="66098CE3" w14:textId="77777777" w:rsidR="00221B53" w:rsidRPr="00C83094" w:rsidRDefault="00CB3CB1" w:rsidP="008A3661">
            <w:pPr>
              <w:pStyle w:val="NormalWeb"/>
              <w:numPr>
                <w:ilvl w:val="0"/>
                <w:numId w:val="49"/>
              </w:numPr>
              <w:spacing w:before="0" w:after="240"/>
              <w:ind w:left="339" w:hanging="283"/>
              <w:jc w:val="both"/>
              <w:rPr>
                <w:rFonts w:asciiTheme="minorHAnsi" w:hAnsiTheme="minorHAnsi" w:cstheme="minorHAnsi"/>
                <w:sz w:val="18"/>
                <w:szCs w:val="18"/>
              </w:rPr>
            </w:pPr>
            <w:r w:rsidRPr="00C83094">
              <w:rPr>
                <w:rFonts w:asciiTheme="minorHAnsi" w:hAnsiTheme="minorHAnsi" w:cstheme="minorHAnsi"/>
                <w:sz w:val="18"/>
                <w:szCs w:val="18"/>
              </w:rPr>
              <w:t>Lutte contre la déforestation et la dégradation des forêts.</w:t>
            </w:r>
          </w:p>
          <w:p w14:paraId="0B358A75" w14:textId="77777777" w:rsidR="00221B53" w:rsidRPr="00C83094" w:rsidRDefault="00CB3CB1" w:rsidP="008A3661">
            <w:pPr>
              <w:pStyle w:val="NormalWeb"/>
              <w:numPr>
                <w:ilvl w:val="0"/>
                <w:numId w:val="49"/>
              </w:numPr>
              <w:spacing w:before="0" w:after="240"/>
              <w:ind w:left="339" w:hanging="283"/>
              <w:jc w:val="both"/>
              <w:rPr>
                <w:rFonts w:asciiTheme="minorHAnsi" w:hAnsiTheme="minorHAnsi" w:cstheme="minorHAnsi"/>
                <w:sz w:val="18"/>
                <w:szCs w:val="18"/>
              </w:rPr>
            </w:pPr>
            <w:r w:rsidRPr="00C83094">
              <w:rPr>
                <w:rFonts w:asciiTheme="minorHAnsi" w:hAnsiTheme="minorHAnsi" w:cstheme="minorHAnsi"/>
                <w:sz w:val="18"/>
                <w:szCs w:val="18"/>
              </w:rPr>
              <w:t>Promotion du reboisement et de la régénération naturelle assistée (RNA).</w:t>
            </w:r>
          </w:p>
          <w:p w14:paraId="6109532E" w14:textId="77777777" w:rsidR="00221B53" w:rsidRPr="00C83094" w:rsidRDefault="00CB3CB1" w:rsidP="008A3661">
            <w:pPr>
              <w:pStyle w:val="NormalWeb"/>
              <w:numPr>
                <w:ilvl w:val="0"/>
                <w:numId w:val="49"/>
              </w:numPr>
              <w:spacing w:before="0" w:after="240"/>
              <w:ind w:left="339" w:hanging="283"/>
              <w:jc w:val="both"/>
              <w:rPr>
                <w:rFonts w:asciiTheme="minorHAnsi" w:hAnsiTheme="minorHAnsi" w:cstheme="minorHAnsi"/>
                <w:sz w:val="18"/>
                <w:szCs w:val="18"/>
              </w:rPr>
            </w:pPr>
            <w:r w:rsidRPr="00C83094">
              <w:rPr>
                <w:rFonts w:asciiTheme="minorHAnsi" w:hAnsiTheme="minorHAnsi" w:cstheme="minorHAnsi"/>
                <w:sz w:val="18"/>
                <w:szCs w:val="18"/>
              </w:rPr>
              <w:t>Développement de la foresterie communautaire et du partenariat public-privé.</w:t>
            </w:r>
          </w:p>
          <w:p w14:paraId="178F6CA0" w14:textId="77777777" w:rsidR="00FC4132" w:rsidRDefault="00CB3CB1" w:rsidP="008A3661">
            <w:pPr>
              <w:pStyle w:val="NormalWeb"/>
              <w:numPr>
                <w:ilvl w:val="0"/>
                <w:numId w:val="49"/>
              </w:numPr>
              <w:spacing w:before="0" w:after="240"/>
              <w:ind w:left="339" w:hanging="283"/>
              <w:jc w:val="both"/>
              <w:rPr>
                <w:rFonts w:asciiTheme="minorHAnsi" w:hAnsiTheme="minorHAnsi" w:cstheme="minorHAnsi"/>
                <w:sz w:val="18"/>
                <w:szCs w:val="18"/>
              </w:rPr>
            </w:pPr>
            <w:r w:rsidRPr="00C83094">
              <w:rPr>
                <w:rFonts w:asciiTheme="minorHAnsi" w:hAnsiTheme="minorHAnsi" w:cstheme="minorHAnsi"/>
                <w:sz w:val="18"/>
                <w:szCs w:val="18"/>
              </w:rPr>
              <w:t>Conservation de la biodiversité et des aires classées.</w:t>
            </w:r>
            <w:r w:rsidR="00FC4132">
              <w:rPr>
                <w:rFonts w:asciiTheme="minorHAnsi" w:hAnsiTheme="minorHAnsi" w:cstheme="minorHAnsi"/>
                <w:sz w:val="18"/>
                <w:szCs w:val="18"/>
              </w:rPr>
              <w:t xml:space="preserve"> </w:t>
            </w:r>
          </w:p>
          <w:p w14:paraId="63B33709" w14:textId="66D86B0B" w:rsidR="00CB3CB1" w:rsidRPr="00C83094" w:rsidRDefault="00FC4132" w:rsidP="008A3661">
            <w:pPr>
              <w:pStyle w:val="NormalWeb"/>
              <w:numPr>
                <w:ilvl w:val="0"/>
                <w:numId w:val="49"/>
              </w:numPr>
              <w:spacing w:before="0" w:after="240"/>
              <w:ind w:left="339" w:hanging="283"/>
              <w:jc w:val="both"/>
              <w:rPr>
                <w:rFonts w:asciiTheme="minorHAnsi" w:hAnsiTheme="minorHAnsi" w:cstheme="minorHAnsi"/>
                <w:sz w:val="18"/>
                <w:szCs w:val="18"/>
              </w:rPr>
            </w:pPr>
            <w:r w:rsidRPr="00FC4132">
              <w:rPr>
                <w:rFonts w:asciiTheme="minorHAnsi" w:hAnsiTheme="minorHAnsi" w:cstheme="minorHAnsi"/>
                <w:b/>
                <w:bCs/>
                <w:sz w:val="18"/>
                <w:szCs w:val="18"/>
              </w:rPr>
              <w:t>Renforcement du rôle des forêts comme puits de carbone et pilier de l’adaptation basée sur les écosystèmes.</w:t>
            </w:r>
            <w:r w:rsidRPr="00FC4132">
              <w:rPr>
                <w:rFonts w:asciiTheme="minorHAnsi" w:hAnsiTheme="minorHAnsi" w:cstheme="minorHAnsi"/>
                <w:sz w:val="18"/>
                <w:szCs w:val="18"/>
              </w:rPr>
              <w:br/>
            </w:r>
            <w:r w:rsidRPr="00FC4132">
              <w:rPr>
                <w:rFonts w:asciiTheme="minorHAnsi" w:hAnsiTheme="minorHAnsi" w:cstheme="minorHAnsi"/>
                <w:b/>
                <w:bCs/>
                <w:sz w:val="18"/>
                <w:szCs w:val="18"/>
              </w:rPr>
              <w:t>- Intégration progressive des approches REDD+ et de la restauration des paysages dans la planification nationale</w:t>
            </w:r>
          </w:p>
        </w:tc>
        <w:tc>
          <w:tcPr>
            <w:tcW w:w="1057" w:type="pct"/>
          </w:tcPr>
          <w:p w14:paraId="6D5348A1" w14:textId="61150D22" w:rsidR="000F62A4" w:rsidRPr="00C83094" w:rsidRDefault="00CB3CB1" w:rsidP="008A3661">
            <w:pPr>
              <w:pStyle w:val="NormalWeb"/>
              <w:numPr>
                <w:ilvl w:val="0"/>
                <w:numId w:val="49"/>
              </w:numPr>
              <w:spacing w:before="0" w:after="240"/>
              <w:ind w:left="264" w:hanging="283"/>
              <w:jc w:val="both"/>
              <w:rPr>
                <w:rFonts w:asciiTheme="minorHAnsi" w:hAnsiTheme="minorHAnsi" w:cstheme="minorHAnsi"/>
                <w:sz w:val="18"/>
                <w:szCs w:val="18"/>
              </w:rPr>
            </w:pPr>
            <w:r w:rsidRPr="00C83094">
              <w:rPr>
                <w:rFonts w:asciiTheme="minorHAnsi" w:hAnsiTheme="minorHAnsi" w:cstheme="minorHAnsi"/>
                <w:sz w:val="18"/>
                <w:szCs w:val="18"/>
              </w:rPr>
              <w:t>Mise sous gestion communautaire des forêts : objectif de 3 millions ha à terme.</w:t>
            </w:r>
          </w:p>
          <w:p w14:paraId="2F164C10" w14:textId="598388EB" w:rsidR="00CB3CB1" w:rsidRPr="00C83094" w:rsidRDefault="00CB3CB1" w:rsidP="008A3661">
            <w:pPr>
              <w:pStyle w:val="NormalWeb"/>
              <w:numPr>
                <w:ilvl w:val="0"/>
                <w:numId w:val="49"/>
              </w:numPr>
              <w:spacing w:before="0" w:after="240"/>
              <w:ind w:left="264" w:hanging="283"/>
              <w:jc w:val="both"/>
              <w:rPr>
                <w:rFonts w:asciiTheme="minorHAnsi" w:hAnsiTheme="minorHAnsi" w:cstheme="minorHAnsi"/>
                <w:sz w:val="18"/>
                <w:szCs w:val="18"/>
              </w:rPr>
            </w:pPr>
            <w:r w:rsidRPr="00C83094">
              <w:rPr>
                <w:rFonts w:asciiTheme="minorHAnsi" w:hAnsiTheme="minorHAnsi" w:cstheme="minorHAnsi"/>
                <w:sz w:val="18"/>
                <w:szCs w:val="18"/>
              </w:rPr>
              <w:t>Réduction du taux annuel de déforestation (référence : 500 000 ha/an).</w:t>
            </w:r>
          </w:p>
        </w:tc>
      </w:tr>
      <w:tr w:rsidR="00CB3CB1" w:rsidRPr="00C83094" w14:paraId="4226DC7F" w14:textId="77777777" w:rsidTr="008D75B5">
        <w:tc>
          <w:tcPr>
            <w:tcW w:w="1034" w:type="pct"/>
          </w:tcPr>
          <w:p w14:paraId="556DE9ED" w14:textId="77777777" w:rsidR="00CB3CB1" w:rsidRPr="00C83094" w:rsidRDefault="00CB3CB1" w:rsidP="00CB3CB1">
            <w:pPr>
              <w:pStyle w:val="NormalWeb"/>
              <w:spacing w:after="240"/>
              <w:jc w:val="both"/>
              <w:rPr>
                <w:rFonts w:asciiTheme="minorHAnsi" w:hAnsiTheme="minorHAnsi" w:cstheme="minorHAnsi"/>
                <w:sz w:val="18"/>
                <w:szCs w:val="18"/>
              </w:rPr>
            </w:pPr>
            <w:r w:rsidRPr="00C83094">
              <w:rPr>
                <w:rFonts w:asciiTheme="minorHAnsi" w:hAnsiTheme="minorHAnsi" w:cstheme="minorHAnsi"/>
                <w:b/>
                <w:bCs/>
                <w:sz w:val="18"/>
                <w:szCs w:val="18"/>
              </w:rPr>
              <w:t>Loi N°10-028 du 12 juillet 2010</w:t>
            </w:r>
          </w:p>
          <w:p w14:paraId="74B4082E" w14:textId="77777777" w:rsidR="00CB3CB1" w:rsidRPr="00C83094" w:rsidRDefault="00CB3CB1" w:rsidP="00CB3CB1">
            <w:pPr>
              <w:pStyle w:val="NormalWeb"/>
              <w:spacing w:before="0" w:after="240"/>
              <w:jc w:val="both"/>
              <w:rPr>
                <w:rFonts w:asciiTheme="minorHAnsi" w:hAnsiTheme="minorHAnsi" w:cstheme="minorHAnsi"/>
                <w:sz w:val="18"/>
                <w:szCs w:val="18"/>
              </w:rPr>
            </w:pPr>
            <w:r w:rsidRPr="00C83094">
              <w:rPr>
                <w:rFonts w:asciiTheme="minorHAnsi" w:hAnsiTheme="minorHAnsi" w:cstheme="minorHAnsi"/>
                <w:sz w:val="18"/>
                <w:szCs w:val="18"/>
              </w:rPr>
              <w:t>Déterminant les principes de gestion des ressources du domaine forestier national</w:t>
            </w:r>
          </w:p>
        </w:tc>
        <w:tc>
          <w:tcPr>
            <w:tcW w:w="1353" w:type="pct"/>
          </w:tcPr>
          <w:p w14:paraId="39AAB9CF" w14:textId="77777777" w:rsidR="00CB3CB1" w:rsidRPr="00C83094" w:rsidRDefault="00CB3CB1" w:rsidP="00CB3CB1">
            <w:pPr>
              <w:pStyle w:val="NormalWeb"/>
              <w:spacing w:after="240"/>
              <w:jc w:val="both"/>
              <w:rPr>
                <w:rFonts w:asciiTheme="minorHAnsi" w:hAnsiTheme="minorHAnsi" w:cstheme="minorHAnsi"/>
                <w:sz w:val="18"/>
                <w:szCs w:val="18"/>
              </w:rPr>
            </w:pPr>
            <w:r w:rsidRPr="00C83094">
              <w:rPr>
                <w:rFonts w:asciiTheme="minorHAnsi" w:hAnsiTheme="minorHAnsi" w:cstheme="minorHAnsi"/>
                <w:sz w:val="18"/>
                <w:szCs w:val="18"/>
              </w:rPr>
              <w:t>Loi fondamentale définissant les conditions de conservation, de protection, d’exploitation, de transport, de commercialisation et de mise en valeur des ressources du domaine forestier national. Elle constitue le socle juridique du secteur.</w:t>
            </w:r>
          </w:p>
        </w:tc>
        <w:tc>
          <w:tcPr>
            <w:tcW w:w="1556" w:type="pct"/>
          </w:tcPr>
          <w:p w14:paraId="7F1704BA" w14:textId="77777777" w:rsidR="000F62A4" w:rsidRPr="00C83094" w:rsidRDefault="00CB3CB1" w:rsidP="008A3661">
            <w:pPr>
              <w:pStyle w:val="NormalWeb"/>
              <w:numPr>
                <w:ilvl w:val="0"/>
                <w:numId w:val="49"/>
              </w:numPr>
              <w:spacing w:before="0" w:after="240"/>
              <w:ind w:left="339" w:hanging="283"/>
              <w:jc w:val="both"/>
              <w:rPr>
                <w:rFonts w:asciiTheme="minorHAnsi" w:hAnsiTheme="minorHAnsi" w:cstheme="minorHAnsi"/>
                <w:sz w:val="18"/>
                <w:szCs w:val="18"/>
              </w:rPr>
            </w:pPr>
            <w:r w:rsidRPr="00C83094">
              <w:rPr>
                <w:rFonts w:asciiTheme="minorHAnsi" w:hAnsiTheme="minorHAnsi" w:cstheme="minorHAnsi"/>
                <w:sz w:val="18"/>
                <w:szCs w:val="18"/>
              </w:rPr>
              <w:t>Sécurisation juridique du domaine forestier classé et protégé.</w:t>
            </w:r>
          </w:p>
          <w:p w14:paraId="30824EFC" w14:textId="77777777" w:rsidR="000F62A4" w:rsidRPr="00C83094" w:rsidRDefault="00CB3CB1" w:rsidP="008A3661">
            <w:pPr>
              <w:pStyle w:val="NormalWeb"/>
              <w:numPr>
                <w:ilvl w:val="0"/>
                <w:numId w:val="49"/>
              </w:numPr>
              <w:spacing w:before="0" w:after="240"/>
              <w:ind w:left="339" w:hanging="283"/>
              <w:jc w:val="both"/>
              <w:rPr>
                <w:rFonts w:asciiTheme="minorHAnsi" w:hAnsiTheme="minorHAnsi" w:cstheme="minorHAnsi"/>
                <w:sz w:val="18"/>
                <w:szCs w:val="18"/>
              </w:rPr>
            </w:pPr>
            <w:r w:rsidRPr="00C83094">
              <w:rPr>
                <w:rFonts w:asciiTheme="minorHAnsi" w:hAnsiTheme="minorHAnsi" w:cstheme="minorHAnsi"/>
                <w:sz w:val="18"/>
                <w:szCs w:val="18"/>
              </w:rPr>
              <w:t>Encadrement des marchés ruraux de bois.</w:t>
            </w:r>
          </w:p>
          <w:p w14:paraId="7A742876" w14:textId="578CD0AF" w:rsidR="00CB3CB1" w:rsidRPr="00C83094" w:rsidRDefault="00CB3CB1" w:rsidP="008A3661">
            <w:pPr>
              <w:pStyle w:val="NormalWeb"/>
              <w:numPr>
                <w:ilvl w:val="0"/>
                <w:numId w:val="49"/>
              </w:numPr>
              <w:spacing w:before="0" w:after="240"/>
              <w:ind w:left="339" w:hanging="283"/>
              <w:jc w:val="both"/>
              <w:rPr>
                <w:rFonts w:asciiTheme="minorHAnsi" w:hAnsiTheme="minorHAnsi" w:cstheme="minorHAnsi"/>
                <w:sz w:val="18"/>
                <w:szCs w:val="18"/>
              </w:rPr>
            </w:pPr>
            <w:r w:rsidRPr="00C83094">
              <w:rPr>
                <w:rFonts w:asciiTheme="minorHAnsi" w:hAnsiTheme="minorHAnsi" w:cstheme="minorHAnsi"/>
                <w:sz w:val="18"/>
                <w:szCs w:val="18"/>
              </w:rPr>
              <w:t>Délégation progressive de la gestion aux collectivités territoriales et aux populations.</w:t>
            </w:r>
            <w:r w:rsidR="00FC4132">
              <w:rPr>
                <w:rFonts w:asciiTheme="minorHAnsi" w:hAnsiTheme="minorHAnsi" w:cstheme="minorHAnsi"/>
                <w:sz w:val="18"/>
                <w:szCs w:val="18"/>
              </w:rPr>
              <w:t xml:space="preserve"> </w:t>
            </w:r>
            <w:r w:rsidR="00FC4132" w:rsidRPr="00FC4132">
              <w:rPr>
                <w:rFonts w:asciiTheme="minorHAnsi" w:hAnsiTheme="minorHAnsi" w:cstheme="minorHAnsi"/>
                <w:sz w:val="18"/>
                <w:szCs w:val="18"/>
              </w:rPr>
              <w:t>Base juridique de la lutte contre l’exploitation illégale et de la régulation du bois-énergie, principal facteur de pression sur les forêts.</w:t>
            </w:r>
          </w:p>
        </w:tc>
        <w:tc>
          <w:tcPr>
            <w:tcW w:w="1057" w:type="pct"/>
          </w:tcPr>
          <w:p w14:paraId="554138A4" w14:textId="77777777" w:rsidR="00CB3CB1" w:rsidRPr="00C83094" w:rsidRDefault="00CB3CB1" w:rsidP="00CB3CB1">
            <w:pPr>
              <w:pStyle w:val="NormalWeb"/>
              <w:spacing w:after="240"/>
              <w:jc w:val="both"/>
              <w:rPr>
                <w:rFonts w:asciiTheme="minorHAnsi" w:hAnsiTheme="minorHAnsi" w:cstheme="minorHAnsi"/>
                <w:sz w:val="18"/>
                <w:szCs w:val="18"/>
              </w:rPr>
            </w:pPr>
            <w:r w:rsidRPr="00C83094">
              <w:rPr>
                <w:rFonts w:asciiTheme="minorHAnsi" w:hAnsiTheme="minorHAnsi" w:cstheme="minorHAnsi"/>
                <w:sz w:val="18"/>
                <w:szCs w:val="18"/>
              </w:rPr>
              <w:t>Non chiffrées (cadre juridique).</w:t>
            </w:r>
          </w:p>
        </w:tc>
      </w:tr>
      <w:tr w:rsidR="00CB3CB1" w:rsidRPr="00C83094" w14:paraId="038F445A" w14:textId="77777777" w:rsidTr="008D75B5">
        <w:tc>
          <w:tcPr>
            <w:tcW w:w="1034" w:type="pct"/>
          </w:tcPr>
          <w:p w14:paraId="67E5C3B5" w14:textId="77777777" w:rsidR="00CB3CB1" w:rsidRPr="00C83094" w:rsidRDefault="00CB3CB1" w:rsidP="00CB3CB1">
            <w:pPr>
              <w:pStyle w:val="NormalWeb"/>
              <w:spacing w:after="240"/>
              <w:jc w:val="both"/>
              <w:rPr>
                <w:rFonts w:asciiTheme="minorHAnsi" w:hAnsiTheme="minorHAnsi" w:cstheme="minorHAnsi"/>
                <w:sz w:val="18"/>
                <w:szCs w:val="18"/>
              </w:rPr>
            </w:pPr>
            <w:r w:rsidRPr="00C83094">
              <w:rPr>
                <w:rFonts w:asciiTheme="minorHAnsi" w:hAnsiTheme="minorHAnsi" w:cstheme="minorHAnsi"/>
                <w:b/>
                <w:bCs/>
                <w:sz w:val="18"/>
                <w:szCs w:val="18"/>
              </w:rPr>
              <w:t>Stratégie Nationale de Reboisement (SNR, 2004) et Plan d’action quinquennal de reboisement</w:t>
            </w:r>
          </w:p>
          <w:p w14:paraId="7491F335" w14:textId="77777777" w:rsidR="00CB3CB1" w:rsidRPr="00C83094" w:rsidRDefault="00CB3CB1" w:rsidP="00CB3CB1">
            <w:pPr>
              <w:pStyle w:val="NormalWeb"/>
              <w:spacing w:before="0" w:after="240"/>
              <w:jc w:val="both"/>
              <w:rPr>
                <w:rFonts w:asciiTheme="minorHAnsi" w:hAnsiTheme="minorHAnsi" w:cstheme="minorHAnsi"/>
                <w:sz w:val="18"/>
                <w:szCs w:val="18"/>
              </w:rPr>
            </w:pPr>
            <w:r w:rsidRPr="00C83094">
              <w:rPr>
                <w:rFonts w:asciiTheme="minorHAnsi" w:hAnsiTheme="minorHAnsi" w:cstheme="minorHAnsi"/>
                <w:sz w:val="18"/>
                <w:szCs w:val="18"/>
              </w:rPr>
              <w:t>Opérationnalisée par la campagne annuelle « Mali Vert »</w:t>
            </w:r>
          </w:p>
        </w:tc>
        <w:tc>
          <w:tcPr>
            <w:tcW w:w="1353" w:type="pct"/>
          </w:tcPr>
          <w:p w14:paraId="1E2C2D25" w14:textId="77777777" w:rsidR="00CB3CB1" w:rsidRPr="00C83094" w:rsidRDefault="00CB3CB1" w:rsidP="00CB3CB1">
            <w:pPr>
              <w:pStyle w:val="NormalWeb"/>
              <w:spacing w:after="240"/>
              <w:jc w:val="both"/>
              <w:rPr>
                <w:rFonts w:asciiTheme="minorHAnsi" w:hAnsiTheme="minorHAnsi" w:cstheme="minorHAnsi"/>
                <w:sz w:val="18"/>
                <w:szCs w:val="18"/>
              </w:rPr>
            </w:pPr>
            <w:r w:rsidRPr="00C83094">
              <w:rPr>
                <w:rFonts w:asciiTheme="minorHAnsi" w:hAnsiTheme="minorHAnsi" w:cstheme="minorHAnsi"/>
                <w:sz w:val="18"/>
                <w:szCs w:val="18"/>
              </w:rPr>
              <w:t>Stratégie inscrite dans la mise en œuvre des plans d’action de la politique nationale de protection de l’environnement et de la politique forestière nationale. Le Plan d’action quinquennal 2010-2014 visait à reboiser 550 000 ha de terres dégradées, dont 500 000 ha par reboisement et 50 000 ha par RNA.</w:t>
            </w:r>
          </w:p>
        </w:tc>
        <w:tc>
          <w:tcPr>
            <w:tcW w:w="1556" w:type="pct"/>
          </w:tcPr>
          <w:p w14:paraId="0535FDBE" w14:textId="77777777" w:rsidR="00966B14" w:rsidRPr="00C83094" w:rsidRDefault="00CB3CB1" w:rsidP="008A3661">
            <w:pPr>
              <w:pStyle w:val="NormalWeb"/>
              <w:numPr>
                <w:ilvl w:val="0"/>
                <w:numId w:val="49"/>
              </w:numPr>
              <w:spacing w:before="0" w:after="240"/>
              <w:ind w:left="339" w:hanging="283"/>
              <w:jc w:val="both"/>
              <w:rPr>
                <w:rFonts w:asciiTheme="minorHAnsi" w:hAnsiTheme="minorHAnsi" w:cstheme="minorHAnsi"/>
                <w:sz w:val="18"/>
                <w:szCs w:val="18"/>
              </w:rPr>
            </w:pPr>
            <w:r w:rsidRPr="00C83094">
              <w:rPr>
                <w:rFonts w:asciiTheme="minorHAnsi" w:hAnsiTheme="minorHAnsi" w:cstheme="minorHAnsi"/>
                <w:sz w:val="18"/>
                <w:szCs w:val="18"/>
              </w:rPr>
              <w:t>Reboisement à grande échelle des terres dégradées.</w:t>
            </w:r>
          </w:p>
          <w:p w14:paraId="79EDBF9F" w14:textId="77777777" w:rsidR="00966B14" w:rsidRPr="00C83094" w:rsidRDefault="00CB3CB1" w:rsidP="008A3661">
            <w:pPr>
              <w:pStyle w:val="NormalWeb"/>
              <w:numPr>
                <w:ilvl w:val="0"/>
                <w:numId w:val="49"/>
              </w:numPr>
              <w:spacing w:before="0" w:after="240"/>
              <w:ind w:left="339" w:hanging="283"/>
              <w:jc w:val="both"/>
              <w:rPr>
                <w:rFonts w:asciiTheme="minorHAnsi" w:hAnsiTheme="minorHAnsi" w:cstheme="minorHAnsi"/>
                <w:sz w:val="18"/>
                <w:szCs w:val="18"/>
              </w:rPr>
            </w:pPr>
            <w:r w:rsidRPr="00C83094">
              <w:rPr>
                <w:rFonts w:asciiTheme="minorHAnsi" w:hAnsiTheme="minorHAnsi" w:cstheme="minorHAnsi"/>
                <w:sz w:val="18"/>
                <w:szCs w:val="18"/>
              </w:rPr>
              <w:t>Régénération naturelle assistée (RNA).</w:t>
            </w:r>
          </w:p>
          <w:p w14:paraId="793B5561" w14:textId="77777777" w:rsidR="00FC4132" w:rsidRDefault="00CB3CB1" w:rsidP="008A3661">
            <w:pPr>
              <w:pStyle w:val="NormalWeb"/>
              <w:numPr>
                <w:ilvl w:val="0"/>
                <w:numId w:val="49"/>
              </w:numPr>
              <w:spacing w:before="0" w:after="240"/>
              <w:ind w:left="339" w:hanging="283"/>
              <w:jc w:val="both"/>
              <w:rPr>
                <w:rFonts w:asciiTheme="minorHAnsi" w:hAnsiTheme="minorHAnsi" w:cstheme="minorHAnsi"/>
                <w:sz w:val="18"/>
                <w:szCs w:val="18"/>
              </w:rPr>
            </w:pPr>
            <w:r w:rsidRPr="00C83094">
              <w:rPr>
                <w:rFonts w:asciiTheme="minorHAnsi" w:hAnsiTheme="minorHAnsi" w:cstheme="minorHAnsi"/>
                <w:sz w:val="18"/>
                <w:szCs w:val="18"/>
              </w:rPr>
              <w:t>Restauration du couvert forestier et</w:t>
            </w:r>
            <w:r w:rsidR="00966B14" w:rsidRPr="00C83094">
              <w:rPr>
                <w:rFonts w:asciiTheme="minorHAnsi" w:hAnsiTheme="minorHAnsi" w:cstheme="minorHAnsi"/>
                <w:sz w:val="18"/>
                <w:szCs w:val="18"/>
              </w:rPr>
              <w:t xml:space="preserve"> </w:t>
            </w:r>
            <w:r w:rsidRPr="00C83094">
              <w:rPr>
                <w:rFonts w:asciiTheme="minorHAnsi" w:hAnsiTheme="minorHAnsi" w:cstheme="minorHAnsi"/>
                <w:sz w:val="18"/>
                <w:szCs w:val="18"/>
              </w:rPr>
              <w:t>reconstitution des écosystèmes.</w:t>
            </w:r>
            <w:r w:rsidR="00FC4132">
              <w:rPr>
                <w:rFonts w:asciiTheme="minorHAnsi" w:hAnsiTheme="minorHAnsi" w:cstheme="minorHAnsi"/>
                <w:sz w:val="18"/>
                <w:szCs w:val="18"/>
              </w:rPr>
              <w:t xml:space="preserve"> </w:t>
            </w:r>
          </w:p>
          <w:p w14:paraId="0B916F45" w14:textId="636D7556" w:rsidR="00CB3CB1" w:rsidRPr="00C83094" w:rsidRDefault="00FC4132" w:rsidP="008A3661">
            <w:pPr>
              <w:pStyle w:val="NormalWeb"/>
              <w:numPr>
                <w:ilvl w:val="0"/>
                <w:numId w:val="49"/>
              </w:numPr>
              <w:spacing w:before="0" w:after="240"/>
              <w:ind w:left="339" w:hanging="283"/>
              <w:jc w:val="both"/>
              <w:rPr>
                <w:rFonts w:asciiTheme="minorHAnsi" w:hAnsiTheme="minorHAnsi" w:cstheme="minorHAnsi"/>
                <w:sz w:val="18"/>
                <w:szCs w:val="18"/>
              </w:rPr>
            </w:pPr>
            <w:r w:rsidRPr="00FC4132">
              <w:rPr>
                <w:rFonts w:asciiTheme="minorHAnsi" w:hAnsiTheme="minorHAnsi" w:cstheme="minorHAnsi"/>
                <w:sz w:val="18"/>
                <w:szCs w:val="18"/>
              </w:rPr>
              <w:t>Contribution directe au stockage de carbone et à la restauration des fonctions écologiques des paysages dégradés.</w:t>
            </w:r>
          </w:p>
        </w:tc>
        <w:tc>
          <w:tcPr>
            <w:tcW w:w="1057" w:type="pct"/>
          </w:tcPr>
          <w:p w14:paraId="49BC9969" w14:textId="77777777" w:rsidR="00966B14" w:rsidRPr="00C83094" w:rsidRDefault="00CB3CB1" w:rsidP="008A3661">
            <w:pPr>
              <w:pStyle w:val="NormalWeb"/>
              <w:numPr>
                <w:ilvl w:val="0"/>
                <w:numId w:val="49"/>
              </w:numPr>
              <w:spacing w:before="0" w:after="240"/>
              <w:ind w:left="264" w:hanging="283"/>
              <w:jc w:val="both"/>
              <w:rPr>
                <w:rFonts w:asciiTheme="minorHAnsi" w:hAnsiTheme="minorHAnsi" w:cstheme="minorHAnsi"/>
                <w:sz w:val="18"/>
                <w:szCs w:val="18"/>
              </w:rPr>
            </w:pPr>
            <w:r w:rsidRPr="00C83094">
              <w:rPr>
                <w:rFonts w:asciiTheme="minorHAnsi" w:hAnsiTheme="minorHAnsi" w:cstheme="minorHAnsi"/>
                <w:sz w:val="18"/>
                <w:szCs w:val="18"/>
              </w:rPr>
              <w:t>550 000 ha reboisés sur 2010-2014 (objectif initial).</w:t>
            </w:r>
          </w:p>
          <w:p w14:paraId="25F6AE73" w14:textId="285E6E5C" w:rsidR="00CB3CB1" w:rsidRPr="00C83094" w:rsidRDefault="00CB3CB1" w:rsidP="008A3661">
            <w:pPr>
              <w:pStyle w:val="NormalWeb"/>
              <w:numPr>
                <w:ilvl w:val="0"/>
                <w:numId w:val="49"/>
              </w:numPr>
              <w:spacing w:before="0" w:after="240"/>
              <w:ind w:left="264" w:hanging="283"/>
              <w:jc w:val="both"/>
              <w:rPr>
                <w:rFonts w:asciiTheme="minorHAnsi" w:hAnsiTheme="minorHAnsi" w:cstheme="minorHAnsi"/>
                <w:sz w:val="18"/>
                <w:szCs w:val="18"/>
              </w:rPr>
            </w:pPr>
            <w:r w:rsidRPr="00C83094">
              <w:rPr>
                <w:rFonts w:asciiTheme="minorHAnsi" w:hAnsiTheme="minorHAnsi" w:cstheme="minorHAnsi"/>
                <w:sz w:val="18"/>
                <w:szCs w:val="18"/>
              </w:rPr>
              <w:t>Campagne annuelle « Mali Vert » : objectifs reconduits chaque année.</w:t>
            </w:r>
          </w:p>
        </w:tc>
      </w:tr>
      <w:tr w:rsidR="00CB3CB1" w:rsidRPr="00C83094" w14:paraId="43B19067" w14:textId="77777777" w:rsidTr="008D75B5">
        <w:tc>
          <w:tcPr>
            <w:tcW w:w="1034" w:type="pct"/>
          </w:tcPr>
          <w:p w14:paraId="2A3DEA9E" w14:textId="77777777" w:rsidR="00CB3CB1" w:rsidRPr="00C83094" w:rsidRDefault="00CB3CB1" w:rsidP="008D75B5">
            <w:pPr>
              <w:pStyle w:val="NormalWeb"/>
              <w:spacing w:after="0" w:afterAutospacing="0"/>
              <w:jc w:val="both"/>
              <w:rPr>
                <w:rFonts w:asciiTheme="minorHAnsi" w:hAnsiTheme="minorHAnsi" w:cstheme="minorHAnsi"/>
                <w:sz w:val="18"/>
                <w:szCs w:val="18"/>
              </w:rPr>
            </w:pPr>
            <w:r w:rsidRPr="00C83094">
              <w:rPr>
                <w:rFonts w:asciiTheme="minorHAnsi" w:hAnsiTheme="minorHAnsi" w:cstheme="minorHAnsi"/>
                <w:b/>
                <w:bCs/>
                <w:sz w:val="18"/>
                <w:szCs w:val="18"/>
              </w:rPr>
              <w:t>Engagement AFR100 / Neutralité en Dégradation des Terres (NDT)</w:t>
            </w:r>
          </w:p>
          <w:p w14:paraId="245E7289" w14:textId="77777777" w:rsidR="00CB3CB1" w:rsidRPr="00C83094" w:rsidRDefault="00CB3CB1" w:rsidP="008D75B5">
            <w:pPr>
              <w:pStyle w:val="NormalWeb"/>
              <w:spacing w:before="0" w:after="0" w:afterAutospacing="0"/>
              <w:jc w:val="both"/>
              <w:rPr>
                <w:rFonts w:asciiTheme="minorHAnsi" w:hAnsiTheme="minorHAnsi" w:cstheme="minorHAnsi"/>
                <w:sz w:val="18"/>
                <w:szCs w:val="18"/>
              </w:rPr>
            </w:pPr>
            <w:r w:rsidRPr="00C83094">
              <w:rPr>
                <w:rFonts w:asciiTheme="minorHAnsi" w:hAnsiTheme="minorHAnsi" w:cstheme="minorHAnsi"/>
                <w:sz w:val="18"/>
                <w:szCs w:val="18"/>
              </w:rPr>
              <w:lastRenderedPageBreak/>
              <w:t>Initiative continentale africaine (Défi de Bonn)</w:t>
            </w:r>
          </w:p>
        </w:tc>
        <w:tc>
          <w:tcPr>
            <w:tcW w:w="1353" w:type="pct"/>
          </w:tcPr>
          <w:p w14:paraId="565CC204" w14:textId="77777777" w:rsidR="00CB3CB1" w:rsidRPr="00C83094" w:rsidRDefault="00CB3CB1" w:rsidP="008D75B5">
            <w:pPr>
              <w:pStyle w:val="NormalWeb"/>
              <w:spacing w:after="0" w:afterAutospacing="0"/>
              <w:jc w:val="both"/>
              <w:rPr>
                <w:rFonts w:asciiTheme="minorHAnsi" w:hAnsiTheme="minorHAnsi" w:cstheme="minorHAnsi"/>
                <w:sz w:val="18"/>
                <w:szCs w:val="18"/>
              </w:rPr>
            </w:pPr>
            <w:r w:rsidRPr="00C83094">
              <w:rPr>
                <w:rFonts w:asciiTheme="minorHAnsi" w:hAnsiTheme="minorHAnsi" w:cstheme="minorHAnsi"/>
                <w:sz w:val="18"/>
                <w:szCs w:val="18"/>
              </w:rPr>
              <w:lastRenderedPageBreak/>
              <w:t>Initiative pour la restauration des paysages forestiers africains à laquelle le Mali a souscrit, dans le cadre du Défi de Bonn et des objectifs de NDT à l’horizon 2030.</w:t>
            </w:r>
          </w:p>
        </w:tc>
        <w:tc>
          <w:tcPr>
            <w:tcW w:w="1556" w:type="pct"/>
          </w:tcPr>
          <w:p w14:paraId="561E3AC1" w14:textId="77777777" w:rsidR="00966B14" w:rsidRPr="00C83094" w:rsidRDefault="00CB3CB1" w:rsidP="008D75B5">
            <w:pPr>
              <w:pStyle w:val="NormalWeb"/>
              <w:numPr>
                <w:ilvl w:val="0"/>
                <w:numId w:val="49"/>
              </w:numPr>
              <w:spacing w:before="0" w:after="0" w:afterAutospacing="0"/>
              <w:ind w:left="339" w:hanging="283"/>
              <w:jc w:val="both"/>
              <w:rPr>
                <w:rFonts w:asciiTheme="minorHAnsi" w:hAnsiTheme="minorHAnsi" w:cstheme="minorHAnsi"/>
                <w:sz w:val="18"/>
                <w:szCs w:val="18"/>
              </w:rPr>
            </w:pPr>
            <w:r w:rsidRPr="00C83094">
              <w:rPr>
                <w:rFonts w:asciiTheme="minorHAnsi" w:hAnsiTheme="minorHAnsi" w:cstheme="minorHAnsi"/>
                <w:sz w:val="18"/>
                <w:szCs w:val="18"/>
              </w:rPr>
              <w:t>Restauration des paysages forestiers et des terres dégradées.</w:t>
            </w:r>
          </w:p>
          <w:p w14:paraId="212E61B2" w14:textId="77777777" w:rsidR="00966B14" w:rsidRPr="00C83094" w:rsidRDefault="00CB3CB1" w:rsidP="008D75B5">
            <w:pPr>
              <w:pStyle w:val="NormalWeb"/>
              <w:numPr>
                <w:ilvl w:val="0"/>
                <w:numId w:val="49"/>
              </w:numPr>
              <w:spacing w:before="0" w:after="0" w:afterAutospacing="0"/>
              <w:ind w:left="339" w:hanging="283"/>
              <w:jc w:val="both"/>
              <w:rPr>
                <w:rFonts w:asciiTheme="minorHAnsi" w:hAnsiTheme="minorHAnsi" w:cstheme="minorHAnsi"/>
                <w:sz w:val="18"/>
                <w:szCs w:val="18"/>
              </w:rPr>
            </w:pPr>
            <w:r w:rsidRPr="00C83094">
              <w:rPr>
                <w:rFonts w:asciiTheme="minorHAnsi" w:hAnsiTheme="minorHAnsi" w:cstheme="minorHAnsi"/>
                <w:sz w:val="18"/>
                <w:szCs w:val="18"/>
              </w:rPr>
              <w:t>Agroforesterie, RNA, reboisement, restauration des galeries forestières.</w:t>
            </w:r>
          </w:p>
          <w:p w14:paraId="066192FD" w14:textId="77777777" w:rsidR="00FC4132" w:rsidRDefault="00CB3CB1" w:rsidP="008D75B5">
            <w:pPr>
              <w:pStyle w:val="NormalWeb"/>
              <w:numPr>
                <w:ilvl w:val="0"/>
                <w:numId w:val="49"/>
              </w:numPr>
              <w:spacing w:before="0" w:after="0" w:afterAutospacing="0"/>
              <w:ind w:left="339" w:hanging="283"/>
              <w:jc w:val="both"/>
              <w:rPr>
                <w:rFonts w:asciiTheme="minorHAnsi" w:hAnsiTheme="minorHAnsi" w:cstheme="minorHAnsi"/>
                <w:sz w:val="18"/>
                <w:szCs w:val="18"/>
              </w:rPr>
            </w:pPr>
            <w:r w:rsidRPr="00C83094">
              <w:rPr>
                <w:rFonts w:asciiTheme="minorHAnsi" w:hAnsiTheme="minorHAnsi" w:cstheme="minorHAnsi"/>
                <w:sz w:val="18"/>
                <w:szCs w:val="18"/>
              </w:rPr>
              <w:lastRenderedPageBreak/>
              <w:t>Co-bénéfices climat-biodiversité-sécurité alimentaire.</w:t>
            </w:r>
            <w:r w:rsidR="00FC4132">
              <w:rPr>
                <w:rFonts w:asciiTheme="minorHAnsi" w:hAnsiTheme="minorHAnsi" w:cstheme="minorHAnsi"/>
                <w:sz w:val="18"/>
                <w:szCs w:val="18"/>
              </w:rPr>
              <w:t xml:space="preserve"> </w:t>
            </w:r>
          </w:p>
          <w:p w14:paraId="007AFBB2" w14:textId="57983CCE" w:rsidR="00CB3CB1" w:rsidRPr="00C83094" w:rsidRDefault="00FC4132" w:rsidP="008D75B5">
            <w:pPr>
              <w:pStyle w:val="NormalWeb"/>
              <w:numPr>
                <w:ilvl w:val="0"/>
                <w:numId w:val="49"/>
              </w:numPr>
              <w:spacing w:before="0" w:after="0" w:afterAutospacing="0"/>
              <w:ind w:left="339" w:hanging="283"/>
              <w:jc w:val="both"/>
              <w:rPr>
                <w:rFonts w:asciiTheme="minorHAnsi" w:hAnsiTheme="minorHAnsi" w:cstheme="minorHAnsi"/>
                <w:sz w:val="18"/>
                <w:szCs w:val="18"/>
              </w:rPr>
            </w:pPr>
            <w:r w:rsidRPr="00FC4132">
              <w:rPr>
                <w:rFonts w:asciiTheme="minorHAnsi" w:hAnsiTheme="minorHAnsi" w:cstheme="minorHAnsi"/>
                <w:sz w:val="18"/>
                <w:szCs w:val="18"/>
              </w:rPr>
              <w:t>Alignement direct avec les objectifs de séquestration du carbone et de résilience des systèmes agro-sylvo-pastoraux.</w:t>
            </w:r>
          </w:p>
        </w:tc>
        <w:tc>
          <w:tcPr>
            <w:tcW w:w="1057" w:type="pct"/>
          </w:tcPr>
          <w:p w14:paraId="09169DD4" w14:textId="7FB7A56C" w:rsidR="00CB3CB1" w:rsidRPr="00C83094" w:rsidRDefault="00CB3CB1" w:rsidP="008D75B5">
            <w:pPr>
              <w:pStyle w:val="NormalWeb"/>
              <w:spacing w:before="0" w:after="0" w:afterAutospacing="0"/>
              <w:jc w:val="both"/>
              <w:rPr>
                <w:rFonts w:asciiTheme="minorHAnsi" w:hAnsiTheme="minorHAnsi" w:cstheme="minorHAnsi"/>
                <w:sz w:val="18"/>
                <w:szCs w:val="18"/>
              </w:rPr>
            </w:pPr>
            <w:r w:rsidRPr="00C83094">
              <w:rPr>
                <w:rFonts w:asciiTheme="minorHAnsi" w:hAnsiTheme="minorHAnsi" w:cstheme="minorHAnsi"/>
                <w:sz w:val="18"/>
                <w:szCs w:val="18"/>
              </w:rPr>
              <w:lastRenderedPageBreak/>
              <w:t>Restauration de 10 millions d’ha de terres dégradées d’ici 2030, soit environ 26 % du territoire national.</w:t>
            </w:r>
          </w:p>
        </w:tc>
      </w:tr>
      <w:tr w:rsidR="00CB3CB1" w:rsidRPr="00C83094" w14:paraId="7C64B634" w14:textId="77777777" w:rsidTr="008D75B5">
        <w:trPr>
          <w:trHeight w:val="1471"/>
        </w:trPr>
        <w:tc>
          <w:tcPr>
            <w:tcW w:w="1034" w:type="pct"/>
          </w:tcPr>
          <w:p w14:paraId="0DFDA237" w14:textId="77777777" w:rsidR="00CB3CB1" w:rsidRPr="00C83094" w:rsidRDefault="00CB3CB1" w:rsidP="008D75B5">
            <w:pPr>
              <w:pStyle w:val="NormalWeb"/>
              <w:spacing w:after="0" w:afterAutospacing="0"/>
              <w:jc w:val="both"/>
              <w:rPr>
                <w:rFonts w:asciiTheme="minorHAnsi" w:hAnsiTheme="minorHAnsi" w:cstheme="minorHAnsi"/>
                <w:sz w:val="18"/>
                <w:szCs w:val="18"/>
              </w:rPr>
            </w:pPr>
            <w:r w:rsidRPr="00C83094">
              <w:rPr>
                <w:rFonts w:asciiTheme="minorHAnsi" w:hAnsiTheme="minorHAnsi" w:cstheme="minorHAnsi"/>
                <w:b/>
                <w:bCs/>
                <w:sz w:val="18"/>
                <w:szCs w:val="18"/>
              </w:rPr>
              <w:t>Volet Forêts et Changement d’Affectation des Terres de la CDN 2.0 (2021)</w:t>
            </w:r>
          </w:p>
          <w:p w14:paraId="5644CB3B" w14:textId="77777777" w:rsidR="00CB3CB1" w:rsidRPr="00C83094" w:rsidRDefault="00CB3CB1" w:rsidP="008D75B5">
            <w:pPr>
              <w:pStyle w:val="NormalWeb"/>
              <w:spacing w:before="0" w:after="0" w:afterAutospacing="0"/>
              <w:jc w:val="both"/>
              <w:rPr>
                <w:rFonts w:asciiTheme="minorHAnsi" w:hAnsiTheme="minorHAnsi" w:cstheme="minorHAnsi"/>
                <w:sz w:val="18"/>
                <w:szCs w:val="18"/>
              </w:rPr>
            </w:pPr>
            <w:r w:rsidRPr="00C83094">
              <w:rPr>
                <w:rFonts w:asciiTheme="minorHAnsi" w:hAnsiTheme="minorHAnsi" w:cstheme="minorHAnsi"/>
                <w:sz w:val="18"/>
                <w:szCs w:val="18"/>
              </w:rPr>
              <w:t>Document de CDN actualisé, soumis en octobre 2021</w:t>
            </w:r>
          </w:p>
        </w:tc>
        <w:tc>
          <w:tcPr>
            <w:tcW w:w="1353" w:type="pct"/>
          </w:tcPr>
          <w:p w14:paraId="28357991" w14:textId="77777777" w:rsidR="00CB3CB1" w:rsidRPr="00C83094" w:rsidRDefault="00CB3CB1" w:rsidP="008D75B5">
            <w:pPr>
              <w:pStyle w:val="NormalWeb"/>
              <w:spacing w:after="0" w:afterAutospacing="0"/>
              <w:jc w:val="both"/>
              <w:rPr>
                <w:rFonts w:asciiTheme="minorHAnsi" w:hAnsiTheme="minorHAnsi" w:cstheme="minorHAnsi"/>
                <w:sz w:val="18"/>
                <w:szCs w:val="18"/>
              </w:rPr>
            </w:pPr>
            <w:r w:rsidRPr="00C83094">
              <w:rPr>
                <w:rFonts w:asciiTheme="minorHAnsi" w:hAnsiTheme="minorHAnsi" w:cstheme="minorHAnsi"/>
                <w:sz w:val="18"/>
                <w:szCs w:val="18"/>
              </w:rPr>
              <w:t>Composante de la CDN actualisée identifiant la foresterie comme premier levier d’atténuation du Mali et confirmant son rôle de puits net de GES.</w:t>
            </w:r>
          </w:p>
        </w:tc>
        <w:tc>
          <w:tcPr>
            <w:tcW w:w="1556" w:type="pct"/>
          </w:tcPr>
          <w:p w14:paraId="46BF618D" w14:textId="77777777" w:rsidR="00966B14" w:rsidRPr="00C83094" w:rsidRDefault="00CB3CB1" w:rsidP="008D75B5">
            <w:pPr>
              <w:pStyle w:val="NormalWeb"/>
              <w:numPr>
                <w:ilvl w:val="0"/>
                <w:numId w:val="49"/>
              </w:numPr>
              <w:spacing w:before="0" w:after="0" w:afterAutospacing="0"/>
              <w:ind w:left="339" w:hanging="283"/>
              <w:jc w:val="both"/>
              <w:rPr>
                <w:rFonts w:asciiTheme="minorHAnsi" w:hAnsiTheme="minorHAnsi" w:cstheme="minorHAnsi"/>
                <w:sz w:val="18"/>
                <w:szCs w:val="18"/>
              </w:rPr>
            </w:pPr>
            <w:r w:rsidRPr="00C83094">
              <w:rPr>
                <w:rFonts w:asciiTheme="minorHAnsi" w:hAnsiTheme="minorHAnsi" w:cstheme="minorHAnsi"/>
                <w:sz w:val="18"/>
                <w:szCs w:val="18"/>
              </w:rPr>
              <w:t>Plantation forestière prévue à hauteur de 375 000 ha.</w:t>
            </w:r>
          </w:p>
          <w:p w14:paraId="65F8725C" w14:textId="77777777" w:rsidR="00966B14" w:rsidRPr="00C83094" w:rsidRDefault="00CB3CB1" w:rsidP="008D75B5">
            <w:pPr>
              <w:pStyle w:val="NormalWeb"/>
              <w:numPr>
                <w:ilvl w:val="0"/>
                <w:numId w:val="49"/>
              </w:numPr>
              <w:spacing w:before="0" w:after="0" w:afterAutospacing="0"/>
              <w:ind w:left="339" w:hanging="283"/>
              <w:jc w:val="both"/>
              <w:rPr>
                <w:rFonts w:asciiTheme="minorHAnsi" w:hAnsiTheme="minorHAnsi" w:cstheme="minorHAnsi"/>
                <w:sz w:val="18"/>
                <w:szCs w:val="18"/>
              </w:rPr>
            </w:pPr>
            <w:r w:rsidRPr="00C83094">
              <w:rPr>
                <w:rFonts w:asciiTheme="minorHAnsi" w:hAnsiTheme="minorHAnsi" w:cstheme="minorHAnsi"/>
                <w:sz w:val="18"/>
                <w:szCs w:val="18"/>
              </w:rPr>
              <w:t>Réduction du taux de conversion des couvertures terrestres.</w:t>
            </w:r>
          </w:p>
          <w:p w14:paraId="12207381" w14:textId="77777777" w:rsidR="00306EC6" w:rsidRDefault="00CB3CB1" w:rsidP="008D75B5">
            <w:pPr>
              <w:pStyle w:val="NormalWeb"/>
              <w:numPr>
                <w:ilvl w:val="0"/>
                <w:numId w:val="49"/>
              </w:numPr>
              <w:spacing w:before="0" w:after="0" w:afterAutospacing="0"/>
              <w:ind w:left="339" w:hanging="283"/>
              <w:jc w:val="both"/>
              <w:rPr>
                <w:rFonts w:asciiTheme="minorHAnsi" w:hAnsiTheme="minorHAnsi" w:cstheme="minorHAnsi"/>
                <w:sz w:val="18"/>
                <w:szCs w:val="18"/>
              </w:rPr>
            </w:pPr>
            <w:r w:rsidRPr="00C83094">
              <w:rPr>
                <w:rFonts w:asciiTheme="minorHAnsi" w:hAnsiTheme="minorHAnsi" w:cstheme="minorHAnsi"/>
                <w:sz w:val="18"/>
                <w:szCs w:val="18"/>
              </w:rPr>
              <w:t>Maintien du Mali comme puits net de GES grâce au rôle majeur de la forêt.</w:t>
            </w:r>
          </w:p>
          <w:p w14:paraId="4997F61C" w14:textId="2CECC3CE" w:rsidR="00CB3CB1" w:rsidRPr="00C83094" w:rsidRDefault="00306EC6" w:rsidP="008D75B5">
            <w:pPr>
              <w:pStyle w:val="NormalWeb"/>
              <w:numPr>
                <w:ilvl w:val="0"/>
                <w:numId w:val="49"/>
              </w:numPr>
              <w:spacing w:before="0" w:after="0" w:afterAutospacing="0"/>
              <w:ind w:left="339" w:hanging="283"/>
              <w:jc w:val="both"/>
              <w:rPr>
                <w:rFonts w:asciiTheme="minorHAnsi" w:hAnsiTheme="minorHAnsi" w:cstheme="minorHAnsi"/>
                <w:sz w:val="18"/>
                <w:szCs w:val="18"/>
              </w:rPr>
            </w:pPr>
            <w:r>
              <w:rPr>
                <w:rFonts w:asciiTheme="minorHAnsi" w:hAnsiTheme="minorHAnsi" w:cstheme="minorHAnsi"/>
                <w:sz w:val="18"/>
                <w:szCs w:val="18"/>
              </w:rPr>
              <w:t xml:space="preserve"> </w:t>
            </w:r>
            <w:r w:rsidRPr="00306EC6">
              <w:rPr>
                <w:rFonts w:asciiTheme="minorHAnsi" w:hAnsiTheme="minorHAnsi" w:cstheme="minorHAnsi"/>
                <w:sz w:val="18"/>
                <w:szCs w:val="18"/>
              </w:rPr>
              <w:t>Renforcement des approches de restauration des paysages et d’agroforesterie comme leviers structurants de séquestration du carbone.</w:t>
            </w:r>
          </w:p>
        </w:tc>
        <w:tc>
          <w:tcPr>
            <w:tcW w:w="1057" w:type="pct"/>
          </w:tcPr>
          <w:p w14:paraId="65C9739A" w14:textId="7FC8E436" w:rsidR="00CB3CB1" w:rsidRPr="00C83094" w:rsidRDefault="00CB3CB1" w:rsidP="008D75B5">
            <w:pPr>
              <w:pStyle w:val="NormalWeb"/>
              <w:spacing w:before="0" w:after="0" w:afterAutospacing="0"/>
              <w:jc w:val="both"/>
              <w:rPr>
                <w:rFonts w:asciiTheme="minorHAnsi" w:hAnsiTheme="minorHAnsi" w:cstheme="minorHAnsi"/>
                <w:sz w:val="18"/>
                <w:szCs w:val="18"/>
              </w:rPr>
            </w:pPr>
            <w:r w:rsidRPr="00C83094">
              <w:rPr>
                <w:rFonts w:asciiTheme="minorHAnsi" w:hAnsiTheme="minorHAnsi" w:cstheme="minorHAnsi"/>
                <w:sz w:val="18"/>
                <w:szCs w:val="18"/>
              </w:rPr>
              <w:t>Objectif de réduction des émissions de 39 % pour le secteur forêts et utilisation des terres d’ici 2030 par rapport au scénario de référence (objectif sectoriel le plus ambitieux de la CDN 2.0).</w:t>
            </w:r>
          </w:p>
        </w:tc>
      </w:tr>
      <w:tr w:rsidR="00CB3CB1" w:rsidRPr="00C83094" w14:paraId="7951B0ED" w14:textId="77777777" w:rsidTr="008D75B5">
        <w:tc>
          <w:tcPr>
            <w:tcW w:w="1034" w:type="pct"/>
          </w:tcPr>
          <w:p w14:paraId="3EAEF23C" w14:textId="77777777" w:rsidR="00CB3CB1" w:rsidRPr="00C83094" w:rsidRDefault="00CB3CB1" w:rsidP="00CB3CB1">
            <w:pPr>
              <w:pStyle w:val="NormalWeb"/>
              <w:spacing w:after="240"/>
              <w:jc w:val="both"/>
              <w:rPr>
                <w:rFonts w:asciiTheme="minorHAnsi" w:hAnsiTheme="minorHAnsi" w:cstheme="minorHAnsi"/>
                <w:sz w:val="18"/>
                <w:szCs w:val="18"/>
              </w:rPr>
            </w:pPr>
            <w:r w:rsidRPr="00C83094">
              <w:rPr>
                <w:rFonts w:asciiTheme="minorHAnsi" w:hAnsiTheme="minorHAnsi" w:cstheme="minorHAnsi"/>
                <w:b/>
                <w:bCs/>
                <w:sz w:val="18"/>
                <w:szCs w:val="18"/>
              </w:rPr>
              <w:t>Processus REDD+ et Système d’Information Forestière (SIFOR)</w:t>
            </w:r>
          </w:p>
          <w:p w14:paraId="588FBFB0" w14:textId="77777777" w:rsidR="00CB3CB1" w:rsidRPr="00C83094" w:rsidRDefault="00CB3CB1" w:rsidP="00CB3CB1">
            <w:pPr>
              <w:pStyle w:val="NormalWeb"/>
              <w:spacing w:before="0" w:after="240"/>
              <w:jc w:val="both"/>
              <w:rPr>
                <w:rFonts w:asciiTheme="minorHAnsi" w:hAnsiTheme="minorHAnsi" w:cstheme="minorHAnsi"/>
                <w:sz w:val="18"/>
                <w:szCs w:val="18"/>
              </w:rPr>
            </w:pPr>
            <w:r w:rsidRPr="00C83094">
              <w:rPr>
                <w:rFonts w:asciiTheme="minorHAnsi" w:hAnsiTheme="minorHAnsi" w:cstheme="minorHAnsi"/>
                <w:sz w:val="18"/>
                <w:szCs w:val="18"/>
              </w:rPr>
              <w:t>Appuyés par les projets AGCC et PRTD-Mali</w:t>
            </w:r>
          </w:p>
        </w:tc>
        <w:tc>
          <w:tcPr>
            <w:tcW w:w="1353" w:type="pct"/>
          </w:tcPr>
          <w:p w14:paraId="1DB99F40" w14:textId="77777777" w:rsidR="00CB3CB1" w:rsidRPr="00C83094" w:rsidRDefault="00CB3CB1" w:rsidP="00CB3CB1">
            <w:pPr>
              <w:pStyle w:val="NormalWeb"/>
              <w:spacing w:after="240"/>
              <w:jc w:val="both"/>
              <w:rPr>
                <w:rFonts w:asciiTheme="minorHAnsi" w:hAnsiTheme="minorHAnsi" w:cstheme="minorHAnsi"/>
                <w:sz w:val="18"/>
                <w:szCs w:val="18"/>
              </w:rPr>
            </w:pPr>
            <w:r w:rsidRPr="00C83094">
              <w:rPr>
                <w:rFonts w:asciiTheme="minorHAnsi" w:hAnsiTheme="minorHAnsi" w:cstheme="minorHAnsi"/>
                <w:sz w:val="18"/>
                <w:szCs w:val="18"/>
              </w:rPr>
              <w:t>Cadre national de préparation à REDD+ et dispositif de suivi forestier, visant à structurer la mesure, le rapportage et la vérification (MRV) et à préparer l’accès aux financements liés à la séquestration de carbone.</w:t>
            </w:r>
          </w:p>
        </w:tc>
        <w:tc>
          <w:tcPr>
            <w:tcW w:w="1556" w:type="pct"/>
          </w:tcPr>
          <w:p w14:paraId="1B78AB1B" w14:textId="77777777" w:rsidR="009357D5" w:rsidRPr="00C83094" w:rsidRDefault="00CB3CB1" w:rsidP="008A3661">
            <w:pPr>
              <w:pStyle w:val="NormalWeb"/>
              <w:numPr>
                <w:ilvl w:val="0"/>
                <w:numId w:val="49"/>
              </w:numPr>
              <w:spacing w:before="0" w:after="240"/>
              <w:ind w:left="339" w:hanging="283"/>
              <w:jc w:val="both"/>
              <w:rPr>
                <w:rFonts w:asciiTheme="minorHAnsi" w:hAnsiTheme="minorHAnsi" w:cstheme="minorHAnsi"/>
                <w:sz w:val="18"/>
                <w:szCs w:val="18"/>
              </w:rPr>
            </w:pPr>
            <w:r w:rsidRPr="00C83094">
              <w:rPr>
                <w:rFonts w:asciiTheme="minorHAnsi" w:hAnsiTheme="minorHAnsi" w:cstheme="minorHAnsi"/>
                <w:sz w:val="18"/>
                <w:szCs w:val="18"/>
              </w:rPr>
              <w:t>Renforcement de la gouvernance forestière et du MRV.</w:t>
            </w:r>
          </w:p>
          <w:p w14:paraId="76402A4B" w14:textId="5BD52852" w:rsidR="00966B14" w:rsidRPr="00C83094" w:rsidRDefault="00CB3CB1" w:rsidP="00F37582">
            <w:pPr>
              <w:pStyle w:val="NormalWeb"/>
              <w:numPr>
                <w:ilvl w:val="0"/>
                <w:numId w:val="49"/>
              </w:numPr>
              <w:spacing w:before="0" w:after="0" w:afterAutospacing="0"/>
              <w:ind w:left="339" w:hanging="283"/>
              <w:jc w:val="both"/>
              <w:rPr>
                <w:rFonts w:asciiTheme="minorHAnsi" w:hAnsiTheme="minorHAnsi" w:cstheme="minorHAnsi"/>
                <w:sz w:val="18"/>
                <w:szCs w:val="18"/>
              </w:rPr>
            </w:pPr>
            <w:r w:rsidRPr="00C83094">
              <w:rPr>
                <w:rFonts w:asciiTheme="minorHAnsi" w:hAnsiTheme="minorHAnsi" w:cstheme="minorHAnsi"/>
                <w:sz w:val="18"/>
                <w:szCs w:val="18"/>
              </w:rPr>
              <w:t>Préparation à REDD+ (R-PP) et accès aux financements carbone.</w:t>
            </w:r>
          </w:p>
          <w:p w14:paraId="66241A53" w14:textId="15C56C27" w:rsidR="00CB3CB1" w:rsidRPr="00C83094" w:rsidRDefault="00CB3CB1" w:rsidP="00F37582">
            <w:pPr>
              <w:pStyle w:val="NormalWeb"/>
              <w:numPr>
                <w:ilvl w:val="0"/>
                <w:numId w:val="49"/>
              </w:numPr>
              <w:spacing w:before="0" w:after="0" w:afterAutospacing="0"/>
              <w:ind w:left="339" w:hanging="283"/>
              <w:jc w:val="both"/>
              <w:rPr>
                <w:rFonts w:asciiTheme="minorHAnsi" w:hAnsiTheme="minorHAnsi" w:cstheme="minorHAnsi"/>
                <w:sz w:val="18"/>
                <w:szCs w:val="18"/>
              </w:rPr>
            </w:pPr>
            <w:r w:rsidRPr="00C83094">
              <w:rPr>
                <w:rFonts w:asciiTheme="minorHAnsi" w:hAnsiTheme="minorHAnsi" w:cstheme="minorHAnsi"/>
                <w:sz w:val="18"/>
                <w:szCs w:val="18"/>
              </w:rPr>
              <w:t>Opérationnalisation du SIFOR pour le suivi de la CDN dans le secteur forestier.</w:t>
            </w:r>
            <w:r w:rsidR="00306EC6">
              <w:rPr>
                <w:rFonts w:asciiTheme="minorHAnsi" w:hAnsiTheme="minorHAnsi" w:cstheme="minorHAnsi"/>
                <w:sz w:val="18"/>
                <w:szCs w:val="18"/>
              </w:rPr>
              <w:t xml:space="preserve"> </w:t>
            </w:r>
            <w:r w:rsidR="00306EC6" w:rsidRPr="00306EC6">
              <w:rPr>
                <w:rFonts w:asciiTheme="minorHAnsi" w:hAnsiTheme="minorHAnsi" w:cstheme="minorHAnsi"/>
                <w:sz w:val="18"/>
                <w:szCs w:val="18"/>
              </w:rPr>
              <w:t>Outil stratégique pour la valorisation financière des puits de carbone forestiers dans le cadre de l’article 6 de l’Accord de Paris.</w:t>
            </w:r>
          </w:p>
        </w:tc>
        <w:tc>
          <w:tcPr>
            <w:tcW w:w="1057" w:type="pct"/>
          </w:tcPr>
          <w:p w14:paraId="1212E116" w14:textId="77777777" w:rsidR="00CB3CB1" w:rsidRPr="00C83094" w:rsidRDefault="00CB3CB1" w:rsidP="00CB3CB1">
            <w:pPr>
              <w:pStyle w:val="NormalWeb"/>
              <w:spacing w:after="240"/>
              <w:jc w:val="both"/>
              <w:rPr>
                <w:rFonts w:asciiTheme="minorHAnsi" w:hAnsiTheme="minorHAnsi" w:cstheme="minorHAnsi"/>
                <w:sz w:val="18"/>
                <w:szCs w:val="18"/>
              </w:rPr>
            </w:pPr>
            <w:r w:rsidRPr="00C83094">
              <w:rPr>
                <w:rFonts w:asciiTheme="minorHAnsi" w:hAnsiTheme="minorHAnsi" w:cstheme="minorHAnsi"/>
                <w:sz w:val="18"/>
                <w:szCs w:val="18"/>
              </w:rPr>
              <w:t>En cours de structuration (préparation REDD+).</w:t>
            </w:r>
          </w:p>
        </w:tc>
      </w:tr>
    </w:tbl>
    <w:p w14:paraId="267A014A" w14:textId="32A16B80" w:rsidR="00005649" w:rsidRDefault="00005649" w:rsidP="00376F9C">
      <w:pPr>
        <w:pStyle w:val="NormalWeb"/>
        <w:spacing w:before="120" w:beforeAutospacing="0" w:after="240" w:afterAutospacing="0"/>
        <w:jc w:val="both"/>
        <w:rPr>
          <w:rFonts w:asciiTheme="minorHAnsi" w:hAnsiTheme="minorHAnsi" w:cstheme="minorHAnsi"/>
          <w:sz w:val="22"/>
          <w:szCs w:val="22"/>
        </w:rPr>
      </w:pPr>
      <w:r w:rsidRPr="00005649">
        <w:rPr>
          <w:rFonts w:asciiTheme="minorHAnsi" w:hAnsiTheme="minorHAnsi" w:cstheme="minorHAnsi"/>
          <w:sz w:val="22"/>
          <w:szCs w:val="22"/>
        </w:rPr>
        <w:t>Le cadre forestier malien est orienté vers la conservation et la restauration des écosystèmes, mais souffre de plusieurs fragilités structurelles : un déficit de mise en œuvre et de financement des stratégies adoptées, une pression continue du bois-énergie sur les formations naturelles, et une vulnérabilité accrue dans les régions affectées par l’insécurité. La CDN 2.0 fixe pour ce secteur la cible la plus ambitieuse, traduisant l’importance stratégique des forêts pour le bilan national d’émissions. La CDN 3.0 doit consolider cette ambition à l’horizon 2035 en l’articulant avec l’engagement AFR100 (10 millions d’hectares à restaurer d’ici 2030), la SN-REDD+ en cours de finalisation et les orientations de la SNEDD 2024-2033 et de la Vision Mali Kura 2063, qui font de la résilience environnementale un pilier de l’émergence nationale.</w:t>
      </w:r>
    </w:p>
    <w:tbl>
      <w:tblPr>
        <w:tblStyle w:val="Grilledutableau"/>
        <w:tblW w:w="0" w:type="auto"/>
        <w:shd w:val="clear" w:color="auto" w:fill="DEEAF6" w:themeFill="accent1" w:themeFillTint="33"/>
        <w:tblLook w:val="04A0" w:firstRow="1" w:lastRow="0" w:firstColumn="1" w:lastColumn="0" w:noHBand="0" w:noVBand="1"/>
      </w:tblPr>
      <w:tblGrid>
        <w:gridCol w:w="13018"/>
      </w:tblGrid>
      <w:tr w:rsidR="00014620" w14:paraId="244FFECA" w14:textId="77777777" w:rsidTr="00014620">
        <w:tc>
          <w:tcPr>
            <w:tcW w:w="13018" w:type="dxa"/>
            <w:shd w:val="clear" w:color="auto" w:fill="DEEAF6" w:themeFill="accent1" w:themeFillTint="33"/>
          </w:tcPr>
          <w:p w14:paraId="68CEB2AF" w14:textId="77777777" w:rsidR="00D00385" w:rsidRPr="00005649" w:rsidRDefault="00D00385" w:rsidP="00F37582">
            <w:pPr>
              <w:pStyle w:val="NormalWeb"/>
              <w:spacing w:before="0" w:beforeAutospacing="0" w:after="240" w:afterAutospacing="0"/>
              <w:rPr>
                <w:rFonts w:asciiTheme="minorHAnsi" w:hAnsiTheme="minorHAnsi" w:cstheme="minorHAnsi"/>
                <w:sz w:val="22"/>
                <w:szCs w:val="22"/>
              </w:rPr>
            </w:pPr>
            <w:r w:rsidRPr="00005649">
              <w:rPr>
                <w:rFonts w:asciiTheme="minorHAnsi" w:hAnsiTheme="minorHAnsi" w:cstheme="minorHAnsi"/>
                <w:sz w:val="22"/>
                <w:szCs w:val="22"/>
              </w:rPr>
              <w:t>Sur la base de la revue sectorielle conduite, les éléments suivants devront être intégrés dans la CDN 3.0 :</w:t>
            </w:r>
          </w:p>
          <w:p w14:paraId="5CA9D251" w14:textId="77777777" w:rsidR="00D00385" w:rsidRDefault="00D00385" w:rsidP="00D00385">
            <w:pPr>
              <w:pStyle w:val="NormalWeb"/>
              <w:numPr>
                <w:ilvl w:val="0"/>
                <w:numId w:val="50"/>
              </w:numPr>
              <w:spacing w:before="240" w:beforeAutospacing="0" w:after="240" w:afterAutospacing="0"/>
              <w:contextualSpacing/>
              <w:jc w:val="both"/>
              <w:rPr>
                <w:rFonts w:asciiTheme="minorHAnsi" w:hAnsiTheme="minorHAnsi" w:cstheme="minorHAnsi"/>
                <w:sz w:val="22"/>
                <w:szCs w:val="22"/>
              </w:rPr>
            </w:pPr>
            <w:r w:rsidRPr="00005649">
              <w:rPr>
                <w:rFonts w:asciiTheme="minorHAnsi" w:hAnsiTheme="minorHAnsi" w:cstheme="minorHAnsi"/>
                <w:b/>
                <w:bCs/>
                <w:sz w:val="22"/>
                <w:szCs w:val="22"/>
              </w:rPr>
              <w:t xml:space="preserve">Restauration des paysages forestiers et reboisement à grande échelle : </w:t>
            </w:r>
            <w:r w:rsidRPr="00005649">
              <w:rPr>
                <w:rFonts w:asciiTheme="minorHAnsi" w:hAnsiTheme="minorHAnsi" w:cstheme="minorHAnsi"/>
                <w:sz w:val="22"/>
                <w:szCs w:val="22"/>
              </w:rPr>
              <w:t>opérationnalisation de l’engagement AFR100 (10 millions d’ha) à travers le reboisement, la régénération naturelle assistée (RNA) et la restauration des galeries forestières, avec des trajectoires quantifiées de séquestration à l’horizon 2035.</w:t>
            </w:r>
          </w:p>
          <w:p w14:paraId="79F65918" w14:textId="77777777" w:rsidR="00D00385" w:rsidRDefault="00D00385" w:rsidP="00D00385">
            <w:pPr>
              <w:pStyle w:val="NormalWeb"/>
              <w:numPr>
                <w:ilvl w:val="0"/>
                <w:numId w:val="50"/>
              </w:numPr>
              <w:spacing w:before="240" w:beforeAutospacing="0" w:after="240" w:afterAutospacing="0"/>
              <w:contextualSpacing/>
              <w:jc w:val="both"/>
              <w:rPr>
                <w:rFonts w:asciiTheme="minorHAnsi" w:hAnsiTheme="minorHAnsi" w:cstheme="minorHAnsi"/>
                <w:sz w:val="22"/>
                <w:szCs w:val="22"/>
              </w:rPr>
            </w:pPr>
            <w:r w:rsidRPr="00005649">
              <w:rPr>
                <w:rFonts w:asciiTheme="minorHAnsi" w:hAnsiTheme="minorHAnsi" w:cstheme="minorHAnsi"/>
                <w:b/>
                <w:bCs/>
                <w:sz w:val="22"/>
                <w:szCs w:val="22"/>
              </w:rPr>
              <w:lastRenderedPageBreak/>
              <w:t xml:space="preserve">Lutte contre les moteurs de la déforestation : </w:t>
            </w:r>
            <w:r w:rsidRPr="00005649">
              <w:rPr>
                <w:rFonts w:asciiTheme="minorHAnsi" w:hAnsiTheme="minorHAnsi" w:cstheme="minorHAnsi"/>
                <w:sz w:val="22"/>
                <w:szCs w:val="22"/>
              </w:rPr>
              <w:t>réduction de la pression du bois-énergie par la diffusion massive de foyers améliorés et de combustibles modernes de cuisson (articulation forte avec le secteur énergie), maîtrise des feux de brousse, sécurisation foncière et lutte contre les défrichements agricoles non durables.</w:t>
            </w:r>
          </w:p>
          <w:p w14:paraId="7AC4EE98" w14:textId="77777777" w:rsidR="00D00385" w:rsidRDefault="00D00385" w:rsidP="00D00385">
            <w:pPr>
              <w:pStyle w:val="NormalWeb"/>
              <w:numPr>
                <w:ilvl w:val="0"/>
                <w:numId w:val="50"/>
              </w:numPr>
              <w:spacing w:before="240" w:beforeAutospacing="0" w:after="240" w:afterAutospacing="0"/>
              <w:contextualSpacing/>
              <w:jc w:val="both"/>
              <w:rPr>
                <w:rFonts w:asciiTheme="minorHAnsi" w:hAnsiTheme="minorHAnsi" w:cstheme="minorHAnsi"/>
                <w:sz w:val="22"/>
                <w:szCs w:val="22"/>
              </w:rPr>
            </w:pPr>
            <w:r w:rsidRPr="00005649">
              <w:rPr>
                <w:rFonts w:asciiTheme="minorHAnsi" w:hAnsiTheme="minorHAnsi" w:cstheme="minorHAnsi"/>
                <w:b/>
                <w:bCs/>
                <w:sz w:val="22"/>
                <w:szCs w:val="22"/>
              </w:rPr>
              <w:t xml:space="preserve">Agroforesterie et intégration arbres-cultures-élevage : </w:t>
            </w:r>
            <w:r w:rsidRPr="00005649">
              <w:rPr>
                <w:rFonts w:asciiTheme="minorHAnsi" w:hAnsiTheme="minorHAnsi" w:cstheme="minorHAnsi"/>
                <w:sz w:val="22"/>
                <w:szCs w:val="22"/>
              </w:rPr>
              <w:t>déploiement de systèmes agroforestiers à l’échelle des paysages agricoles et pastoraux, valorisation des espèces locales à haute valeur (karité, néré, baobab), contribution simultanée à la séquestration de carbone et à la résilience des exploitations (co-bénéfices avec le secteur agriculture).</w:t>
            </w:r>
          </w:p>
          <w:p w14:paraId="7002273D" w14:textId="77777777" w:rsidR="00D00385" w:rsidRDefault="00D00385" w:rsidP="00D00385">
            <w:pPr>
              <w:pStyle w:val="NormalWeb"/>
              <w:numPr>
                <w:ilvl w:val="0"/>
                <w:numId w:val="50"/>
              </w:numPr>
              <w:spacing w:before="240" w:beforeAutospacing="0" w:after="240" w:afterAutospacing="0"/>
              <w:contextualSpacing/>
              <w:jc w:val="both"/>
              <w:rPr>
                <w:rFonts w:asciiTheme="minorHAnsi" w:hAnsiTheme="minorHAnsi" w:cstheme="minorHAnsi"/>
                <w:sz w:val="22"/>
                <w:szCs w:val="22"/>
              </w:rPr>
            </w:pPr>
            <w:r w:rsidRPr="00005649">
              <w:rPr>
                <w:rFonts w:asciiTheme="minorHAnsi" w:hAnsiTheme="minorHAnsi" w:cstheme="minorHAnsi"/>
                <w:b/>
                <w:bCs/>
                <w:sz w:val="22"/>
                <w:szCs w:val="22"/>
              </w:rPr>
              <w:t xml:space="preserve">Gestion durable et participative des forêts classées et communautaires : </w:t>
            </w:r>
            <w:r w:rsidRPr="00005649">
              <w:rPr>
                <w:rFonts w:asciiTheme="minorHAnsi" w:hAnsiTheme="minorHAnsi" w:cstheme="minorHAnsi"/>
                <w:sz w:val="22"/>
                <w:szCs w:val="22"/>
              </w:rPr>
              <w:t>mise sous aménagement des forêts classées, développement de la foresterie communautaire, renforcement des marchés ruraux de bois et appui aux partenariats public-privé pour la gestion durable des massifs.</w:t>
            </w:r>
          </w:p>
          <w:p w14:paraId="1DA85044" w14:textId="77777777" w:rsidR="00D00385" w:rsidRDefault="00D00385" w:rsidP="00D00385">
            <w:pPr>
              <w:pStyle w:val="NormalWeb"/>
              <w:numPr>
                <w:ilvl w:val="0"/>
                <w:numId w:val="50"/>
              </w:numPr>
              <w:spacing w:before="240" w:beforeAutospacing="0" w:after="240" w:afterAutospacing="0"/>
              <w:contextualSpacing/>
              <w:jc w:val="both"/>
              <w:rPr>
                <w:rFonts w:asciiTheme="minorHAnsi" w:hAnsiTheme="minorHAnsi" w:cstheme="minorHAnsi"/>
                <w:sz w:val="22"/>
                <w:szCs w:val="22"/>
              </w:rPr>
            </w:pPr>
            <w:r w:rsidRPr="00005649">
              <w:rPr>
                <w:rFonts w:asciiTheme="minorHAnsi" w:hAnsiTheme="minorHAnsi" w:cstheme="minorHAnsi"/>
                <w:b/>
                <w:bCs/>
                <w:sz w:val="22"/>
                <w:szCs w:val="22"/>
              </w:rPr>
              <w:t xml:space="preserve">Préparation à REDD+ et accès aux financements carbone : </w:t>
            </w:r>
            <w:r w:rsidRPr="00005649">
              <w:rPr>
                <w:rFonts w:asciiTheme="minorHAnsi" w:hAnsiTheme="minorHAnsi" w:cstheme="minorHAnsi"/>
                <w:sz w:val="22"/>
                <w:szCs w:val="22"/>
              </w:rPr>
              <w:t>finalisation de la SN-REDD+, élaboration du niveau de référence national d’émissions forestières (NREF), opérationnalisation du SIFOR comme outil de MRV, et mobilisation des paiements pour services environnementaux et du marché volontaire du carbone.</w:t>
            </w:r>
          </w:p>
          <w:p w14:paraId="12AA24BC" w14:textId="72314566" w:rsidR="00014620" w:rsidRPr="00D00385" w:rsidRDefault="00D00385" w:rsidP="00D00385">
            <w:pPr>
              <w:pStyle w:val="NormalWeb"/>
              <w:numPr>
                <w:ilvl w:val="0"/>
                <w:numId w:val="50"/>
              </w:numPr>
              <w:spacing w:before="240" w:beforeAutospacing="0" w:after="240" w:afterAutospacing="0"/>
              <w:contextualSpacing/>
              <w:jc w:val="both"/>
              <w:rPr>
                <w:rFonts w:asciiTheme="minorHAnsi" w:hAnsiTheme="minorHAnsi" w:cstheme="minorHAnsi"/>
                <w:sz w:val="22"/>
                <w:szCs w:val="22"/>
              </w:rPr>
            </w:pPr>
            <w:r w:rsidRPr="00005649">
              <w:rPr>
                <w:rFonts w:asciiTheme="minorHAnsi" w:hAnsiTheme="minorHAnsi" w:cstheme="minorHAnsi"/>
                <w:b/>
                <w:bCs/>
                <w:sz w:val="22"/>
                <w:szCs w:val="22"/>
              </w:rPr>
              <w:t xml:space="preserve">MRV forestier et inventaires nationaux : </w:t>
            </w:r>
            <w:r w:rsidRPr="00005649">
              <w:rPr>
                <w:rFonts w:asciiTheme="minorHAnsi" w:hAnsiTheme="minorHAnsi" w:cstheme="minorHAnsi"/>
                <w:sz w:val="22"/>
                <w:szCs w:val="22"/>
              </w:rPr>
              <w:t>actualisation de l’inventaire forestier national, développement de facteurs d’émission locaux pour les essences sahéliennes, et mise en place d’un dispositif robuste de suivi de la séquestration nette à l’horizon 2035.</w:t>
            </w:r>
          </w:p>
        </w:tc>
      </w:tr>
    </w:tbl>
    <w:p w14:paraId="7A3CDD89" w14:textId="4F0BF9A8" w:rsidR="007D592B" w:rsidRDefault="007D592B" w:rsidP="00D00385">
      <w:pPr>
        <w:pStyle w:val="Titre3"/>
        <w:numPr>
          <w:ilvl w:val="2"/>
          <w:numId w:val="21"/>
        </w:numPr>
        <w:spacing w:before="240"/>
        <w:ind w:left="1555" w:hanging="288"/>
      </w:pPr>
      <w:bookmarkStart w:id="15" w:name="_Toc234853855"/>
      <w:r>
        <w:lastRenderedPageBreak/>
        <w:t>Déchets</w:t>
      </w:r>
      <w:bookmarkEnd w:id="15"/>
      <w:r w:rsidR="000C4714">
        <w:t xml:space="preserve"> </w:t>
      </w:r>
    </w:p>
    <w:p w14:paraId="2F9CC701" w14:textId="2B2F55C9" w:rsidR="00F66B4A" w:rsidRPr="006B18C5" w:rsidRDefault="00F66B4A" w:rsidP="00F37582">
      <w:pPr>
        <w:pStyle w:val="NormalWeb"/>
        <w:spacing w:after="120" w:afterAutospacing="0"/>
        <w:jc w:val="both"/>
        <w:rPr>
          <w:rFonts w:asciiTheme="minorHAnsi" w:hAnsiTheme="minorHAnsi" w:cstheme="minorHAnsi"/>
          <w:sz w:val="22"/>
          <w:szCs w:val="22"/>
        </w:rPr>
      </w:pPr>
      <w:r w:rsidRPr="006B18C5">
        <w:rPr>
          <w:rFonts w:asciiTheme="minorHAnsi" w:hAnsiTheme="minorHAnsi" w:cstheme="minorHAnsi"/>
          <w:sz w:val="22"/>
          <w:szCs w:val="22"/>
        </w:rPr>
        <w:t>Le secteur des déchets a été intégré pour la première fois dans la CDN 2.0 du Mali (2021), reflétant la prise de conscience de son potentiel d’atténuation et environnementale qu’il représente. Dans le cadre de la CDN révisée, le Mali s’est engagé à réduire les émissions du secteur des déchets de 31 % d’ici 2030 par rapport au scénario de référence. Le secteur émet principalement du méthane (CH₄) issu de la décomposition anaérobie des déchets solides en décharge et du traitement des eaux usées, ainsi que du protoxyde d’azote (N₂O) et du CO₂ issu de l’incinération informelle. Dans un contexte d’urbanisation rapide (croissance urbaine de 5 % par an) et de production croissante de déchets ménagers, industriels et spéciaux, ce secteur constitue un levier d’atténuation à fort co-bénéfice sanitaire, économique et environnemental.</w:t>
      </w:r>
    </w:p>
    <w:p w14:paraId="20D43E1B" w14:textId="1AACA33A" w:rsidR="006B18C5" w:rsidRPr="00E84225" w:rsidRDefault="006B18C5" w:rsidP="006B18C5">
      <w:pPr>
        <w:pStyle w:val="Lgende"/>
        <w:keepNext/>
        <w:rPr>
          <w:sz w:val="20"/>
          <w:szCs w:val="20"/>
        </w:rPr>
      </w:pPr>
      <w:bookmarkStart w:id="16" w:name="_Toc234853929"/>
      <w:r w:rsidRPr="00E84225">
        <w:rPr>
          <w:sz w:val="20"/>
          <w:szCs w:val="20"/>
        </w:rPr>
        <w:t xml:space="preserve">Tableau </w:t>
      </w:r>
      <w:r w:rsidRPr="00E84225">
        <w:rPr>
          <w:sz w:val="20"/>
          <w:szCs w:val="20"/>
        </w:rPr>
        <w:fldChar w:fldCharType="begin"/>
      </w:r>
      <w:r w:rsidRPr="00E84225">
        <w:rPr>
          <w:sz w:val="20"/>
          <w:szCs w:val="20"/>
        </w:rPr>
        <w:instrText xml:space="preserve"> SEQ Tableau \* ARABIC </w:instrText>
      </w:r>
      <w:r w:rsidRPr="00E84225">
        <w:rPr>
          <w:sz w:val="20"/>
          <w:szCs w:val="20"/>
        </w:rPr>
        <w:fldChar w:fldCharType="separate"/>
      </w:r>
      <w:r w:rsidR="0018772E">
        <w:rPr>
          <w:noProof/>
          <w:sz w:val="20"/>
          <w:szCs w:val="20"/>
        </w:rPr>
        <w:t>5</w:t>
      </w:r>
      <w:r w:rsidRPr="00E84225">
        <w:rPr>
          <w:sz w:val="20"/>
          <w:szCs w:val="20"/>
        </w:rPr>
        <w:fldChar w:fldCharType="end"/>
      </w:r>
      <w:r w:rsidRPr="00E84225">
        <w:rPr>
          <w:sz w:val="20"/>
          <w:szCs w:val="20"/>
        </w:rPr>
        <w:t> : Politique et stratégies analysées dans le secteur déchet</w:t>
      </w:r>
      <w:bookmarkEnd w:id="16"/>
    </w:p>
    <w:tbl>
      <w:tblPr>
        <w:tblStyle w:val="TableauGrille1Clai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0"/>
        <w:gridCol w:w="3576"/>
        <w:gridCol w:w="4440"/>
        <w:gridCol w:w="2502"/>
      </w:tblGrid>
      <w:tr w:rsidR="0044106F" w:rsidRPr="00A2762E" w14:paraId="276C2E2F" w14:textId="77777777" w:rsidTr="006748E7">
        <w:trPr>
          <w:trHeight w:val="482"/>
        </w:trPr>
        <w:tc>
          <w:tcPr>
            <w:tcW w:w="0" w:type="auto"/>
            <w:shd w:val="clear" w:color="auto" w:fill="1F4E79" w:themeFill="accent1" w:themeFillShade="80"/>
            <w:vAlign w:val="center"/>
          </w:tcPr>
          <w:p w14:paraId="5AEB9EA3" w14:textId="77777777" w:rsidR="0044106F" w:rsidRPr="006748E7" w:rsidRDefault="0044106F" w:rsidP="00D00385">
            <w:pPr>
              <w:pStyle w:val="NormalWeb"/>
              <w:spacing w:after="240"/>
              <w:jc w:val="center"/>
              <w:rPr>
                <w:rFonts w:asciiTheme="minorHAnsi" w:hAnsiTheme="minorHAnsi" w:cstheme="minorHAnsi"/>
                <w:color w:val="FFFFFF" w:themeColor="background1"/>
                <w:sz w:val="18"/>
                <w:szCs w:val="18"/>
              </w:rPr>
            </w:pPr>
            <w:r w:rsidRPr="006748E7">
              <w:rPr>
                <w:rFonts w:asciiTheme="minorHAnsi" w:hAnsiTheme="minorHAnsi" w:cstheme="minorHAnsi"/>
                <w:b/>
                <w:bCs/>
                <w:color w:val="FFFFFF" w:themeColor="background1"/>
                <w:sz w:val="18"/>
                <w:szCs w:val="18"/>
              </w:rPr>
              <w:t>Politique / stratégie</w:t>
            </w:r>
          </w:p>
        </w:tc>
        <w:tc>
          <w:tcPr>
            <w:tcW w:w="3576" w:type="dxa"/>
            <w:shd w:val="clear" w:color="auto" w:fill="1F4E79" w:themeFill="accent1" w:themeFillShade="80"/>
            <w:vAlign w:val="center"/>
          </w:tcPr>
          <w:p w14:paraId="1C31CB1A" w14:textId="77777777" w:rsidR="0044106F" w:rsidRPr="006748E7" w:rsidRDefault="0044106F" w:rsidP="00D00385">
            <w:pPr>
              <w:pStyle w:val="NormalWeb"/>
              <w:spacing w:after="240"/>
              <w:jc w:val="center"/>
              <w:rPr>
                <w:rFonts w:asciiTheme="minorHAnsi" w:hAnsiTheme="minorHAnsi" w:cstheme="minorHAnsi"/>
                <w:color w:val="FFFFFF" w:themeColor="background1"/>
                <w:sz w:val="18"/>
                <w:szCs w:val="18"/>
              </w:rPr>
            </w:pPr>
            <w:r w:rsidRPr="006748E7">
              <w:rPr>
                <w:rFonts w:asciiTheme="minorHAnsi" w:hAnsiTheme="minorHAnsi" w:cstheme="minorHAnsi"/>
                <w:b/>
                <w:bCs/>
                <w:color w:val="FFFFFF" w:themeColor="background1"/>
                <w:sz w:val="18"/>
                <w:szCs w:val="18"/>
              </w:rPr>
              <w:t>Description</w:t>
            </w:r>
          </w:p>
        </w:tc>
        <w:tc>
          <w:tcPr>
            <w:tcW w:w="4440" w:type="dxa"/>
            <w:shd w:val="clear" w:color="auto" w:fill="1F4E79" w:themeFill="accent1" w:themeFillShade="80"/>
            <w:vAlign w:val="center"/>
          </w:tcPr>
          <w:p w14:paraId="3D496FE6" w14:textId="77777777" w:rsidR="0044106F" w:rsidRPr="006748E7" w:rsidRDefault="0044106F" w:rsidP="00D00385">
            <w:pPr>
              <w:pStyle w:val="NormalWeb"/>
              <w:spacing w:after="240"/>
              <w:jc w:val="center"/>
              <w:rPr>
                <w:rFonts w:asciiTheme="minorHAnsi" w:hAnsiTheme="minorHAnsi" w:cstheme="minorHAnsi"/>
                <w:color w:val="FFFFFF" w:themeColor="background1"/>
                <w:sz w:val="18"/>
                <w:szCs w:val="18"/>
              </w:rPr>
            </w:pPr>
            <w:r w:rsidRPr="006748E7">
              <w:rPr>
                <w:rFonts w:asciiTheme="minorHAnsi" w:hAnsiTheme="minorHAnsi" w:cstheme="minorHAnsi"/>
                <w:b/>
                <w:bCs/>
                <w:color w:val="FFFFFF" w:themeColor="background1"/>
                <w:sz w:val="18"/>
                <w:szCs w:val="18"/>
              </w:rPr>
              <w:t>Principales orientations climatiques</w:t>
            </w:r>
          </w:p>
        </w:tc>
        <w:tc>
          <w:tcPr>
            <w:tcW w:w="0" w:type="auto"/>
            <w:shd w:val="clear" w:color="auto" w:fill="1F4E79" w:themeFill="accent1" w:themeFillShade="80"/>
            <w:vAlign w:val="center"/>
          </w:tcPr>
          <w:p w14:paraId="4556A106" w14:textId="77777777" w:rsidR="0044106F" w:rsidRPr="006748E7" w:rsidRDefault="0044106F" w:rsidP="00D00385">
            <w:pPr>
              <w:pStyle w:val="NormalWeb"/>
              <w:spacing w:after="240"/>
              <w:jc w:val="center"/>
              <w:rPr>
                <w:rFonts w:asciiTheme="minorHAnsi" w:hAnsiTheme="minorHAnsi" w:cstheme="minorHAnsi"/>
                <w:color w:val="FFFFFF" w:themeColor="background1"/>
                <w:sz w:val="18"/>
                <w:szCs w:val="18"/>
              </w:rPr>
            </w:pPr>
            <w:r w:rsidRPr="006748E7">
              <w:rPr>
                <w:rFonts w:asciiTheme="minorHAnsi" w:hAnsiTheme="minorHAnsi" w:cstheme="minorHAnsi"/>
                <w:b/>
                <w:bCs/>
                <w:color w:val="FFFFFF" w:themeColor="background1"/>
                <w:sz w:val="18"/>
                <w:szCs w:val="18"/>
              </w:rPr>
              <w:t>Cibles quantitatives</w:t>
            </w:r>
          </w:p>
        </w:tc>
      </w:tr>
      <w:tr w:rsidR="0044106F" w:rsidRPr="00A2762E" w14:paraId="1C96A834" w14:textId="77777777" w:rsidTr="00D00385">
        <w:tc>
          <w:tcPr>
            <w:tcW w:w="0" w:type="auto"/>
          </w:tcPr>
          <w:p w14:paraId="2A9B8555" w14:textId="77777777" w:rsidR="0044106F" w:rsidRPr="00A2762E" w:rsidRDefault="0044106F" w:rsidP="0044106F">
            <w:pPr>
              <w:pStyle w:val="NormalWeb"/>
              <w:spacing w:after="240"/>
              <w:jc w:val="both"/>
              <w:rPr>
                <w:rFonts w:asciiTheme="minorHAnsi" w:hAnsiTheme="minorHAnsi" w:cstheme="minorHAnsi"/>
                <w:sz w:val="18"/>
                <w:szCs w:val="18"/>
              </w:rPr>
            </w:pPr>
            <w:r w:rsidRPr="00A2762E">
              <w:rPr>
                <w:rFonts w:asciiTheme="minorHAnsi" w:hAnsiTheme="minorHAnsi" w:cstheme="minorHAnsi"/>
                <w:b/>
                <w:bCs/>
                <w:sz w:val="18"/>
                <w:szCs w:val="18"/>
              </w:rPr>
              <w:t>Nouvelle Politique Nationale d’Assainissement (PNA) et Plan d’actions 2026-2030</w:t>
            </w:r>
          </w:p>
          <w:p w14:paraId="2B56D117" w14:textId="77777777" w:rsidR="0044106F" w:rsidRPr="00A2762E" w:rsidRDefault="0044106F" w:rsidP="0044106F">
            <w:pPr>
              <w:pStyle w:val="NormalWeb"/>
              <w:spacing w:after="240"/>
              <w:jc w:val="both"/>
              <w:rPr>
                <w:rFonts w:asciiTheme="minorHAnsi" w:hAnsiTheme="minorHAnsi" w:cstheme="minorHAnsi"/>
                <w:sz w:val="18"/>
                <w:szCs w:val="18"/>
              </w:rPr>
            </w:pPr>
            <w:r w:rsidRPr="00A2762E">
              <w:rPr>
                <w:rFonts w:asciiTheme="minorHAnsi" w:hAnsiTheme="minorHAnsi" w:cstheme="minorHAnsi"/>
                <w:sz w:val="18"/>
                <w:szCs w:val="18"/>
              </w:rPr>
              <w:t>Adoptée le 13 février 2026 par le Conseil des Ministres</w:t>
            </w:r>
          </w:p>
        </w:tc>
        <w:tc>
          <w:tcPr>
            <w:tcW w:w="3576" w:type="dxa"/>
          </w:tcPr>
          <w:p w14:paraId="3CA03693" w14:textId="77777777" w:rsidR="0044106F" w:rsidRPr="00A2762E" w:rsidRDefault="0044106F" w:rsidP="0044106F">
            <w:pPr>
              <w:pStyle w:val="NormalWeb"/>
              <w:spacing w:after="240"/>
              <w:jc w:val="both"/>
              <w:rPr>
                <w:rFonts w:asciiTheme="minorHAnsi" w:hAnsiTheme="minorHAnsi" w:cstheme="minorHAnsi"/>
                <w:sz w:val="18"/>
                <w:szCs w:val="18"/>
              </w:rPr>
            </w:pPr>
            <w:r w:rsidRPr="00A2762E">
              <w:rPr>
                <w:rFonts w:asciiTheme="minorHAnsi" w:hAnsiTheme="minorHAnsi" w:cstheme="minorHAnsi"/>
                <w:sz w:val="18"/>
                <w:szCs w:val="18"/>
              </w:rPr>
              <w:t>Nouvelle politique inscrite dans la trajectoire du référentiel Mali Kura 2063 et de la SNEDD 2024-2033, garantissant à chaque Malien l’accès à des services d’assainissement adéquats et équitables. Elle introduit une approche fondée sur l’économie circulaire et la résilience face aux changements climatiques.</w:t>
            </w:r>
          </w:p>
        </w:tc>
        <w:tc>
          <w:tcPr>
            <w:tcW w:w="4440" w:type="dxa"/>
          </w:tcPr>
          <w:p w14:paraId="56391E44" w14:textId="77777777" w:rsidR="00796ED8" w:rsidRPr="00A2762E" w:rsidRDefault="0044106F" w:rsidP="008A3661">
            <w:pPr>
              <w:pStyle w:val="NormalWeb"/>
              <w:numPr>
                <w:ilvl w:val="0"/>
                <w:numId w:val="49"/>
              </w:numPr>
              <w:spacing w:before="0" w:after="240"/>
              <w:ind w:left="222" w:hanging="222"/>
              <w:jc w:val="both"/>
              <w:rPr>
                <w:rFonts w:asciiTheme="minorHAnsi" w:hAnsiTheme="minorHAnsi" w:cstheme="minorHAnsi"/>
                <w:sz w:val="18"/>
                <w:szCs w:val="18"/>
              </w:rPr>
            </w:pPr>
            <w:r w:rsidRPr="00A2762E">
              <w:rPr>
                <w:rFonts w:asciiTheme="minorHAnsi" w:hAnsiTheme="minorHAnsi" w:cstheme="minorHAnsi"/>
                <w:sz w:val="18"/>
                <w:szCs w:val="18"/>
              </w:rPr>
              <w:t>Cinq axes : (i) gouvernance ; (ii) eaux usées et excréta ; (iii) eaux pluviales ; (iv) déchets solides ; (v) déchets spéciaux.</w:t>
            </w:r>
          </w:p>
          <w:p w14:paraId="37703035" w14:textId="77777777" w:rsidR="00796ED8" w:rsidRPr="00A2762E" w:rsidRDefault="0044106F" w:rsidP="008A3661">
            <w:pPr>
              <w:pStyle w:val="NormalWeb"/>
              <w:numPr>
                <w:ilvl w:val="0"/>
                <w:numId w:val="49"/>
              </w:numPr>
              <w:spacing w:before="0" w:after="240"/>
              <w:ind w:left="222" w:hanging="222"/>
              <w:jc w:val="both"/>
              <w:rPr>
                <w:rFonts w:asciiTheme="minorHAnsi" w:hAnsiTheme="minorHAnsi" w:cstheme="minorHAnsi"/>
                <w:sz w:val="18"/>
                <w:szCs w:val="18"/>
              </w:rPr>
            </w:pPr>
            <w:r w:rsidRPr="00A2762E">
              <w:rPr>
                <w:rFonts w:asciiTheme="minorHAnsi" w:hAnsiTheme="minorHAnsi" w:cstheme="minorHAnsi"/>
                <w:sz w:val="18"/>
                <w:szCs w:val="18"/>
              </w:rPr>
              <w:t>Approche fondée sur l’économie circulaire : tri à la source, réutilisation, recyclage, valorisation énergétique.</w:t>
            </w:r>
          </w:p>
          <w:p w14:paraId="63CB9155" w14:textId="77777777" w:rsidR="00306EC6" w:rsidRDefault="0044106F" w:rsidP="008A3661">
            <w:pPr>
              <w:pStyle w:val="NormalWeb"/>
              <w:numPr>
                <w:ilvl w:val="0"/>
                <w:numId w:val="49"/>
              </w:numPr>
              <w:spacing w:before="0" w:after="240"/>
              <w:ind w:left="222" w:hanging="222"/>
              <w:jc w:val="both"/>
              <w:rPr>
                <w:rFonts w:asciiTheme="minorHAnsi" w:hAnsiTheme="minorHAnsi" w:cstheme="minorHAnsi"/>
                <w:sz w:val="18"/>
                <w:szCs w:val="18"/>
              </w:rPr>
            </w:pPr>
            <w:r w:rsidRPr="00A2762E">
              <w:rPr>
                <w:rFonts w:asciiTheme="minorHAnsi" w:hAnsiTheme="minorHAnsi" w:cstheme="minorHAnsi"/>
                <w:sz w:val="18"/>
                <w:szCs w:val="18"/>
              </w:rPr>
              <w:lastRenderedPageBreak/>
              <w:t>Sécurisation des filières de traitement, de la collecte à</w:t>
            </w:r>
            <w:r w:rsidR="00452735" w:rsidRPr="00A2762E">
              <w:rPr>
                <w:rFonts w:asciiTheme="minorHAnsi" w:hAnsiTheme="minorHAnsi" w:cstheme="minorHAnsi"/>
                <w:sz w:val="18"/>
                <w:szCs w:val="18"/>
              </w:rPr>
              <w:t xml:space="preserve"> </w:t>
            </w:r>
            <w:r w:rsidRPr="00A2762E">
              <w:rPr>
                <w:rFonts w:asciiTheme="minorHAnsi" w:hAnsiTheme="minorHAnsi" w:cstheme="minorHAnsi"/>
                <w:sz w:val="18"/>
                <w:szCs w:val="18"/>
              </w:rPr>
              <w:t>la valorisation.</w:t>
            </w:r>
            <w:r w:rsidR="00306EC6">
              <w:rPr>
                <w:rFonts w:asciiTheme="minorHAnsi" w:hAnsiTheme="minorHAnsi" w:cstheme="minorHAnsi"/>
                <w:sz w:val="18"/>
                <w:szCs w:val="18"/>
              </w:rPr>
              <w:t xml:space="preserve"> </w:t>
            </w:r>
          </w:p>
          <w:p w14:paraId="3AC4727B" w14:textId="74906DA7" w:rsidR="0044106F" w:rsidRPr="00532CCE" w:rsidRDefault="00306EC6" w:rsidP="00532CCE">
            <w:pPr>
              <w:rPr>
                <w:sz w:val="18"/>
                <w:szCs w:val="18"/>
              </w:rPr>
            </w:pPr>
            <w:r w:rsidRPr="00532CCE">
              <w:rPr>
                <w:sz w:val="18"/>
                <w:szCs w:val="18"/>
              </w:rPr>
              <w:t>Contribution directe à la réduction des émissions de méthane et de gaz à effet de serre issues des déchets solides et liquides.</w:t>
            </w:r>
            <w:r w:rsidRPr="00532CCE">
              <w:rPr>
                <w:sz w:val="18"/>
                <w:szCs w:val="18"/>
              </w:rPr>
              <w:br/>
              <w:t>- Renforcement de la résilience urbaine face aux inondations et aux risques sanitaires liés aux changements climatiques.</w:t>
            </w:r>
          </w:p>
        </w:tc>
        <w:tc>
          <w:tcPr>
            <w:tcW w:w="0" w:type="auto"/>
          </w:tcPr>
          <w:p w14:paraId="62C950AF" w14:textId="77777777" w:rsidR="00796ED8" w:rsidRPr="00A2762E" w:rsidRDefault="0044106F" w:rsidP="008A3661">
            <w:pPr>
              <w:pStyle w:val="NormalWeb"/>
              <w:numPr>
                <w:ilvl w:val="0"/>
                <w:numId w:val="49"/>
              </w:numPr>
              <w:spacing w:before="0" w:after="240"/>
              <w:ind w:left="222" w:hanging="222"/>
              <w:jc w:val="both"/>
              <w:rPr>
                <w:rFonts w:asciiTheme="minorHAnsi" w:hAnsiTheme="minorHAnsi" w:cstheme="minorHAnsi"/>
                <w:sz w:val="18"/>
                <w:szCs w:val="18"/>
              </w:rPr>
            </w:pPr>
            <w:r w:rsidRPr="00A2762E">
              <w:rPr>
                <w:rFonts w:asciiTheme="minorHAnsi" w:hAnsiTheme="minorHAnsi" w:cstheme="minorHAnsi"/>
                <w:sz w:val="18"/>
                <w:szCs w:val="18"/>
              </w:rPr>
              <w:lastRenderedPageBreak/>
              <w:t>21 actions structurantes et 251 activités sur 2026-2030.</w:t>
            </w:r>
          </w:p>
          <w:p w14:paraId="3D7EAAB9" w14:textId="77777777" w:rsidR="00796ED8" w:rsidRPr="00A2762E" w:rsidRDefault="0044106F" w:rsidP="008A3661">
            <w:pPr>
              <w:pStyle w:val="NormalWeb"/>
              <w:numPr>
                <w:ilvl w:val="0"/>
                <w:numId w:val="49"/>
              </w:numPr>
              <w:spacing w:before="0" w:after="240"/>
              <w:ind w:left="222" w:hanging="222"/>
              <w:jc w:val="both"/>
              <w:rPr>
                <w:rFonts w:asciiTheme="minorHAnsi" w:hAnsiTheme="minorHAnsi" w:cstheme="minorHAnsi"/>
                <w:sz w:val="18"/>
                <w:szCs w:val="18"/>
              </w:rPr>
            </w:pPr>
            <w:r w:rsidRPr="00A2762E">
              <w:rPr>
                <w:rFonts w:asciiTheme="minorHAnsi" w:hAnsiTheme="minorHAnsi" w:cstheme="minorHAnsi"/>
                <w:sz w:val="18"/>
                <w:szCs w:val="18"/>
              </w:rPr>
              <w:t>Coût estimé à 137 milliards FCFA.</w:t>
            </w:r>
          </w:p>
          <w:p w14:paraId="0114F8BA" w14:textId="570D8A47" w:rsidR="0044106F" w:rsidRPr="00A2762E" w:rsidRDefault="0044106F" w:rsidP="008A3661">
            <w:pPr>
              <w:pStyle w:val="NormalWeb"/>
              <w:numPr>
                <w:ilvl w:val="0"/>
                <w:numId w:val="49"/>
              </w:numPr>
              <w:spacing w:before="0" w:after="240"/>
              <w:ind w:left="222" w:hanging="222"/>
              <w:jc w:val="both"/>
              <w:rPr>
                <w:rFonts w:asciiTheme="minorHAnsi" w:hAnsiTheme="minorHAnsi" w:cstheme="minorHAnsi"/>
                <w:sz w:val="18"/>
                <w:szCs w:val="18"/>
              </w:rPr>
            </w:pPr>
            <w:r w:rsidRPr="00A2762E">
              <w:rPr>
                <w:rFonts w:asciiTheme="minorHAnsi" w:hAnsiTheme="minorHAnsi" w:cstheme="minorHAnsi"/>
                <w:sz w:val="18"/>
                <w:szCs w:val="18"/>
              </w:rPr>
              <w:lastRenderedPageBreak/>
              <w:t>Financement : 35 % État, 32 % PTF, 14 % collectivités, 13 % secteur privé, 6 % usagers.</w:t>
            </w:r>
          </w:p>
        </w:tc>
      </w:tr>
      <w:tr w:rsidR="0044106F" w:rsidRPr="00A2762E" w14:paraId="71FB689D" w14:textId="77777777" w:rsidTr="00D00385">
        <w:tc>
          <w:tcPr>
            <w:tcW w:w="0" w:type="auto"/>
          </w:tcPr>
          <w:p w14:paraId="5ABF81F2" w14:textId="77777777" w:rsidR="0044106F" w:rsidRPr="00A2762E" w:rsidRDefault="0044106F" w:rsidP="0044106F">
            <w:pPr>
              <w:pStyle w:val="NormalWeb"/>
              <w:spacing w:after="240"/>
              <w:jc w:val="both"/>
              <w:rPr>
                <w:rFonts w:asciiTheme="minorHAnsi" w:hAnsiTheme="minorHAnsi" w:cstheme="minorHAnsi"/>
                <w:sz w:val="18"/>
                <w:szCs w:val="18"/>
              </w:rPr>
            </w:pPr>
            <w:r w:rsidRPr="00A2762E">
              <w:rPr>
                <w:rFonts w:asciiTheme="minorHAnsi" w:hAnsiTheme="minorHAnsi" w:cstheme="minorHAnsi"/>
                <w:b/>
                <w:bCs/>
                <w:sz w:val="18"/>
                <w:szCs w:val="18"/>
              </w:rPr>
              <w:lastRenderedPageBreak/>
              <w:t>Stratégie Nationale de Gestion des Déchets Liquides (2007)</w:t>
            </w:r>
          </w:p>
        </w:tc>
        <w:tc>
          <w:tcPr>
            <w:tcW w:w="3576" w:type="dxa"/>
          </w:tcPr>
          <w:p w14:paraId="7FE908F3" w14:textId="77777777" w:rsidR="0044106F" w:rsidRPr="00A2762E" w:rsidRDefault="0044106F" w:rsidP="00F37582">
            <w:pPr>
              <w:pStyle w:val="NormalWeb"/>
              <w:spacing w:after="0" w:afterAutospacing="0"/>
              <w:jc w:val="both"/>
              <w:rPr>
                <w:rFonts w:asciiTheme="minorHAnsi" w:hAnsiTheme="minorHAnsi" w:cstheme="minorHAnsi"/>
                <w:sz w:val="18"/>
                <w:szCs w:val="18"/>
              </w:rPr>
            </w:pPr>
            <w:r w:rsidRPr="00A2762E">
              <w:rPr>
                <w:rFonts w:asciiTheme="minorHAnsi" w:hAnsiTheme="minorHAnsi" w:cstheme="minorHAnsi"/>
                <w:sz w:val="18"/>
                <w:szCs w:val="18"/>
              </w:rPr>
              <w:t>Stratégie visant à apporter des solutions durables à la gestion des déchets liquides, élaborée dans le cadre du CSCRP et intégrant l’atteinte des objectifs du millénaire pour le développement.</w:t>
            </w:r>
          </w:p>
        </w:tc>
        <w:tc>
          <w:tcPr>
            <w:tcW w:w="4440" w:type="dxa"/>
          </w:tcPr>
          <w:p w14:paraId="144FA3AB" w14:textId="77777777" w:rsidR="00452735" w:rsidRPr="00A2762E" w:rsidRDefault="0044106F" w:rsidP="008A3661">
            <w:pPr>
              <w:pStyle w:val="NormalWeb"/>
              <w:numPr>
                <w:ilvl w:val="0"/>
                <w:numId w:val="49"/>
              </w:numPr>
              <w:spacing w:before="0" w:after="240"/>
              <w:ind w:left="222" w:hanging="222"/>
              <w:jc w:val="both"/>
              <w:rPr>
                <w:rFonts w:asciiTheme="minorHAnsi" w:hAnsiTheme="minorHAnsi" w:cstheme="minorHAnsi"/>
                <w:sz w:val="18"/>
                <w:szCs w:val="18"/>
              </w:rPr>
            </w:pPr>
            <w:r w:rsidRPr="00A2762E">
              <w:rPr>
                <w:rFonts w:asciiTheme="minorHAnsi" w:hAnsiTheme="minorHAnsi" w:cstheme="minorHAnsi"/>
                <w:sz w:val="18"/>
                <w:szCs w:val="18"/>
              </w:rPr>
              <w:t>Réduction des rejets d’eaux usées non traitées.</w:t>
            </w:r>
          </w:p>
          <w:p w14:paraId="67ACEA9A" w14:textId="77777777" w:rsidR="00452735" w:rsidRPr="00A2762E" w:rsidRDefault="0044106F" w:rsidP="008A3661">
            <w:pPr>
              <w:pStyle w:val="NormalWeb"/>
              <w:numPr>
                <w:ilvl w:val="0"/>
                <w:numId w:val="49"/>
              </w:numPr>
              <w:spacing w:before="0" w:after="240"/>
              <w:ind w:left="222" w:hanging="222"/>
              <w:jc w:val="both"/>
              <w:rPr>
                <w:rFonts w:asciiTheme="minorHAnsi" w:hAnsiTheme="minorHAnsi" w:cstheme="minorHAnsi"/>
                <w:sz w:val="18"/>
                <w:szCs w:val="18"/>
              </w:rPr>
            </w:pPr>
            <w:r w:rsidRPr="00A2762E">
              <w:rPr>
                <w:rFonts w:asciiTheme="minorHAnsi" w:hAnsiTheme="minorHAnsi" w:cstheme="minorHAnsi"/>
                <w:sz w:val="18"/>
                <w:szCs w:val="18"/>
              </w:rPr>
              <w:t>Promotion de l’assainissement collectif et autonome.</w:t>
            </w:r>
          </w:p>
          <w:p w14:paraId="6C9A07E0" w14:textId="77777777" w:rsidR="00306EC6" w:rsidRDefault="0044106F" w:rsidP="008A3661">
            <w:pPr>
              <w:pStyle w:val="NormalWeb"/>
              <w:numPr>
                <w:ilvl w:val="0"/>
                <w:numId w:val="49"/>
              </w:numPr>
              <w:spacing w:before="0" w:after="240"/>
              <w:ind w:left="222" w:hanging="222"/>
              <w:jc w:val="both"/>
              <w:rPr>
                <w:rFonts w:asciiTheme="minorHAnsi" w:hAnsiTheme="minorHAnsi" w:cstheme="minorHAnsi"/>
                <w:sz w:val="18"/>
                <w:szCs w:val="18"/>
              </w:rPr>
            </w:pPr>
            <w:r w:rsidRPr="00A2762E">
              <w:rPr>
                <w:rFonts w:asciiTheme="minorHAnsi" w:hAnsiTheme="minorHAnsi" w:cstheme="minorHAnsi"/>
                <w:sz w:val="18"/>
                <w:szCs w:val="18"/>
              </w:rPr>
              <w:t>Réduction des émissions de méthane issues des effluents domestiques et industriels.</w:t>
            </w:r>
          </w:p>
          <w:p w14:paraId="7ADA3C7A" w14:textId="5FC03ABB" w:rsidR="0044106F" w:rsidRPr="00A2762E" w:rsidRDefault="00306EC6" w:rsidP="008A3661">
            <w:pPr>
              <w:pStyle w:val="NormalWeb"/>
              <w:numPr>
                <w:ilvl w:val="0"/>
                <w:numId w:val="49"/>
              </w:numPr>
              <w:spacing w:before="0" w:after="240"/>
              <w:ind w:left="222" w:hanging="222"/>
              <w:jc w:val="both"/>
              <w:rPr>
                <w:rFonts w:asciiTheme="minorHAnsi" w:hAnsiTheme="minorHAnsi" w:cstheme="minorHAnsi"/>
                <w:sz w:val="18"/>
                <w:szCs w:val="18"/>
              </w:rPr>
            </w:pPr>
            <w:r>
              <w:rPr>
                <w:rFonts w:asciiTheme="minorHAnsi" w:hAnsiTheme="minorHAnsi" w:cstheme="minorHAnsi"/>
                <w:sz w:val="18"/>
                <w:szCs w:val="18"/>
              </w:rPr>
              <w:t xml:space="preserve"> </w:t>
            </w:r>
            <w:r w:rsidRPr="00306EC6">
              <w:rPr>
                <w:rFonts w:asciiTheme="minorHAnsi" w:hAnsiTheme="minorHAnsi" w:cstheme="minorHAnsi"/>
                <w:sz w:val="18"/>
                <w:szCs w:val="18"/>
              </w:rPr>
              <w:t>Amélioration de la qualité des eaux urbaines et réduction des risques sanitaires liés au climat.</w:t>
            </w:r>
          </w:p>
        </w:tc>
        <w:tc>
          <w:tcPr>
            <w:tcW w:w="0" w:type="auto"/>
          </w:tcPr>
          <w:p w14:paraId="214F1593" w14:textId="75DCB64C" w:rsidR="0044106F" w:rsidRPr="00A2762E" w:rsidRDefault="0044106F" w:rsidP="0044106F">
            <w:pPr>
              <w:pStyle w:val="NormalWeb"/>
              <w:spacing w:after="240"/>
              <w:jc w:val="both"/>
              <w:rPr>
                <w:rFonts w:asciiTheme="minorHAnsi" w:hAnsiTheme="minorHAnsi" w:cstheme="minorHAnsi"/>
                <w:sz w:val="18"/>
                <w:szCs w:val="18"/>
              </w:rPr>
            </w:pPr>
            <w:r w:rsidRPr="00A2762E">
              <w:rPr>
                <w:rFonts w:asciiTheme="minorHAnsi" w:hAnsiTheme="minorHAnsi" w:cstheme="minorHAnsi"/>
                <w:sz w:val="18"/>
                <w:szCs w:val="18"/>
              </w:rPr>
              <w:t>Objectifs initialement alignés sur les OMD (en partie atteints).</w:t>
            </w:r>
          </w:p>
        </w:tc>
      </w:tr>
      <w:tr w:rsidR="0044106F" w:rsidRPr="00A2762E" w14:paraId="79718C05" w14:textId="77777777" w:rsidTr="00F37582">
        <w:trPr>
          <w:trHeight w:val="1834"/>
        </w:trPr>
        <w:tc>
          <w:tcPr>
            <w:tcW w:w="0" w:type="auto"/>
          </w:tcPr>
          <w:p w14:paraId="58C8925C" w14:textId="77777777" w:rsidR="0044106F" w:rsidRPr="00A2762E" w:rsidRDefault="0044106F" w:rsidP="0044106F">
            <w:pPr>
              <w:pStyle w:val="NormalWeb"/>
              <w:spacing w:after="240"/>
              <w:jc w:val="both"/>
              <w:rPr>
                <w:rFonts w:asciiTheme="minorHAnsi" w:hAnsiTheme="minorHAnsi" w:cstheme="minorHAnsi"/>
                <w:sz w:val="18"/>
                <w:szCs w:val="18"/>
              </w:rPr>
            </w:pPr>
            <w:r w:rsidRPr="00A2762E">
              <w:rPr>
                <w:rFonts w:asciiTheme="minorHAnsi" w:hAnsiTheme="minorHAnsi" w:cstheme="minorHAnsi"/>
                <w:b/>
                <w:bCs/>
                <w:sz w:val="18"/>
                <w:szCs w:val="18"/>
              </w:rPr>
              <w:t>Feuille de route nationale méthane (M-RAP)</w:t>
            </w:r>
          </w:p>
          <w:p w14:paraId="21A3A82B" w14:textId="36B6DF7E" w:rsidR="0044106F" w:rsidRPr="00A2762E" w:rsidRDefault="0044106F" w:rsidP="0044106F">
            <w:pPr>
              <w:pStyle w:val="NormalWeb"/>
              <w:spacing w:after="240"/>
              <w:jc w:val="both"/>
              <w:rPr>
                <w:rFonts w:asciiTheme="minorHAnsi" w:hAnsiTheme="minorHAnsi" w:cstheme="minorHAnsi"/>
                <w:sz w:val="18"/>
                <w:szCs w:val="18"/>
              </w:rPr>
            </w:pPr>
            <w:r w:rsidRPr="00A2762E">
              <w:rPr>
                <w:rFonts w:asciiTheme="minorHAnsi" w:hAnsiTheme="minorHAnsi" w:cstheme="minorHAnsi"/>
                <w:sz w:val="18"/>
                <w:szCs w:val="18"/>
              </w:rPr>
              <w:t>Validée en 2024 Global Methane Pledge</w:t>
            </w:r>
          </w:p>
        </w:tc>
        <w:tc>
          <w:tcPr>
            <w:tcW w:w="3576" w:type="dxa"/>
          </w:tcPr>
          <w:p w14:paraId="1E773DCF" w14:textId="77777777" w:rsidR="0044106F" w:rsidRPr="00A2762E" w:rsidRDefault="0044106F" w:rsidP="0044106F">
            <w:pPr>
              <w:pStyle w:val="NormalWeb"/>
              <w:spacing w:after="240"/>
              <w:jc w:val="both"/>
              <w:rPr>
                <w:rFonts w:asciiTheme="minorHAnsi" w:hAnsiTheme="minorHAnsi" w:cstheme="minorHAnsi"/>
                <w:sz w:val="18"/>
                <w:szCs w:val="18"/>
              </w:rPr>
            </w:pPr>
            <w:r w:rsidRPr="00A2762E">
              <w:rPr>
                <w:rFonts w:asciiTheme="minorHAnsi" w:hAnsiTheme="minorHAnsi" w:cstheme="minorHAnsi"/>
                <w:sz w:val="18"/>
                <w:szCs w:val="18"/>
              </w:rPr>
              <w:t>Feuille de route élaborée dans le cadre du Programme d’Action de la Feuille de Route Méthane (M-RAP) de la CCAC, ciblant les principaux secteurs émetteurs de méthane : agriculture, déchets et énergie.</w:t>
            </w:r>
          </w:p>
        </w:tc>
        <w:tc>
          <w:tcPr>
            <w:tcW w:w="4440" w:type="dxa"/>
          </w:tcPr>
          <w:p w14:paraId="35A3160B" w14:textId="77777777" w:rsidR="00E90984" w:rsidRPr="00A2762E" w:rsidRDefault="0044106F" w:rsidP="008A3661">
            <w:pPr>
              <w:pStyle w:val="NormalWeb"/>
              <w:numPr>
                <w:ilvl w:val="0"/>
                <w:numId w:val="49"/>
              </w:numPr>
              <w:spacing w:before="0" w:after="240"/>
              <w:ind w:left="222" w:hanging="222"/>
              <w:jc w:val="both"/>
              <w:rPr>
                <w:rFonts w:asciiTheme="minorHAnsi" w:hAnsiTheme="minorHAnsi" w:cstheme="minorHAnsi"/>
                <w:sz w:val="18"/>
                <w:szCs w:val="18"/>
              </w:rPr>
            </w:pPr>
            <w:r w:rsidRPr="00A2762E">
              <w:rPr>
                <w:rFonts w:asciiTheme="minorHAnsi" w:hAnsiTheme="minorHAnsi" w:cstheme="minorHAnsi"/>
                <w:sz w:val="18"/>
                <w:szCs w:val="18"/>
              </w:rPr>
              <w:t>Promotion de l’aération intermittente des rizières irriguées.</w:t>
            </w:r>
          </w:p>
          <w:p w14:paraId="7B17B359" w14:textId="77777777" w:rsidR="00E90984" w:rsidRPr="00A2762E" w:rsidRDefault="0044106F" w:rsidP="008A3661">
            <w:pPr>
              <w:pStyle w:val="NormalWeb"/>
              <w:numPr>
                <w:ilvl w:val="0"/>
                <w:numId w:val="49"/>
              </w:numPr>
              <w:spacing w:before="0" w:after="240"/>
              <w:ind w:left="222" w:hanging="222"/>
              <w:jc w:val="both"/>
              <w:rPr>
                <w:rFonts w:asciiTheme="minorHAnsi" w:hAnsiTheme="minorHAnsi" w:cstheme="minorHAnsi"/>
                <w:sz w:val="18"/>
                <w:szCs w:val="18"/>
              </w:rPr>
            </w:pPr>
            <w:r w:rsidRPr="00A2762E">
              <w:rPr>
                <w:rFonts w:asciiTheme="minorHAnsi" w:hAnsiTheme="minorHAnsi" w:cstheme="minorHAnsi"/>
                <w:sz w:val="18"/>
                <w:szCs w:val="18"/>
              </w:rPr>
              <w:t>Amélioration de la gestion du fumier et de la productivité du cheptel.</w:t>
            </w:r>
          </w:p>
          <w:p w14:paraId="3A5D0BDF" w14:textId="77777777" w:rsidR="00E90984" w:rsidRPr="00A2762E" w:rsidRDefault="0044106F" w:rsidP="008A3661">
            <w:pPr>
              <w:pStyle w:val="NormalWeb"/>
              <w:numPr>
                <w:ilvl w:val="0"/>
                <w:numId w:val="49"/>
              </w:numPr>
              <w:spacing w:before="0" w:after="240"/>
              <w:ind w:left="222" w:hanging="222"/>
              <w:jc w:val="both"/>
              <w:rPr>
                <w:rFonts w:asciiTheme="minorHAnsi" w:hAnsiTheme="minorHAnsi" w:cstheme="minorHAnsi"/>
                <w:sz w:val="18"/>
                <w:szCs w:val="18"/>
              </w:rPr>
            </w:pPr>
            <w:r w:rsidRPr="00A2762E">
              <w:rPr>
                <w:rFonts w:asciiTheme="minorHAnsi" w:hAnsiTheme="minorHAnsi" w:cstheme="minorHAnsi"/>
                <w:sz w:val="18"/>
                <w:szCs w:val="18"/>
              </w:rPr>
              <w:t>Valorisation des déchets organiques par compostage et biogaz.</w:t>
            </w:r>
          </w:p>
          <w:p w14:paraId="2579301B" w14:textId="77777777" w:rsidR="00306EC6" w:rsidRDefault="0044106F" w:rsidP="00F37582">
            <w:pPr>
              <w:pStyle w:val="NormalWeb"/>
              <w:numPr>
                <w:ilvl w:val="0"/>
                <w:numId w:val="49"/>
              </w:numPr>
              <w:spacing w:before="0" w:after="0" w:afterAutospacing="0"/>
              <w:ind w:left="222" w:hanging="222"/>
              <w:jc w:val="both"/>
              <w:rPr>
                <w:rFonts w:asciiTheme="minorHAnsi" w:hAnsiTheme="minorHAnsi" w:cstheme="minorHAnsi"/>
                <w:sz w:val="18"/>
                <w:szCs w:val="18"/>
              </w:rPr>
            </w:pPr>
            <w:r w:rsidRPr="00A2762E">
              <w:rPr>
                <w:rFonts w:asciiTheme="minorHAnsi" w:hAnsiTheme="minorHAnsi" w:cstheme="minorHAnsi"/>
                <w:sz w:val="18"/>
                <w:szCs w:val="18"/>
              </w:rPr>
              <w:t>Diffusion à grande échelle des foyers de cuisson améliorés.</w:t>
            </w:r>
            <w:r w:rsidR="00306EC6">
              <w:rPr>
                <w:rFonts w:asciiTheme="minorHAnsi" w:hAnsiTheme="minorHAnsi" w:cstheme="minorHAnsi"/>
                <w:sz w:val="18"/>
                <w:szCs w:val="18"/>
              </w:rPr>
              <w:t xml:space="preserve"> </w:t>
            </w:r>
          </w:p>
          <w:p w14:paraId="4080CA78" w14:textId="32B6AF8B" w:rsidR="0044106F" w:rsidRPr="00532CCE" w:rsidRDefault="00306EC6" w:rsidP="00532CCE">
            <w:pPr>
              <w:rPr>
                <w:sz w:val="18"/>
                <w:szCs w:val="18"/>
              </w:rPr>
            </w:pPr>
            <w:r w:rsidRPr="00532CCE">
              <w:rPr>
                <w:sz w:val="18"/>
                <w:szCs w:val="18"/>
              </w:rPr>
              <w:t>Mise en cohérence des actions nationales avec les engagements internationaux de réduction rapide du méthane à court terme.</w:t>
            </w:r>
            <w:r w:rsidRPr="00532CCE">
              <w:rPr>
                <w:sz w:val="18"/>
                <w:szCs w:val="18"/>
              </w:rPr>
              <w:br/>
              <w:t>- Fort potentiel de co-bénéfices climat, santé publique et qualité de l’air en milieu urbain et rural.</w:t>
            </w:r>
          </w:p>
        </w:tc>
        <w:tc>
          <w:tcPr>
            <w:tcW w:w="0" w:type="auto"/>
          </w:tcPr>
          <w:p w14:paraId="27E43928" w14:textId="66A1674A" w:rsidR="0044106F" w:rsidRPr="00A2762E" w:rsidRDefault="0044106F" w:rsidP="0044106F">
            <w:pPr>
              <w:pStyle w:val="NormalWeb"/>
              <w:spacing w:after="240"/>
              <w:jc w:val="both"/>
              <w:rPr>
                <w:rFonts w:asciiTheme="minorHAnsi" w:hAnsiTheme="minorHAnsi" w:cstheme="minorHAnsi"/>
                <w:sz w:val="18"/>
                <w:szCs w:val="18"/>
              </w:rPr>
            </w:pPr>
            <w:r w:rsidRPr="00A2762E">
              <w:rPr>
                <w:rFonts w:asciiTheme="minorHAnsi" w:hAnsiTheme="minorHAnsi" w:cstheme="minorHAnsi"/>
                <w:sz w:val="18"/>
                <w:szCs w:val="18"/>
              </w:rPr>
              <w:t>Réduction de 27 % des émissions de méthane d’ici 2030.</w:t>
            </w:r>
          </w:p>
        </w:tc>
      </w:tr>
    </w:tbl>
    <w:p w14:paraId="409D52C4" w14:textId="77777777" w:rsidR="00D7660F" w:rsidRDefault="008F76B6" w:rsidP="00F37582">
      <w:pPr>
        <w:pStyle w:val="NormalWeb"/>
        <w:spacing w:before="120" w:beforeAutospacing="0" w:after="120" w:afterAutospacing="0"/>
        <w:jc w:val="both"/>
        <w:rPr>
          <w:rFonts w:asciiTheme="minorHAnsi" w:hAnsiTheme="minorHAnsi" w:cstheme="minorHAnsi"/>
          <w:sz w:val="22"/>
          <w:szCs w:val="22"/>
        </w:rPr>
      </w:pPr>
      <w:r w:rsidRPr="008F76B6">
        <w:rPr>
          <w:rFonts w:asciiTheme="minorHAnsi" w:hAnsiTheme="minorHAnsi" w:cstheme="minorHAnsi"/>
          <w:sz w:val="22"/>
          <w:szCs w:val="22"/>
        </w:rPr>
        <w:t xml:space="preserve">Le cadre national des déchets connaît une recomposition majeure avec l’adoption en février 2026 de la nouvelle PNA et de son Plan d’actions 2026-2030, qui marque le passage d’une logique de collecte et d’élimination à une logique d’économie circulaire intégrant la valorisation énergétique et matière. Cette orientation stratégique vise à dépasser la logique traditionnelle pour promouvoir la réduction à la source, le tri, la réutilisation, le recyclage et la valorisation économique des déchets. </w:t>
      </w:r>
    </w:p>
    <w:p w14:paraId="03C668AA" w14:textId="27B407D6" w:rsidR="008F76B6" w:rsidRDefault="008F76B6" w:rsidP="00300D77">
      <w:pPr>
        <w:pStyle w:val="NormalWeb"/>
        <w:spacing w:before="0" w:beforeAutospacing="0"/>
        <w:jc w:val="both"/>
        <w:rPr>
          <w:rFonts w:asciiTheme="minorHAnsi" w:hAnsiTheme="minorHAnsi" w:cstheme="minorHAnsi"/>
          <w:sz w:val="22"/>
          <w:szCs w:val="22"/>
        </w:rPr>
      </w:pPr>
      <w:r w:rsidRPr="008F76B6">
        <w:rPr>
          <w:rFonts w:asciiTheme="minorHAnsi" w:hAnsiTheme="minorHAnsi" w:cstheme="minorHAnsi"/>
          <w:sz w:val="22"/>
          <w:szCs w:val="22"/>
        </w:rPr>
        <w:t>Le secteur reste néanmoins caractérisé par une faiblesse du taux d’accès à l’assainissement amélioré, un déficit chronique d’infrastructures de traitement (décharges contrôlées, stations d’épuration), une production de données d’activité encore lacunaire pour le MRV, et un cadre institutionnel fragmenté. La CDN 3.0 doit traduire les orientations de la nouvelle PNA en engagements climatiques chiffrés, et articuler l’objectif de réduction de 31 % du secteur déchets avec celui de 27 % de réduction du méthane de la feuille de route nationale.</w:t>
      </w:r>
    </w:p>
    <w:tbl>
      <w:tblPr>
        <w:tblStyle w:val="Grilledutableau"/>
        <w:tblW w:w="0" w:type="auto"/>
        <w:shd w:val="clear" w:color="auto" w:fill="DEEAF6" w:themeFill="accent1" w:themeFillTint="33"/>
        <w:tblLook w:val="04A0" w:firstRow="1" w:lastRow="0" w:firstColumn="1" w:lastColumn="0" w:noHBand="0" w:noVBand="1"/>
      </w:tblPr>
      <w:tblGrid>
        <w:gridCol w:w="13018"/>
      </w:tblGrid>
      <w:tr w:rsidR="00D00385" w14:paraId="53DF66CD" w14:textId="77777777" w:rsidTr="008D75B5">
        <w:trPr>
          <w:trHeight w:val="710"/>
        </w:trPr>
        <w:tc>
          <w:tcPr>
            <w:tcW w:w="13018" w:type="dxa"/>
            <w:shd w:val="clear" w:color="auto" w:fill="DEEAF6" w:themeFill="accent1" w:themeFillTint="33"/>
          </w:tcPr>
          <w:p w14:paraId="6959552F" w14:textId="77777777" w:rsidR="00D00385" w:rsidRPr="008D75B5" w:rsidRDefault="00D00385" w:rsidP="00F37582">
            <w:pPr>
              <w:pStyle w:val="NormalWeb"/>
              <w:spacing w:before="0" w:beforeAutospacing="0"/>
              <w:rPr>
                <w:rFonts w:asciiTheme="minorHAnsi" w:hAnsiTheme="minorHAnsi" w:cstheme="minorHAnsi"/>
                <w:sz w:val="21"/>
                <w:szCs w:val="21"/>
              </w:rPr>
            </w:pPr>
            <w:r w:rsidRPr="008D75B5">
              <w:rPr>
                <w:rFonts w:asciiTheme="minorHAnsi" w:hAnsiTheme="minorHAnsi" w:cstheme="minorHAnsi"/>
                <w:sz w:val="21"/>
                <w:szCs w:val="21"/>
              </w:rPr>
              <w:lastRenderedPageBreak/>
              <w:t>Sur la base de la revue sectorielle conduite, les éléments suivants devront être intégrés dans la CDN 3.0 :</w:t>
            </w:r>
          </w:p>
          <w:p w14:paraId="2325DA85" w14:textId="77777777" w:rsidR="00D00385" w:rsidRPr="008D75B5" w:rsidRDefault="00D00385" w:rsidP="00D00385">
            <w:pPr>
              <w:pStyle w:val="NormalWeb"/>
              <w:numPr>
                <w:ilvl w:val="0"/>
                <w:numId w:val="51"/>
              </w:numPr>
              <w:spacing w:after="240"/>
              <w:rPr>
                <w:rFonts w:asciiTheme="minorHAnsi" w:hAnsiTheme="minorHAnsi" w:cstheme="minorHAnsi"/>
                <w:sz w:val="21"/>
                <w:szCs w:val="21"/>
              </w:rPr>
            </w:pPr>
            <w:r w:rsidRPr="008D75B5">
              <w:rPr>
                <w:rFonts w:asciiTheme="minorHAnsi" w:hAnsiTheme="minorHAnsi" w:cstheme="minorHAnsi"/>
                <w:b/>
                <w:bCs/>
                <w:sz w:val="21"/>
                <w:szCs w:val="21"/>
              </w:rPr>
              <w:t xml:space="preserve">Valorisation énergétique des déchets organiques par biométhanisation : </w:t>
            </w:r>
            <w:r w:rsidRPr="008D75B5">
              <w:rPr>
                <w:rFonts w:asciiTheme="minorHAnsi" w:hAnsiTheme="minorHAnsi" w:cstheme="minorHAnsi"/>
                <w:sz w:val="21"/>
                <w:szCs w:val="21"/>
              </w:rPr>
              <w:t>développement à grande échelle des biodigesteurs (ménagers, communautaires et industriels) pour la production de biogaz à partir des déchets ménagers organiques, des effluents d’élevage et des résidus agro-industriels, en substitution au bois-énergie et au GPL (co-bénéfice fort avec les secteurs énergie et forêts).</w:t>
            </w:r>
          </w:p>
          <w:p w14:paraId="7E3CF01D" w14:textId="77777777" w:rsidR="00D00385" w:rsidRPr="008D75B5" w:rsidRDefault="00D00385" w:rsidP="00D00385">
            <w:pPr>
              <w:pStyle w:val="NormalWeb"/>
              <w:numPr>
                <w:ilvl w:val="0"/>
                <w:numId w:val="51"/>
              </w:numPr>
              <w:spacing w:after="240"/>
              <w:rPr>
                <w:rFonts w:asciiTheme="minorHAnsi" w:hAnsiTheme="minorHAnsi" w:cstheme="minorHAnsi"/>
                <w:sz w:val="21"/>
                <w:szCs w:val="21"/>
              </w:rPr>
            </w:pPr>
            <w:r w:rsidRPr="008D75B5">
              <w:rPr>
                <w:rFonts w:asciiTheme="minorHAnsi" w:hAnsiTheme="minorHAnsi" w:cstheme="minorHAnsi"/>
                <w:b/>
                <w:bCs/>
                <w:sz w:val="21"/>
                <w:szCs w:val="21"/>
              </w:rPr>
              <w:t xml:space="preserve">Économie circulaire et tri à la source : </w:t>
            </w:r>
            <w:r w:rsidRPr="008D75B5">
              <w:rPr>
                <w:rFonts w:asciiTheme="minorHAnsi" w:hAnsiTheme="minorHAnsi" w:cstheme="minorHAnsi"/>
                <w:sz w:val="21"/>
                <w:szCs w:val="21"/>
              </w:rPr>
              <w:t>mise en œuvre du nouveau modèle d’économie circulaire porté par la PNA 2026-2030, à travers la généralisation du tri à la source, le développement des filières de recyclage (plastique, métal, verre, papier) et la création d’emplois verts.</w:t>
            </w:r>
          </w:p>
          <w:p w14:paraId="02D47389" w14:textId="77777777" w:rsidR="00D00385" w:rsidRPr="008D75B5" w:rsidRDefault="00D00385" w:rsidP="00D00385">
            <w:pPr>
              <w:pStyle w:val="NormalWeb"/>
              <w:numPr>
                <w:ilvl w:val="0"/>
                <w:numId w:val="51"/>
              </w:numPr>
              <w:spacing w:after="240"/>
              <w:rPr>
                <w:rFonts w:asciiTheme="minorHAnsi" w:hAnsiTheme="minorHAnsi" w:cstheme="minorHAnsi"/>
                <w:sz w:val="21"/>
                <w:szCs w:val="21"/>
              </w:rPr>
            </w:pPr>
            <w:r w:rsidRPr="008D75B5">
              <w:rPr>
                <w:rFonts w:asciiTheme="minorHAnsi" w:hAnsiTheme="minorHAnsi" w:cstheme="minorHAnsi"/>
                <w:b/>
                <w:bCs/>
                <w:sz w:val="21"/>
                <w:szCs w:val="21"/>
              </w:rPr>
              <w:t xml:space="preserve">Compostage des déchets organiques municipaux et agricoles : </w:t>
            </w:r>
            <w:r w:rsidRPr="008D75B5">
              <w:rPr>
                <w:rFonts w:asciiTheme="minorHAnsi" w:hAnsiTheme="minorHAnsi" w:cstheme="minorHAnsi"/>
                <w:sz w:val="21"/>
                <w:szCs w:val="21"/>
              </w:rPr>
              <w:t>déploiement de plateformes de compostage urbain et péri-urbain, valorisation du digestat et du compost en amendement organique pour l’agriculture (articulation avec les mesures de fertilité des sols du secteur agriculture).</w:t>
            </w:r>
          </w:p>
          <w:p w14:paraId="2B6110EF" w14:textId="77777777" w:rsidR="00D00385" w:rsidRPr="008D75B5" w:rsidRDefault="00D00385" w:rsidP="00D00385">
            <w:pPr>
              <w:pStyle w:val="NormalWeb"/>
              <w:numPr>
                <w:ilvl w:val="0"/>
                <w:numId w:val="51"/>
              </w:numPr>
              <w:spacing w:after="240"/>
              <w:rPr>
                <w:rFonts w:asciiTheme="minorHAnsi" w:hAnsiTheme="minorHAnsi" w:cstheme="minorHAnsi"/>
                <w:sz w:val="21"/>
                <w:szCs w:val="21"/>
              </w:rPr>
            </w:pPr>
            <w:r w:rsidRPr="008D75B5">
              <w:rPr>
                <w:rFonts w:asciiTheme="minorHAnsi" w:hAnsiTheme="minorHAnsi" w:cstheme="minorHAnsi"/>
                <w:b/>
                <w:bCs/>
                <w:sz w:val="21"/>
                <w:szCs w:val="21"/>
              </w:rPr>
              <w:t xml:space="preserve">Mise aux normes des décharges et captage du méthane : </w:t>
            </w:r>
            <w:r w:rsidRPr="008D75B5">
              <w:rPr>
                <w:rFonts w:asciiTheme="minorHAnsi" w:hAnsiTheme="minorHAnsi" w:cstheme="minorHAnsi"/>
                <w:sz w:val="21"/>
                <w:szCs w:val="21"/>
              </w:rPr>
              <w:t>transformation des décharges sauvages en centres d’enfouissement technique (CET), avec systèmes de captage et de torchage ou de valorisation énergétique du biogaz de décharge, en priorité à Bamako et dans les grandes villes secondaires.</w:t>
            </w:r>
          </w:p>
          <w:p w14:paraId="45D36337" w14:textId="77777777" w:rsidR="00D00385" w:rsidRPr="008D75B5" w:rsidRDefault="00D00385" w:rsidP="00D00385">
            <w:pPr>
              <w:pStyle w:val="NormalWeb"/>
              <w:numPr>
                <w:ilvl w:val="0"/>
                <w:numId w:val="51"/>
              </w:numPr>
              <w:spacing w:after="240"/>
              <w:rPr>
                <w:rFonts w:asciiTheme="minorHAnsi" w:hAnsiTheme="minorHAnsi" w:cstheme="minorHAnsi"/>
                <w:sz w:val="21"/>
                <w:szCs w:val="21"/>
              </w:rPr>
            </w:pPr>
            <w:r w:rsidRPr="008D75B5">
              <w:rPr>
                <w:rFonts w:asciiTheme="minorHAnsi" w:hAnsiTheme="minorHAnsi" w:cstheme="minorHAnsi"/>
                <w:b/>
                <w:bCs/>
                <w:sz w:val="21"/>
                <w:szCs w:val="21"/>
              </w:rPr>
              <w:t xml:space="preserve">Traitement des eaux usées et réduction des émissions de N₂O et CH₄ : </w:t>
            </w:r>
            <w:r w:rsidRPr="008D75B5">
              <w:rPr>
                <w:rFonts w:asciiTheme="minorHAnsi" w:hAnsiTheme="minorHAnsi" w:cstheme="minorHAnsi"/>
                <w:sz w:val="21"/>
                <w:szCs w:val="21"/>
              </w:rPr>
              <w:t>développement de stations d’épuration urbaines et péri-urbaines, promotion de l’assainissement autonome amélioré en milieu rural, et valorisation des boues de vidange.</w:t>
            </w:r>
          </w:p>
          <w:p w14:paraId="1FBDEAA4" w14:textId="2AF1D9D6" w:rsidR="00D00385" w:rsidRPr="00D00385" w:rsidRDefault="00D00385" w:rsidP="00D00385">
            <w:pPr>
              <w:pStyle w:val="NormalWeb"/>
              <w:numPr>
                <w:ilvl w:val="0"/>
                <w:numId w:val="51"/>
              </w:numPr>
              <w:spacing w:after="240"/>
              <w:rPr>
                <w:rFonts w:asciiTheme="minorHAnsi" w:hAnsiTheme="minorHAnsi" w:cstheme="minorHAnsi"/>
                <w:sz w:val="22"/>
                <w:szCs w:val="22"/>
              </w:rPr>
            </w:pPr>
            <w:r w:rsidRPr="008D75B5">
              <w:rPr>
                <w:rFonts w:asciiTheme="minorHAnsi" w:hAnsiTheme="minorHAnsi" w:cstheme="minorHAnsi"/>
                <w:b/>
                <w:bCs/>
                <w:sz w:val="21"/>
                <w:szCs w:val="21"/>
              </w:rPr>
              <w:t xml:space="preserve">Articulation avec la feuille de route méthane : </w:t>
            </w:r>
            <w:r w:rsidRPr="008D75B5">
              <w:rPr>
                <w:rFonts w:asciiTheme="minorHAnsi" w:hAnsiTheme="minorHAnsi" w:cstheme="minorHAnsi"/>
                <w:sz w:val="21"/>
                <w:szCs w:val="21"/>
              </w:rPr>
              <w:t>intégration explicite dans la CDN 3.0 de la cible de réduction de 27 % des émissions de méthane d’ici 2030, traduite en mesures sectorielles quantifiées et suivies.</w:t>
            </w:r>
          </w:p>
        </w:tc>
      </w:tr>
    </w:tbl>
    <w:p w14:paraId="751C8EAF" w14:textId="77777777" w:rsidR="00014620" w:rsidRDefault="00014620" w:rsidP="007A71B3">
      <w:pPr>
        <w:pStyle w:val="NormalWeb"/>
        <w:spacing w:before="0" w:after="240"/>
        <w:jc w:val="both"/>
        <w:rPr>
          <w:rFonts w:asciiTheme="minorHAnsi" w:hAnsiTheme="minorHAnsi" w:cstheme="minorHAnsi"/>
          <w:sz w:val="22"/>
          <w:szCs w:val="22"/>
        </w:rPr>
        <w:sectPr w:rsidR="00014620" w:rsidSect="00014620">
          <w:pgSz w:w="15840" w:h="12240" w:orient="landscape" w:code="1"/>
          <w:pgMar w:top="1411" w:right="1411" w:bottom="1411" w:left="1411" w:header="706" w:footer="706" w:gutter="0"/>
          <w:cols w:space="708"/>
          <w:docGrid w:linePitch="360"/>
        </w:sectPr>
      </w:pPr>
    </w:p>
    <w:p w14:paraId="760A5D61" w14:textId="33704DF2" w:rsidR="001F64BE" w:rsidRDefault="00343287" w:rsidP="000459AE">
      <w:pPr>
        <w:pStyle w:val="Titre2"/>
        <w:spacing w:before="120" w:after="120"/>
        <w:ind w:left="1138" w:hanging="288"/>
      </w:pPr>
      <w:bookmarkStart w:id="17" w:name="_Toc234853856"/>
      <w:r w:rsidRPr="00343287">
        <w:lastRenderedPageBreak/>
        <w:t xml:space="preserve">Politiques et cadres sectoriels </w:t>
      </w:r>
      <w:r w:rsidR="000E6FB3">
        <w:t>-</w:t>
      </w:r>
      <w:r w:rsidRPr="00343287">
        <w:t xml:space="preserve"> </w:t>
      </w:r>
      <w:r w:rsidR="0095118F">
        <w:t>Adaptation</w:t>
      </w:r>
      <w:bookmarkEnd w:id="17"/>
    </w:p>
    <w:p w14:paraId="238A77D2" w14:textId="5051890B" w:rsidR="009773A5" w:rsidRDefault="00AD27E4" w:rsidP="00EB5620">
      <w:pPr>
        <w:pStyle w:val="NormalWeb"/>
        <w:spacing w:before="0" w:beforeAutospacing="0" w:after="0" w:afterAutospacing="0"/>
        <w:jc w:val="both"/>
        <w:rPr>
          <w:rFonts w:ascii="Calibri" w:eastAsia="Calibri" w:hAnsi="Calibri" w:cs="Calibri"/>
        </w:rPr>
      </w:pPr>
      <w:r w:rsidRPr="00AD27E4">
        <w:rPr>
          <w:rFonts w:ascii="Calibri" w:eastAsia="Calibri" w:hAnsi="Calibri" w:cs="Calibri"/>
        </w:rPr>
        <w:t>La revue des politiques, stratégies et plans sectoriels et thématiques constitue le socle analytique de l’identification des priorités d’adaptation de la CDN 3.0. Elle couvre à la fois les secteurs et domaines déjà pris en compte dans la CDN 2.0 et reconduits dans la CDN 3.0, ainsi que les nouveaux secteurs et domaines intégrés dans la CDN 3.0. Elle vise à faire ressortir les principales orientations en matière d’adaptation déjà définies au niveau national, à apprécier leur niveau d’ambition au regard de l’horizon 2035, à identifier les éventuelles cibles quantitatives associées et à mettre en évidence les lacunes que la CDN 3.0 devra prendre en compte.</w:t>
      </w:r>
    </w:p>
    <w:p w14:paraId="0D976CE3" w14:textId="610E7866" w:rsidR="00EB5620" w:rsidRPr="00CD07C6" w:rsidRDefault="00EB5620" w:rsidP="000459AE">
      <w:pPr>
        <w:pStyle w:val="NormalWeb"/>
        <w:spacing w:before="120" w:beforeAutospacing="0" w:after="120" w:afterAutospacing="0"/>
        <w:jc w:val="both"/>
        <w:rPr>
          <w:rFonts w:ascii="Calibri" w:eastAsia="Calibri" w:hAnsi="Calibri" w:cs="Calibri"/>
        </w:rPr>
      </w:pPr>
      <w:r w:rsidRPr="00EB5620">
        <w:rPr>
          <w:rFonts w:ascii="Calibri" w:eastAsia="Calibri" w:hAnsi="Calibri" w:cs="Calibri"/>
        </w:rPr>
        <w:t>Sur cette base, les éléments que la CDN 3.0 devra intégrer par secteur et domaine seront identifiés, notamment en prenant en compte les orientations récentes mises en place par la SNEDD 2024-2033 et la vision Mali KURA.</w:t>
      </w:r>
    </w:p>
    <w:p w14:paraId="0F01519C" w14:textId="3A245128" w:rsidR="008E7207" w:rsidRPr="009F1C2B" w:rsidRDefault="00D800AD" w:rsidP="007B5CC5">
      <w:pPr>
        <w:pStyle w:val="Titre3"/>
        <w:numPr>
          <w:ilvl w:val="2"/>
          <w:numId w:val="21"/>
        </w:numPr>
        <w:spacing w:before="240"/>
        <w:ind w:left="1555" w:hanging="288"/>
      </w:pPr>
      <w:bookmarkStart w:id="18" w:name="_Toc234853857"/>
      <w:r w:rsidRPr="009F1C2B">
        <w:t>Agriculture</w:t>
      </w:r>
      <w:bookmarkEnd w:id="18"/>
    </w:p>
    <w:p w14:paraId="7D6A421D" w14:textId="77777777" w:rsidR="00050595" w:rsidRPr="00FC31C7" w:rsidRDefault="001F7ED9" w:rsidP="00FC31C7">
      <w:pPr>
        <w:jc w:val="both"/>
        <w:rPr>
          <w:sz w:val="24"/>
          <w:szCs w:val="24"/>
        </w:rPr>
      </w:pPr>
      <w:r w:rsidRPr="001F7ED9">
        <w:rPr>
          <w:sz w:val="24"/>
          <w:szCs w:val="24"/>
        </w:rPr>
        <w:t xml:space="preserve">L'agriculture, qui emploie la majorité de la population malienne et constitue le fondement de la sécurité alimentaire nationale, est particulièrement exposée aux impacts du changement climatique, notamment à la variabilité pluviométrique, à la récurrence des sécheresses et à l’allongement des saisons sèches. </w:t>
      </w:r>
      <w:r w:rsidR="00572F7A" w:rsidRPr="00572F7A">
        <w:rPr>
          <w:sz w:val="24"/>
          <w:szCs w:val="24"/>
        </w:rPr>
        <w:t>Dans ce contexte, différents cadres stratégiques et documents de planification sectorielle ont été élaborés de manière successive afin d’orienter le développement du secteur, parmi lesquels les principales orientations en matière d’adaptation et les éventuels objectifs quantitatifs sont répertoriés dans le tableau ci-après.</w:t>
      </w:r>
    </w:p>
    <w:p w14:paraId="1A819314" w14:textId="25172457" w:rsidR="00D832EF" w:rsidRDefault="00D832EF" w:rsidP="00D832EF">
      <w:pPr>
        <w:pStyle w:val="Lgende"/>
        <w:keepNext/>
      </w:pPr>
      <w:bookmarkStart w:id="19" w:name="_Toc234853930"/>
      <w:r>
        <w:t xml:space="preserve">Tableau </w:t>
      </w:r>
      <w:r>
        <w:fldChar w:fldCharType="begin"/>
      </w:r>
      <w:r>
        <w:instrText xml:space="preserve"> SEQ Tableau \* ARABIC </w:instrText>
      </w:r>
      <w:r>
        <w:fldChar w:fldCharType="separate"/>
      </w:r>
      <w:r w:rsidR="0018772E">
        <w:rPr>
          <w:noProof/>
        </w:rPr>
        <w:t>6</w:t>
      </w:r>
      <w:r>
        <w:fldChar w:fldCharType="end"/>
      </w:r>
      <w:r>
        <w:t xml:space="preserve"> : </w:t>
      </w:r>
      <w:r w:rsidRPr="00776740">
        <w:t xml:space="preserve">Principales politiques et stratégies agricoles du Mali </w:t>
      </w:r>
      <w:r w:rsidR="006723B2" w:rsidRPr="006723B2">
        <w:t>en lien avec l’adaptation</w:t>
      </w:r>
      <w:bookmarkEnd w:id="19"/>
    </w:p>
    <w:tbl>
      <w:tblPr>
        <w:tblStyle w:val="Grilledutablea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3239"/>
        <w:gridCol w:w="4090"/>
        <w:gridCol w:w="3252"/>
      </w:tblGrid>
      <w:tr w:rsidR="008E7207" w:rsidRPr="005D3733" w14:paraId="11DBB92E" w14:textId="77777777" w:rsidTr="004C1F43">
        <w:trPr>
          <w:trHeight w:val="417"/>
          <w:tblHeader/>
        </w:trPr>
        <w:tc>
          <w:tcPr>
            <w:tcW w:w="93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2A90424" w14:textId="77777777" w:rsidR="008E7207" w:rsidRPr="004C1F43" w:rsidRDefault="008E7207" w:rsidP="0052509C">
            <w:pPr>
              <w:jc w:val="center"/>
              <w:rPr>
                <w:b/>
                <w:bCs/>
                <w:color w:val="FFFFFF" w:themeColor="background1"/>
                <w:sz w:val="18"/>
                <w:szCs w:val="18"/>
                <w:lang w:eastAsia="en-US"/>
              </w:rPr>
            </w:pPr>
            <w:r w:rsidRPr="004C1F43">
              <w:rPr>
                <w:b/>
                <w:bCs/>
                <w:color w:val="FFFFFF" w:themeColor="background1"/>
                <w:sz w:val="18"/>
                <w:szCs w:val="18"/>
                <w:lang w:eastAsia="en-US"/>
              </w:rPr>
              <w:t>Politique / stratégie</w:t>
            </w:r>
          </w:p>
        </w:tc>
        <w:tc>
          <w:tcPr>
            <w:tcW w:w="124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0910D311" w14:textId="77777777" w:rsidR="008E7207" w:rsidRPr="004C1F43" w:rsidRDefault="008E7207" w:rsidP="0052509C">
            <w:pPr>
              <w:jc w:val="center"/>
              <w:rPr>
                <w:b/>
                <w:bCs/>
                <w:color w:val="FFFFFF" w:themeColor="background1"/>
                <w:sz w:val="18"/>
                <w:szCs w:val="18"/>
                <w:lang w:eastAsia="en-US"/>
              </w:rPr>
            </w:pPr>
            <w:r w:rsidRPr="004C1F43">
              <w:rPr>
                <w:b/>
                <w:bCs/>
                <w:color w:val="FFFFFF" w:themeColor="background1"/>
                <w:sz w:val="18"/>
                <w:szCs w:val="18"/>
                <w:lang w:eastAsia="en-US"/>
              </w:rPr>
              <w:t>Description</w:t>
            </w:r>
          </w:p>
        </w:tc>
        <w:tc>
          <w:tcPr>
            <w:tcW w:w="15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57DDB8F" w14:textId="77777777" w:rsidR="008E7207" w:rsidRPr="004C1F43" w:rsidRDefault="008E7207" w:rsidP="0052509C">
            <w:pPr>
              <w:jc w:val="center"/>
              <w:rPr>
                <w:b/>
                <w:bCs/>
                <w:color w:val="FFFFFF" w:themeColor="background1"/>
                <w:sz w:val="18"/>
                <w:szCs w:val="18"/>
                <w:lang w:eastAsia="en-US"/>
              </w:rPr>
            </w:pPr>
            <w:r w:rsidRPr="004C1F43">
              <w:rPr>
                <w:b/>
                <w:bCs/>
                <w:color w:val="FFFFFF" w:themeColor="background1"/>
                <w:sz w:val="18"/>
                <w:szCs w:val="18"/>
                <w:lang w:eastAsia="en-US"/>
              </w:rPr>
              <w:t>Principales orientations climatiques</w:t>
            </w:r>
          </w:p>
        </w:tc>
        <w:tc>
          <w:tcPr>
            <w:tcW w:w="12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285CF97B" w14:textId="1702F87E" w:rsidR="008E7207" w:rsidRPr="004C1F43" w:rsidRDefault="008E7207" w:rsidP="0052509C">
            <w:pPr>
              <w:jc w:val="center"/>
              <w:rPr>
                <w:b/>
                <w:bCs/>
                <w:color w:val="FFFFFF" w:themeColor="background1"/>
                <w:sz w:val="18"/>
                <w:szCs w:val="18"/>
                <w:lang w:eastAsia="en-US"/>
              </w:rPr>
            </w:pPr>
            <w:r w:rsidRPr="004C1F43">
              <w:rPr>
                <w:b/>
                <w:bCs/>
                <w:color w:val="FFFFFF" w:themeColor="background1"/>
                <w:sz w:val="18"/>
                <w:szCs w:val="18"/>
                <w:lang w:eastAsia="en-US"/>
              </w:rPr>
              <w:t>Cibles quantitatives</w:t>
            </w:r>
          </w:p>
        </w:tc>
      </w:tr>
      <w:tr w:rsidR="008E7207" w:rsidRPr="005D3733" w14:paraId="34E1A97D" w14:textId="77777777" w:rsidTr="008E7207">
        <w:tc>
          <w:tcPr>
            <w:tcW w:w="933" w:type="pct"/>
            <w:tcBorders>
              <w:top w:val="single" w:sz="4" w:space="0" w:color="FFFFFF" w:themeColor="background1"/>
            </w:tcBorders>
          </w:tcPr>
          <w:p w14:paraId="16426A07" w14:textId="77777777" w:rsidR="008E7207" w:rsidRPr="004C1F43" w:rsidRDefault="00E9274B" w:rsidP="00D64965">
            <w:pPr>
              <w:jc w:val="lowKashida"/>
              <w:rPr>
                <w:b/>
                <w:bCs/>
                <w:sz w:val="18"/>
                <w:szCs w:val="18"/>
                <w:lang w:eastAsia="en-US"/>
              </w:rPr>
            </w:pPr>
            <w:r w:rsidRPr="004C1F43">
              <w:rPr>
                <w:b/>
                <w:bCs/>
                <w:sz w:val="18"/>
                <w:szCs w:val="18"/>
                <w:lang w:eastAsia="en-US"/>
              </w:rPr>
              <w:t>Politique Nationale d’Agriculture (PDA)</w:t>
            </w:r>
          </w:p>
          <w:p w14:paraId="355BD6DA" w14:textId="754CC9DC" w:rsidR="00D24EC4" w:rsidRPr="004C1F43" w:rsidRDefault="002305A6" w:rsidP="00D64965">
            <w:pPr>
              <w:jc w:val="lowKashida"/>
              <w:rPr>
                <w:b/>
                <w:bCs/>
                <w:i/>
                <w:iCs/>
                <w:sz w:val="18"/>
                <w:szCs w:val="18"/>
                <w:lang w:eastAsia="en-US"/>
              </w:rPr>
            </w:pPr>
            <w:r w:rsidRPr="004C1F43">
              <w:rPr>
                <w:i/>
                <w:iCs/>
                <w:color w:val="1F3864" w:themeColor="accent5" w:themeShade="80"/>
                <w:sz w:val="18"/>
                <w:szCs w:val="18"/>
                <w:lang w:eastAsia="en-US"/>
              </w:rPr>
              <w:t>2013</w:t>
            </w:r>
          </w:p>
        </w:tc>
        <w:tc>
          <w:tcPr>
            <w:tcW w:w="1245" w:type="pct"/>
            <w:tcBorders>
              <w:top w:val="single" w:sz="4" w:space="0" w:color="FFFFFF" w:themeColor="background1"/>
            </w:tcBorders>
          </w:tcPr>
          <w:p w14:paraId="1F4E4B6E" w14:textId="46F26CC6" w:rsidR="008E7207" w:rsidRPr="004C1F43" w:rsidRDefault="007F6E4C" w:rsidP="00D64965">
            <w:pPr>
              <w:spacing w:after="120"/>
              <w:jc w:val="lowKashida"/>
              <w:rPr>
                <w:sz w:val="18"/>
                <w:szCs w:val="18"/>
                <w:lang w:eastAsia="en-US"/>
              </w:rPr>
            </w:pPr>
            <w:r w:rsidRPr="004C1F43">
              <w:rPr>
                <w:sz w:val="18"/>
                <w:szCs w:val="18"/>
                <w:lang w:eastAsia="en-US"/>
              </w:rPr>
              <w:t xml:space="preserve">Élaborée en 2013 dans le cadre de la Loi d'Orientation Agricole, la PDA du Mali est le fruit d'une démarche participative associant l'État, les collectivités territoriales, les organisations professionnelles, les coopératives, les ONG et la société civile. Elle ambitionne de faire du secteur agricole un véritable moteur de l'économie nationale et un garant de la souveraineté alimentaire, en promouvant une agriculture durable, moderne et compétitive, ancrée sur les Exploitations Agricoles Familiales et les Organisations Professionnelles Agricoles. Articulée autour de huit orientations </w:t>
            </w:r>
            <w:r w:rsidRPr="004C1F43">
              <w:rPr>
                <w:sz w:val="18"/>
                <w:szCs w:val="18"/>
                <w:lang w:eastAsia="en-US"/>
              </w:rPr>
              <w:lastRenderedPageBreak/>
              <w:t>stratégiques, elle couvre les sous-secteurs de l’agriculture, l’élevage, la pêche, la forêt et l’environnement, ainsi que des domaines d'appui comme la recherche agricole et les facteurs de production, tout en intégrant des dimensions transversales essentielles telles que la sécurité alimentaire, l'emploi rural, le genre et la lutte contre les maladies invalidantes.</w:t>
            </w:r>
          </w:p>
        </w:tc>
        <w:tc>
          <w:tcPr>
            <w:tcW w:w="1572" w:type="pct"/>
            <w:tcBorders>
              <w:top w:val="single" w:sz="4" w:space="0" w:color="FFFFFF" w:themeColor="background1"/>
            </w:tcBorders>
          </w:tcPr>
          <w:p w14:paraId="0D2EF22B" w14:textId="51863DB0" w:rsidR="00ED4A63" w:rsidRPr="004C1F43" w:rsidRDefault="002B470B" w:rsidP="00ED4A63">
            <w:pPr>
              <w:spacing w:after="120"/>
              <w:jc w:val="lowKashida"/>
              <w:rPr>
                <w:sz w:val="18"/>
                <w:szCs w:val="18"/>
                <w:lang w:eastAsia="en-US"/>
              </w:rPr>
            </w:pPr>
            <w:r w:rsidRPr="004C1F43">
              <w:rPr>
                <w:sz w:val="18"/>
                <w:szCs w:val="18"/>
              </w:rPr>
              <w:lastRenderedPageBreak/>
              <w:t>La PDA s’appuie sur huit orientations stratégiques majeures, dont six sont directement liées à l’adaptation au changement climatique :</w:t>
            </w:r>
          </w:p>
          <w:p w14:paraId="2D9F827A" w14:textId="77777777" w:rsidR="00A6426A" w:rsidRPr="004C1F43" w:rsidRDefault="00A6426A" w:rsidP="008A3661">
            <w:pPr>
              <w:pStyle w:val="Paragraphedeliste"/>
              <w:numPr>
                <w:ilvl w:val="0"/>
                <w:numId w:val="22"/>
              </w:numPr>
              <w:spacing w:after="120"/>
              <w:ind w:left="170" w:hanging="170"/>
              <w:jc w:val="lowKashida"/>
              <w:rPr>
                <w:sz w:val="18"/>
                <w:szCs w:val="18"/>
                <w:lang w:eastAsia="en-US"/>
              </w:rPr>
            </w:pPr>
            <w:r w:rsidRPr="004C1F43">
              <w:rPr>
                <w:sz w:val="18"/>
                <w:szCs w:val="18"/>
                <w:lang w:eastAsia="en-US"/>
              </w:rPr>
              <w:t>Assurer la sécurité alimentaire de l'ensemble des populations du mali et contribuer à celle de la sous-région ;</w:t>
            </w:r>
          </w:p>
          <w:p w14:paraId="58A7CDCD" w14:textId="77777777" w:rsidR="00A6426A" w:rsidRPr="004C1F43" w:rsidRDefault="00A6426A" w:rsidP="008A3661">
            <w:pPr>
              <w:pStyle w:val="Paragraphedeliste"/>
              <w:numPr>
                <w:ilvl w:val="0"/>
                <w:numId w:val="22"/>
              </w:numPr>
              <w:spacing w:after="120"/>
              <w:ind w:left="170" w:hanging="170"/>
              <w:jc w:val="lowKashida"/>
              <w:rPr>
                <w:sz w:val="18"/>
                <w:szCs w:val="18"/>
                <w:lang w:eastAsia="en-US"/>
              </w:rPr>
            </w:pPr>
            <w:r w:rsidRPr="004C1F43">
              <w:rPr>
                <w:sz w:val="18"/>
                <w:szCs w:val="18"/>
              </w:rPr>
              <w:t>Assurer le développement institutionnel et le renforcement des capacités de tous les acteurs ;</w:t>
            </w:r>
          </w:p>
          <w:p w14:paraId="20C33A13" w14:textId="77777777" w:rsidR="00A6426A" w:rsidRPr="004C1F43" w:rsidRDefault="00A6426A" w:rsidP="008A3661">
            <w:pPr>
              <w:pStyle w:val="Paragraphedeliste"/>
              <w:numPr>
                <w:ilvl w:val="0"/>
                <w:numId w:val="22"/>
              </w:numPr>
              <w:spacing w:after="120"/>
              <w:ind w:left="170" w:hanging="170"/>
              <w:jc w:val="lowKashida"/>
              <w:rPr>
                <w:sz w:val="18"/>
                <w:szCs w:val="18"/>
                <w:lang w:eastAsia="en-US"/>
              </w:rPr>
            </w:pPr>
            <w:r w:rsidRPr="004C1F43">
              <w:rPr>
                <w:sz w:val="18"/>
                <w:szCs w:val="18"/>
              </w:rPr>
              <w:t>Préserver l'environnement et mieux gérer les ressources naturelles ;</w:t>
            </w:r>
          </w:p>
          <w:p w14:paraId="25734881" w14:textId="77777777" w:rsidR="00A6426A" w:rsidRPr="004C1F43" w:rsidRDefault="00A6426A" w:rsidP="008A3661">
            <w:pPr>
              <w:pStyle w:val="Paragraphedeliste"/>
              <w:numPr>
                <w:ilvl w:val="0"/>
                <w:numId w:val="22"/>
              </w:numPr>
              <w:spacing w:after="120"/>
              <w:ind w:left="170" w:hanging="170"/>
              <w:jc w:val="lowKashida"/>
              <w:rPr>
                <w:sz w:val="18"/>
                <w:szCs w:val="18"/>
                <w:lang w:eastAsia="en-US"/>
              </w:rPr>
            </w:pPr>
            <w:r w:rsidRPr="004C1F43">
              <w:rPr>
                <w:sz w:val="18"/>
                <w:szCs w:val="18"/>
              </w:rPr>
              <w:t>Développer un système de recherche et de conseil agricoles au service d'une agriculture durable et compétitive ;</w:t>
            </w:r>
          </w:p>
          <w:p w14:paraId="6B7D6B7F" w14:textId="77777777" w:rsidR="00A6426A" w:rsidRPr="004C1F43" w:rsidRDefault="00A6426A" w:rsidP="008A3661">
            <w:pPr>
              <w:pStyle w:val="Paragraphedeliste"/>
              <w:numPr>
                <w:ilvl w:val="0"/>
                <w:numId w:val="22"/>
              </w:numPr>
              <w:spacing w:after="120"/>
              <w:ind w:left="170" w:hanging="170"/>
              <w:jc w:val="lowKashida"/>
              <w:rPr>
                <w:sz w:val="18"/>
                <w:szCs w:val="18"/>
                <w:lang w:eastAsia="en-US"/>
              </w:rPr>
            </w:pPr>
            <w:r w:rsidRPr="004C1F43">
              <w:rPr>
                <w:sz w:val="18"/>
                <w:szCs w:val="18"/>
              </w:rPr>
              <w:lastRenderedPageBreak/>
              <w:t>Assurer la formation de l’ensemble des acteurs du secteur et les faire accéder aux niveaux de connaissances et de compétences requis pour remplir leurs rôles et missions ;</w:t>
            </w:r>
          </w:p>
          <w:p w14:paraId="19B07376" w14:textId="4591D608" w:rsidR="00A6426A" w:rsidRPr="004C1F43" w:rsidRDefault="00A6426A" w:rsidP="008A3661">
            <w:pPr>
              <w:pStyle w:val="Paragraphedeliste"/>
              <w:numPr>
                <w:ilvl w:val="0"/>
                <w:numId w:val="22"/>
              </w:numPr>
              <w:spacing w:after="120"/>
              <w:ind w:left="170" w:hanging="170"/>
              <w:jc w:val="lowKashida"/>
              <w:rPr>
                <w:sz w:val="18"/>
                <w:szCs w:val="18"/>
                <w:lang w:eastAsia="en-US"/>
              </w:rPr>
            </w:pPr>
            <w:r w:rsidRPr="004C1F43">
              <w:rPr>
                <w:sz w:val="18"/>
                <w:szCs w:val="18"/>
              </w:rPr>
              <w:t>Mobiliser le financement et des ressources conséquents et accessibles en faveur du développement agricole.</w:t>
            </w:r>
          </w:p>
        </w:tc>
        <w:tc>
          <w:tcPr>
            <w:tcW w:w="1250" w:type="pct"/>
            <w:tcBorders>
              <w:top w:val="single" w:sz="4" w:space="0" w:color="FFFFFF" w:themeColor="background1"/>
            </w:tcBorders>
          </w:tcPr>
          <w:p w14:paraId="214A27B2" w14:textId="6A20E49A" w:rsidR="008E7207" w:rsidRPr="004C1F43" w:rsidRDefault="00EF5F0A" w:rsidP="00EF5F0A">
            <w:pPr>
              <w:spacing w:after="120"/>
              <w:jc w:val="lowKashida"/>
              <w:rPr>
                <w:sz w:val="18"/>
                <w:szCs w:val="18"/>
                <w:lang w:eastAsia="en-US"/>
              </w:rPr>
            </w:pPr>
            <w:r w:rsidRPr="004C1F43">
              <w:rPr>
                <w:sz w:val="18"/>
                <w:szCs w:val="18"/>
                <w:lang w:eastAsia="en-US"/>
              </w:rPr>
              <w:lastRenderedPageBreak/>
              <w:t xml:space="preserve">La PDA n’identifie pas de cibles quantitatives. </w:t>
            </w:r>
          </w:p>
        </w:tc>
      </w:tr>
      <w:tr w:rsidR="008E7207" w14:paraId="34980E71" w14:textId="77777777" w:rsidTr="00D64965">
        <w:tc>
          <w:tcPr>
            <w:tcW w:w="933" w:type="pct"/>
          </w:tcPr>
          <w:p w14:paraId="4323443A" w14:textId="16D62B57" w:rsidR="008E7207" w:rsidRPr="004C1F43" w:rsidRDefault="00AE50AC" w:rsidP="00D64965">
            <w:pPr>
              <w:jc w:val="both"/>
              <w:rPr>
                <w:sz w:val="18"/>
                <w:szCs w:val="18"/>
                <w:lang w:eastAsia="en-US"/>
              </w:rPr>
            </w:pPr>
            <w:r w:rsidRPr="004C1F43">
              <w:rPr>
                <w:sz w:val="18"/>
                <w:szCs w:val="18"/>
                <w:lang w:eastAsia="en-US"/>
              </w:rPr>
              <w:t xml:space="preserve">Politique </w:t>
            </w:r>
            <w:r w:rsidR="00783A2B" w:rsidRPr="004C1F43">
              <w:rPr>
                <w:sz w:val="18"/>
                <w:szCs w:val="18"/>
                <w:lang w:eastAsia="en-US"/>
              </w:rPr>
              <w:t>Nationale de l’Eau (</w:t>
            </w:r>
            <w:r w:rsidRPr="004C1F43">
              <w:rPr>
                <w:sz w:val="18"/>
                <w:szCs w:val="18"/>
                <w:lang w:eastAsia="en-US"/>
              </w:rPr>
              <w:t>P</w:t>
            </w:r>
            <w:r w:rsidR="00783A2B" w:rsidRPr="004C1F43">
              <w:rPr>
                <w:sz w:val="18"/>
                <w:szCs w:val="18"/>
                <w:lang w:eastAsia="en-US"/>
              </w:rPr>
              <w:t xml:space="preserve">NE) </w:t>
            </w:r>
          </w:p>
          <w:p w14:paraId="502FE15F" w14:textId="113B2D8E" w:rsidR="00671A5F" w:rsidRPr="004C1F43" w:rsidRDefault="00671A5F" w:rsidP="00671A5F">
            <w:pPr>
              <w:jc w:val="both"/>
              <w:rPr>
                <w:i/>
                <w:iCs/>
                <w:color w:val="1F3864" w:themeColor="accent5" w:themeShade="80"/>
                <w:sz w:val="18"/>
                <w:szCs w:val="18"/>
                <w:lang w:eastAsia="en-US"/>
              </w:rPr>
            </w:pPr>
            <w:r w:rsidRPr="004C1F43">
              <w:rPr>
                <w:i/>
                <w:iCs/>
                <w:color w:val="1F3864" w:themeColor="accent5" w:themeShade="80"/>
                <w:sz w:val="18"/>
                <w:szCs w:val="18"/>
                <w:lang w:eastAsia="en-US"/>
              </w:rPr>
              <w:t>Ministère des Mines, de l’Énergie et de l’Eau, 2006</w:t>
            </w:r>
          </w:p>
        </w:tc>
        <w:tc>
          <w:tcPr>
            <w:tcW w:w="1245" w:type="pct"/>
          </w:tcPr>
          <w:p w14:paraId="78D5100E" w14:textId="30CD6BD0" w:rsidR="00AE50AC" w:rsidRPr="004C1F43" w:rsidRDefault="00AE50AC" w:rsidP="0044774F">
            <w:pPr>
              <w:jc w:val="both"/>
              <w:rPr>
                <w:sz w:val="18"/>
                <w:szCs w:val="18"/>
                <w:lang w:eastAsia="en-US"/>
              </w:rPr>
            </w:pPr>
            <w:r w:rsidRPr="004C1F43">
              <w:rPr>
                <w:sz w:val="18"/>
                <w:szCs w:val="18"/>
                <w:lang w:eastAsia="en-US"/>
              </w:rPr>
              <w:t>La PNE vise à contribuer à la lutte contre la pauvreté et au développement durable en apportant des solutions adaptées aux problématiques liées à l’eau. Elle cherche notamment à assurer l’accès à l’eau en quantité et en qualité, à sécuriser les activités agro-sylvo-pastorales face aux aléas climatiques, à protéger les ressources en eau et les populations contre les risques et pollutions, ainsi qu’à promouvoir la coopération pour la gestion des eaux transfrontalières.</w:t>
            </w:r>
          </w:p>
          <w:p w14:paraId="57E5E5DB" w14:textId="20D5EE29" w:rsidR="008E7207" w:rsidRPr="004C1F43" w:rsidRDefault="00AE50AC" w:rsidP="00AE50AC">
            <w:pPr>
              <w:jc w:val="both"/>
              <w:rPr>
                <w:sz w:val="18"/>
                <w:szCs w:val="18"/>
                <w:lang w:eastAsia="en-US"/>
              </w:rPr>
            </w:pPr>
            <w:r w:rsidRPr="004C1F43">
              <w:rPr>
                <w:sz w:val="18"/>
                <w:szCs w:val="18"/>
                <w:lang w:eastAsia="en-US"/>
              </w:rPr>
              <w:t>Sa mise en œuvre repose sur plusieurs principes, notamment l’équité dans l’accès à l’eau, la gestion intégrée des ressources en eau par bassin hydrographique, l’utilisation durable des ressources, la protection des usagers et des écosystèmes, ainsi que la participation des acteurs à tous les niveaux de gestion.</w:t>
            </w:r>
          </w:p>
        </w:tc>
        <w:tc>
          <w:tcPr>
            <w:tcW w:w="1572" w:type="pct"/>
          </w:tcPr>
          <w:p w14:paraId="093603BB" w14:textId="77777777" w:rsidR="007D5D65" w:rsidRPr="004C1F43" w:rsidRDefault="007D5D65" w:rsidP="007D5D65">
            <w:pPr>
              <w:spacing w:after="120"/>
              <w:jc w:val="lowKashida"/>
              <w:rPr>
                <w:sz w:val="18"/>
                <w:szCs w:val="18"/>
              </w:rPr>
            </w:pPr>
            <w:r w:rsidRPr="004C1F43">
              <w:rPr>
                <w:sz w:val="18"/>
                <w:szCs w:val="18"/>
              </w:rPr>
              <w:t>La SNE inclut 11 orientations stratégiques, dont plusieurs sont directement liées à l’adaptation au changement climatique :</w:t>
            </w:r>
          </w:p>
          <w:p w14:paraId="00CE06A5" w14:textId="54C4491F" w:rsidR="007D2291" w:rsidRPr="004C1F43" w:rsidRDefault="007D2291" w:rsidP="008A3661">
            <w:pPr>
              <w:pStyle w:val="Paragraphedeliste"/>
              <w:numPr>
                <w:ilvl w:val="0"/>
                <w:numId w:val="22"/>
              </w:numPr>
              <w:spacing w:after="120"/>
              <w:ind w:left="170" w:hanging="170"/>
              <w:jc w:val="lowKashida"/>
              <w:rPr>
                <w:sz w:val="18"/>
                <w:szCs w:val="18"/>
              </w:rPr>
            </w:pPr>
            <w:r w:rsidRPr="004C1F43">
              <w:rPr>
                <w:sz w:val="18"/>
                <w:szCs w:val="18"/>
              </w:rPr>
              <w:t>Mettre en œuvre la gestion intégrée des ressources en eau (GIRE), notamment retenir l’approche par bassin hydrographique ou système d’aquifère comme cadre approprié pour la planification, la mobilisation, la gestion et la protection des ressources en eau ;</w:t>
            </w:r>
          </w:p>
          <w:p w14:paraId="39C6E40E" w14:textId="574638F6" w:rsidR="007D2291" w:rsidRPr="004C1F43" w:rsidRDefault="007D2291" w:rsidP="008A3661">
            <w:pPr>
              <w:pStyle w:val="Paragraphedeliste"/>
              <w:numPr>
                <w:ilvl w:val="0"/>
                <w:numId w:val="22"/>
              </w:numPr>
              <w:spacing w:after="120"/>
              <w:ind w:left="170" w:hanging="170"/>
              <w:jc w:val="lowKashida"/>
              <w:rPr>
                <w:sz w:val="18"/>
                <w:szCs w:val="18"/>
              </w:rPr>
            </w:pPr>
            <w:r w:rsidRPr="004C1F43">
              <w:rPr>
                <w:sz w:val="18"/>
                <w:szCs w:val="18"/>
              </w:rPr>
              <w:t>Mettre en œuvre la stratégie d’assainissement et les mesures de protection des ressources en eau ;</w:t>
            </w:r>
          </w:p>
          <w:p w14:paraId="1E27D2EA" w14:textId="1BE8CD97" w:rsidR="007D2291" w:rsidRPr="004C1F43" w:rsidRDefault="007D2291" w:rsidP="008A3661">
            <w:pPr>
              <w:pStyle w:val="Paragraphedeliste"/>
              <w:numPr>
                <w:ilvl w:val="0"/>
                <w:numId w:val="22"/>
              </w:numPr>
              <w:spacing w:after="120"/>
              <w:ind w:left="170" w:hanging="170"/>
              <w:jc w:val="lowKashida"/>
              <w:rPr>
                <w:sz w:val="18"/>
                <w:szCs w:val="18"/>
              </w:rPr>
            </w:pPr>
            <w:r w:rsidRPr="004C1F43">
              <w:rPr>
                <w:sz w:val="18"/>
                <w:szCs w:val="18"/>
              </w:rPr>
              <w:t>Mettre en place un système national d’information sur l’eau (SNIEau) ;</w:t>
            </w:r>
          </w:p>
          <w:p w14:paraId="0E8B6557" w14:textId="30A20A60" w:rsidR="007D2291" w:rsidRPr="004C1F43" w:rsidRDefault="007D2291" w:rsidP="008A3661">
            <w:pPr>
              <w:pStyle w:val="Paragraphedeliste"/>
              <w:numPr>
                <w:ilvl w:val="0"/>
                <w:numId w:val="22"/>
              </w:numPr>
              <w:spacing w:after="120"/>
              <w:ind w:left="170" w:hanging="170"/>
              <w:jc w:val="lowKashida"/>
              <w:rPr>
                <w:sz w:val="18"/>
                <w:szCs w:val="18"/>
              </w:rPr>
            </w:pPr>
            <w:r w:rsidRPr="004C1F43">
              <w:rPr>
                <w:sz w:val="18"/>
                <w:szCs w:val="18"/>
              </w:rPr>
              <w:t>Donner la priorité à la réhabilitation, à la consolidation des infrastructures hydrauliques dans le souci de rentabiliser ou de valoriser les investissements réalisés ;</w:t>
            </w:r>
          </w:p>
          <w:p w14:paraId="410823ED" w14:textId="06C99145" w:rsidR="007D2291" w:rsidRPr="004C1F43" w:rsidRDefault="007D2291" w:rsidP="008A3661">
            <w:pPr>
              <w:pStyle w:val="Paragraphedeliste"/>
              <w:numPr>
                <w:ilvl w:val="0"/>
                <w:numId w:val="22"/>
              </w:numPr>
              <w:spacing w:after="120"/>
              <w:ind w:left="170" w:hanging="170"/>
              <w:jc w:val="lowKashida"/>
              <w:rPr>
                <w:sz w:val="18"/>
                <w:szCs w:val="18"/>
              </w:rPr>
            </w:pPr>
            <w:r w:rsidRPr="004C1F43">
              <w:rPr>
                <w:sz w:val="18"/>
                <w:szCs w:val="18"/>
              </w:rPr>
              <w:t>Rechercher le moindre coût de maintenance et la durabilité des systèmes et ouvrages (AEP, assainissement, barrages, réseaux de surveillance, etc.) ;</w:t>
            </w:r>
          </w:p>
          <w:p w14:paraId="5649DE30" w14:textId="63E85EB6" w:rsidR="007D2291" w:rsidRPr="004C1F43" w:rsidRDefault="007D2291" w:rsidP="008A3661">
            <w:pPr>
              <w:pStyle w:val="Paragraphedeliste"/>
              <w:numPr>
                <w:ilvl w:val="0"/>
                <w:numId w:val="22"/>
              </w:numPr>
              <w:spacing w:after="120"/>
              <w:ind w:left="170" w:hanging="170"/>
              <w:jc w:val="lowKashida"/>
              <w:rPr>
                <w:sz w:val="18"/>
                <w:szCs w:val="18"/>
              </w:rPr>
            </w:pPr>
            <w:r w:rsidRPr="004C1F43">
              <w:rPr>
                <w:sz w:val="18"/>
                <w:szCs w:val="18"/>
              </w:rPr>
              <w:t>Réduire les risques liés à l’eau par une meilleure connaissance de ces risques et la mise en œuvre des mesures préventives et améliorer la gestion des situations de crise ;</w:t>
            </w:r>
          </w:p>
          <w:p w14:paraId="581A291E" w14:textId="33BFD0F4" w:rsidR="007D2291" w:rsidRPr="004C1F43" w:rsidRDefault="007D2291" w:rsidP="008A3661">
            <w:pPr>
              <w:pStyle w:val="Paragraphedeliste"/>
              <w:numPr>
                <w:ilvl w:val="0"/>
                <w:numId w:val="22"/>
              </w:numPr>
              <w:spacing w:after="120"/>
              <w:ind w:left="170" w:hanging="170"/>
              <w:jc w:val="lowKashida"/>
              <w:rPr>
                <w:sz w:val="18"/>
                <w:szCs w:val="18"/>
              </w:rPr>
            </w:pPr>
            <w:r w:rsidRPr="004C1F43">
              <w:rPr>
                <w:sz w:val="18"/>
                <w:szCs w:val="18"/>
              </w:rPr>
              <w:t>Renforcer les capacités de connaissance, de suivi et d’évaluation du point de vue quantitatif et qualitatif des ressources en eau et de leurs usages ;</w:t>
            </w:r>
          </w:p>
          <w:p w14:paraId="29AFF56D" w14:textId="6DDEEAF6" w:rsidR="008E7207" w:rsidRPr="004C1F43" w:rsidRDefault="007D2291" w:rsidP="008A3661">
            <w:pPr>
              <w:pStyle w:val="Paragraphedeliste"/>
              <w:numPr>
                <w:ilvl w:val="0"/>
                <w:numId w:val="22"/>
              </w:numPr>
              <w:spacing w:after="120"/>
              <w:ind w:left="170" w:hanging="170"/>
              <w:jc w:val="lowKashida"/>
              <w:rPr>
                <w:sz w:val="18"/>
                <w:szCs w:val="18"/>
              </w:rPr>
            </w:pPr>
            <w:r w:rsidRPr="004C1F43">
              <w:rPr>
                <w:sz w:val="18"/>
                <w:szCs w:val="18"/>
              </w:rPr>
              <w:lastRenderedPageBreak/>
              <w:t>Favoriser la concertation entre les pays pour les questions liées à la gestion des eaux internationales.</w:t>
            </w:r>
          </w:p>
        </w:tc>
        <w:tc>
          <w:tcPr>
            <w:tcW w:w="1250" w:type="pct"/>
          </w:tcPr>
          <w:p w14:paraId="5E671B88" w14:textId="313A0585" w:rsidR="008E7207" w:rsidRPr="004C1F43" w:rsidRDefault="00450899" w:rsidP="00450899">
            <w:pPr>
              <w:spacing w:after="120"/>
              <w:jc w:val="both"/>
              <w:rPr>
                <w:sz w:val="18"/>
                <w:szCs w:val="18"/>
                <w:lang w:eastAsia="en-US"/>
              </w:rPr>
            </w:pPr>
            <w:r w:rsidRPr="004C1F43">
              <w:rPr>
                <w:sz w:val="18"/>
                <w:szCs w:val="18"/>
                <w:lang w:eastAsia="en-US"/>
              </w:rPr>
              <w:lastRenderedPageBreak/>
              <w:t>La PNE n’identifie pas de cibles quantitatives.</w:t>
            </w:r>
          </w:p>
        </w:tc>
      </w:tr>
      <w:tr w:rsidR="003E2B7A" w14:paraId="01D45818" w14:textId="77777777" w:rsidTr="00D649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3" w:type="pct"/>
            <w:tcBorders>
              <w:top w:val="single" w:sz="4" w:space="0" w:color="auto"/>
              <w:left w:val="single" w:sz="4" w:space="0" w:color="auto"/>
              <w:bottom w:val="single" w:sz="4" w:space="0" w:color="auto"/>
              <w:right w:val="single" w:sz="4" w:space="0" w:color="auto"/>
            </w:tcBorders>
          </w:tcPr>
          <w:p w14:paraId="7C21B3FC" w14:textId="77777777" w:rsidR="003E2B7A" w:rsidRPr="004C1F43" w:rsidRDefault="003E2B7A" w:rsidP="003E2B7A">
            <w:pPr>
              <w:spacing w:after="60"/>
              <w:jc w:val="both"/>
              <w:rPr>
                <w:sz w:val="18"/>
                <w:szCs w:val="18"/>
                <w:lang w:eastAsia="en-US"/>
              </w:rPr>
            </w:pPr>
            <w:r w:rsidRPr="004C1F43">
              <w:rPr>
                <w:sz w:val="18"/>
                <w:szCs w:val="18"/>
                <w:lang w:eastAsia="en-US"/>
              </w:rPr>
              <w:t>Stratégie nationale de développement de la riziculture (SNDR 2009-2018)</w:t>
            </w:r>
          </w:p>
          <w:p w14:paraId="486EDD51" w14:textId="26383342" w:rsidR="00A01C63" w:rsidRPr="004C1F43" w:rsidRDefault="006F7D35" w:rsidP="006F7D35">
            <w:pPr>
              <w:jc w:val="both"/>
              <w:rPr>
                <w:sz w:val="18"/>
                <w:szCs w:val="18"/>
              </w:rPr>
            </w:pPr>
            <w:r w:rsidRPr="004C1F43">
              <w:rPr>
                <w:i/>
                <w:iCs/>
                <w:color w:val="1F3864" w:themeColor="accent5" w:themeShade="80"/>
                <w:sz w:val="18"/>
                <w:szCs w:val="18"/>
                <w:lang w:eastAsia="en-US"/>
              </w:rPr>
              <w:t>Ministère de l’Agriculture, 2009</w:t>
            </w:r>
          </w:p>
        </w:tc>
        <w:tc>
          <w:tcPr>
            <w:tcW w:w="1245" w:type="pct"/>
            <w:tcBorders>
              <w:top w:val="single" w:sz="4" w:space="0" w:color="auto"/>
              <w:left w:val="single" w:sz="4" w:space="0" w:color="auto"/>
              <w:bottom w:val="single" w:sz="4" w:space="0" w:color="auto"/>
              <w:right w:val="single" w:sz="4" w:space="0" w:color="auto"/>
            </w:tcBorders>
          </w:tcPr>
          <w:p w14:paraId="602D4537" w14:textId="2C5DF126" w:rsidR="003E2B7A" w:rsidRPr="004C1F43" w:rsidRDefault="00A01C63" w:rsidP="003E2B7A">
            <w:pPr>
              <w:spacing w:after="60"/>
              <w:jc w:val="both"/>
              <w:rPr>
                <w:sz w:val="18"/>
                <w:szCs w:val="18"/>
              </w:rPr>
            </w:pPr>
            <w:r w:rsidRPr="004C1F43">
              <w:rPr>
                <w:sz w:val="18"/>
                <w:szCs w:val="18"/>
              </w:rPr>
              <w:t>Initiée dans le cadre de la Coalition africaine pour le développement de la riziculture (CARD) et alignée sur la Loi d’Orientation Agricole, la Stratégie Nationale de Développement de la Riziculture (SNDR) vise à améliorer la productivité et la compétitivité du secteur rizicole. Elle s’articule autour de plusieurs axes prioritaires, notamment le développement des aménagements hydro-agricoles, l’amélioration de l’accès aux intrants agricoles, au foncier rural et à la mécanisation, le renforcement des capacités de la recherche et de l’encadrement agricole ainsi que le transfert des innovations technologiques. La stratégie met également l’accent sur l’amélioration de la qualité des produits à travers la modernisation des opérations post-récolte, l’organisation de la commercialisation, ainsi que la gestion durable des ressources naturelles et de l’environnement.</w:t>
            </w:r>
          </w:p>
        </w:tc>
        <w:tc>
          <w:tcPr>
            <w:tcW w:w="1572" w:type="pct"/>
            <w:tcBorders>
              <w:top w:val="single" w:sz="4" w:space="0" w:color="auto"/>
              <w:left w:val="single" w:sz="4" w:space="0" w:color="auto"/>
              <w:bottom w:val="single" w:sz="4" w:space="0" w:color="auto"/>
              <w:right w:val="single" w:sz="4" w:space="0" w:color="auto"/>
            </w:tcBorders>
          </w:tcPr>
          <w:p w14:paraId="3EB07593" w14:textId="77777777" w:rsidR="008B1F56" w:rsidRPr="004C1F43" w:rsidRDefault="008B1F56" w:rsidP="008A3661">
            <w:pPr>
              <w:pStyle w:val="Paragraphedeliste"/>
              <w:numPr>
                <w:ilvl w:val="0"/>
                <w:numId w:val="22"/>
              </w:numPr>
              <w:spacing w:after="120"/>
              <w:ind w:left="170" w:hanging="170"/>
              <w:jc w:val="lowKashida"/>
              <w:rPr>
                <w:sz w:val="18"/>
                <w:szCs w:val="18"/>
              </w:rPr>
            </w:pPr>
            <w:r w:rsidRPr="004C1F43">
              <w:rPr>
                <w:sz w:val="18"/>
                <w:szCs w:val="18"/>
              </w:rPr>
              <w:t>Développement des aménagements hydro-agricoles et de la maîtrise de l’eau ;</w:t>
            </w:r>
          </w:p>
          <w:p w14:paraId="129B5A01" w14:textId="0CD19A7E" w:rsidR="008B1F56" w:rsidRPr="004C1F43" w:rsidRDefault="008B1F56" w:rsidP="008A3661">
            <w:pPr>
              <w:pStyle w:val="Paragraphedeliste"/>
              <w:numPr>
                <w:ilvl w:val="0"/>
                <w:numId w:val="22"/>
              </w:numPr>
              <w:spacing w:after="120"/>
              <w:ind w:left="170" w:hanging="170"/>
              <w:jc w:val="lowKashida"/>
              <w:rPr>
                <w:sz w:val="18"/>
                <w:szCs w:val="18"/>
              </w:rPr>
            </w:pPr>
            <w:r w:rsidRPr="004C1F43">
              <w:rPr>
                <w:sz w:val="18"/>
                <w:szCs w:val="18"/>
              </w:rPr>
              <w:t>Promotion de la riziculture pluviale à travers les variétés NERICA ;</w:t>
            </w:r>
          </w:p>
          <w:p w14:paraId="6CD8846B" w14:textId="59172942" w:rsidR="008B1F56" w:rsidRPr="004C1F43" w:rsidRDefault="008B1F56" w:rsidP="008A3661">
            <w:pPr>
              <w:pStyle w:val="Paragraphedeliste"/>
              <w:numPr>
                <w:ilvl w:val="0"/>
                <w:numId w:val="22"/>
              </w:numPr>
              <w:spacing w:after="120"/>
              <w:ind w:left="170" w:hanging="170"/>
              <w:jc w:val="lowKashida"/>
              <w:rPr>
                <w:sz w:val="18"/>
                <w:szCs w:val="18"/>
              </w:rPr>
            </w:pPr>
            <w:r w:rsidRPr="004C1F43">
              <w:rPr>
                <w:sz w:val="18"/>
                <w:szCs w:val="18"/>
              </w:rPr>
              <w:t>Intensification des systèmes de production rizicole ;</w:t>
            </w:r>
          </w:p>
          <w:p w14:paraId="495CF595" w14:textId="7A0A2E64" w:rsidR="008B1F56" w:rsidRPr="004C1F43" w:rsidRDefault="008B1F56" w:rsidP="008A3661">
            <w:pPr>
              <w:pStyle w:val="Paragraphedeliste"/>
              <w:numPr>
                <w:ilvl w:val="0"/>
                <w:numId w:val="22"/>
              </w:numPr>
              <w:spacing w:after="120"/>
              <w:ind w:left="170" w:hanging="170"/>
              <w:jc w:val="lowKashida"/>
              <w:rPr>
                <w:sz w:val="18"/>
                <w:szCs w:val="18"/>
              </w:rPr>
            </w:pPr>
            <w:r w:rsidRPr="004C1F43">
              <w:rPr>
                <w:sz w:val="18"/>
                <w:szCs w:val="18"/>
              </w:rPr>
              <w:t>Gestion des ressources naturelles et de l’environnement ;</w:t>
            </w:r>
          </w:p>
          <w:p w14:paraId="0E462096" w14:textId="42630BD8" w:rsidR="008B1F56" w:rsidRPr="004C1F43" w:rsidRDefault="008B1F56" w:rsidP="008A3661">
            <w:pPr>
              <w:pStyle w:val="Paragraphedeliste"/>
              <w:numPr>
                <w:ilvl w:val="0"/>
                <w:numId w:val="22"/>
              </w:numPr>
              <w:spacing w:after="120"/>
              <w:ind w:left="170" w:hanging="170"/>
              <w:jc w:val="lowKashida"/>
              <w:rPr>
                <w:sz w:val="18"/>
                <w:szCs w:val="18"/>
              </w:rPr>
            </w:pPr>
            <w:r w:rsidRPr="004C1F43">
              <w:rPr>
                <w:sz w:val="18"/>
                <w:szCs w:val="18"/>
              </w:rPr>
              <w:t>Investissements dans les techniques de régulation des eaux ;</w:t>
            </w:r>
          </w:p>
          <w:p w14:paraId="22B5C56B" w14:textId="77777777" w:rsidR="008B1F56" w:rsidRPr="004C1F43" w:rsidRDefault="008B1F56" w:rsidP="008A3661">
            <w:pPr>
              <w:pStyle w:val="Paragraphedeliste"/>
              <w:numPr>
                <w:ilvl w:val="0"/>
                <w:numId w:val="22"/>
              </w:numPr>
              <w:spacing w:after="120"/>
              <w:ind w:left="170" w:hanging="170"/>
              <w:jc w:val="lowKashida"/>
              <w:rPr>
                <w:sz w:val="18"/>
                <w:szCs w:val="18"/>
              </w:rPr>
            </w:pPr>
            <w:r w:rsidRPr="004C1F43">
              <w:rPr>
                <w:sz w:val="18"/>
                <w:szCs w:val="18"/>
              </w:rPr>
              <w:t>Réhabilitation des ouvrages hydro-agricoles et amélioration de l’efficience de l’irrigation ;</w:t>
            </w:r>
          </w:p>
          <w:p w14:paraId="24F622A5" w14:textId="77777777" w:rsidR="008B1F56" w:rsidRPr="004C1F43" w:rsidRDefault="008B1F56" w:rsidP="008A3661">
            <w:pPr>
              <w:pStyle w:val="Paragraphedeliste"/>
              <w:numPr>
                <w:ilvl w:val="0"/>
                <w:numId w:val="22"/>
              </w:numPr>
              <w:spacing w:after="120"/>
              <w:ind w:left="170" w:hanging="170"/>
              <w:jc w:val="lowKashida"/>
              <w:rPr>
                <w:sz w:val="18"/>
                <w:szCs w:val="18"/>
              </w:rPr>
            </w:pPr>
            <w:r w:rsidRPr="004C1F43">
              <w:rPr>
                <w:sz w:val="18"/>
                <w:szCs w:val="18"/>
              </w:rPr>
              <w:t>Recherche, diffusion des technologies et renforcement des capacités ;</w:t>
            </w:r>
          </w:p>
          <w:p w14:paraId="43C53230" w14:textId="2770944D" w:rsidR="001621C7" w:rsidRPr="004C1F43" w:rsidRDefault="008B1F56" w:rsidP="008A3661">
            <w:pPr>
              <w:pStyle w:val="Paragraphedeliste"/>
              <w:numPr>
                <w:ilvl w:val="0"/>
                <w:numId w:val="22"/>
              </w:numPr>
              <w:spacing w:after="120"/>
              <w:ind w:left="170" w:hanging="170"/>
              <w:jc w:val="lowKashida"/>
              <w:rPr>
                <w:sz w:val="18"/>
                <w:szCs w:val="18"/>
              </w:rPr>
            </w:pPr>
            <w:r w:rsidRPr="004C1F43">
              <w:rPr>
                <w:sz w:val="18"/>
                <w:szCs w:val="18"/>
              </w:rPr>
              <w:t>Mise en place de mécanismes de financement face aux catastrophes naturelles.</w:t>
            </w:r>
          </w:p>
        </w:tc>
        <w:tc>
          <w:tcPr>
            <w:tcW w:w="1250" w:type="pct"/>
            <w:tcBorders>
              <w:top w:val="single" w:sz="4" w:space="0" w:color="auto"/>
              <w:left w:val="single" w:sz="4" w:space="0" w:color="auto"/>
              <w:bottom w:val="single" w:sz="4" w:space="0" w:color="auto"/>
              <w:right w:val="single" w:sz="4" w:space="0" w:color="auto"/>
            </w:tcBorders>
          </w:tcPr>
          <w:p w14:paraId="2D2BA6F2" w14:textId="620BE935" w:rsidR="001D6C48" w:rsidRPr="004C1F43" w:rsidRDefault="001D6C48" w:rsidP="008A3661">
            <w:pPr>
              <w:pStyle w:val="Paragraphedeliste"/>
              <w:numPr>
                <w:ilvl w:val="0"/>
                <w:numId w:val="22"/>
              </w:numPr>
              <w:spacing w:after="120"/>
              <w:ind w:left="170" w:hanging="170"/>
              <w:jc w:val="lowKashida"/>
              <w:rPr>
                <w:sz w:val="18"/>
                <w:szCs w:val="18"/>
              </w:rPr>
            </w:pPr>
            <w:r w:rsidRPr="004C1F43">
              <w:rPr>
                <w:sz w:val="18"/>
                <w:szCs w:val="18"/>
              </w:rPr>
              <w:t>Production ciblée de 2 millions de tonnes de paddy en 2009 sur une superficie de 629 584 ha, 2 705 373 tonnes en 2013 et 3 969 564 tonnes en 2018 ;</w:t>
            </w:r>
          </w:p>
          <w:p w14:paraId="7EB06947" w14:textId="77777777" w:rsidR="001D6C48" w:rsidRPr="004C1F43" w:rsidRDefault="001D6C48" w:rsidP="008A3661">
            <w:pPr>
              <w:pStyle w:val="Paragraphedeliste"/>
              <w:numPr>
                <w:ilvl w:val="0"/>
                <w:numId w:val="22"/>
              </w:numPr>
              <w:spacing w:after="120"/>
              <w:ind w:left="170" w:hanging="170"/>
              <w:jc w:val="lowKashida"/>
              <w:rPr>
                <w:sz w:val="18"/>
                <w:szCs w:val="18"/>
              </w:rPr>
            </w:pPr>
            <w:r w:rsidRPr="004C1F43">
              <w:rPr>
                <w:sz w:val="18"/>
                <w:szCs w:val="18"/>
              </w:rPr>
              <w:t>Commercialisation potentielle d’environ 1,5 million de tonnes de riz marchand en 2018 ;</w:t>
            </w:r>
          </w:p>
          <w:p w14:paraId="50C3C10D" w14:textId="77777777" w:rsidR="001D6C48" w:rsidRPr="004C1F43" w:rsidRDefault="001D6C48" w:rsidP="008A3661">
            <w:pPr>
              <w:pStyle w:val="Paragraphedeliste"/>
              <w:numPr>
                <w:ilvl w:val="0"/>
                <w:numId w:val="22"/>
              </w:numPr>
              <w:spacing w:after="120"/>
              <w:ind w:left="170" w:hanging="170"/>
              <w:jc w:val="lowKashida"/>
              <w:rPr>
                <w:sz w:val="18"/>
                <w:szCs w:val="18"/>
              </w:rPr>
            </w:pPr>
            <w:r w:rsidRPr="004C1F43">
              <w:rPr>
                <w:sz w:val="18"/>
                <w:szCs w:val="18"/>
              </w:rPr>
              <w:t>Aménagement de 10 000 ha/an avec maîtrise totale de l’eau et réalisation de 103 310 ha d’aménagements hydro-agricoles sur la période 2008-2012 ;</w:t>
            </w:r>
          </w:p>
          <w:p w14:paraId="00D1FE19" w14:textId="77777777" w:rsidR="001D6C48" w:rsidRPr="004C1F43" w:rsidRDefault="001D6C48" w:rsidP="008A3661">
            <w:pPr>
              <w:pStyle w:val="Paragraphedeliste"/>
              <w:numPr>
                <w:ilvl w:val="0"/>
                <w:numId w:val="22"/>
              </w:numPr>
              <w:spacing w:after="120"/>
              <w:ind w:left="170" w:hanging="170"/>
              <w:jc w:val="lowKashida"/>
              <w:rPr>
                <w:sz w:val="18"/>
                <w:szCs w:val="18"/>
              </w:rPr>
            </w:pPr>
            <w:r w:rsidRPr="004C1F43">
              <w:rPr>
                <w:sz w:val="18"/>
                <w:szCs w:val="18"/>
              </w:rPr>
              <w:t>Amélioration des rendements moyens de 2,7 t/ha à 3,5 t/ha, avec des rendements attendus de 3 à 4 t/ha pour les variétés NERICA ;</w:t>
            </w:r>
          </w:p>
          <w:p w14:paraId="130DA78D" w14:textId="77777777" w:rsidR="001D6C48" w:rsidRPr="004C1F43" w:rsidRDefault="001D6C48" w:rsidP="008A3661">
            <w:pPr>
              <w:pStyle w:val="Paragraphedeliste"/>
              <w:numPr>
                <w:ilvl w:val="0"/>
                <w:numId w:val="22"/>
              </w:numPr>
              <w:spacing w:after="120"/>
              <w:ind w:left="170" w:hanging="170"/>
              <w:jc w:val="lowKashida"/>
              <w:rPr>
                <w:sz w:val="18"/>
                <w:szCs w:val="18"/>
              </w:rPr>
            </w:pPr>
            <w:r w:rsidRPr="004C1F43">
              <w:rPr>
                <w:sz w:val="18"/>
                <w:szCs w:val="18"/>
              </w:rPr>
              <w:t>Constitution d’un stock national de sécurité de 500 tonnes de semences sélectionnées et augmentation des besoins en semences améliorées de 31 000 tonnes en 2008 à 66 665 tonnes en 2018 ;</w:t>
            </w:r>
          </w:p>
          <w:p w14:paraId="7F2321CB" w14:textId="0DE194FC" w:rsidR="003E2B7A" w:rsidRPr="004C1F43" w:rsidRDefault="001D6C48" w:rsidP="008A3661">
            <w:pPr>
              <w:pStyle w:val="Paragraphedeliste"/>
              <w:numPr>
                <w:ilvl w:val="0"/>
                <w:numId w:val="22"/>
              </w:numPr>
              <w:spacing w:after="120"/>
              <w:ind w:left="170" w:hanging="170"/>
              <w:jc w:val="lowKashida"/>
              <w:rPr>
                <w:sz w:val="18"/>
                <w:szCs w:val="18"/>
              </w:rPr>
            </w:pPr>
            <w:r w:rsidRPr="004C1F43">
              <w:rPr>
                <w:sz w:val="18"/>
                <w:szCs w:val="18"/>
              </w:rPr>
              <w:t>Financement total du plan d’action estimé à 805,7 milliards FCFA d’ici 2018.</w:t>
            </w:r>
          </w:p>
        </w:tc>
      </w:tr>
      <w:tr w:rsidR="00EC4D14" w14:paraId="6D751526" w14:textId="77777777" w:rsidTr="00D64965">
        <w:tc>
          <w:tcPr>
            <w:tcW w:w="933" w:type="pct"/>
          </w:tcPr>
          <w:p w14:paraId="64E634C0" w14:textId="77777777" w:rsidR="00EC4D14" w:rsidRPr="004C1F43" w:rsidRDefault="00EC4D14" w:rsidP="00EC4D14">
            <w:pPr>
              <w:jc w:val="lowKashida"/>
              <w:rPr>
                <w:sz w:val="18"/>
                <w:szCs w:val="18"/>
                <w:lang w:eastAsia="en-US"/>
              </w:rPr>
            </w:pPr>
            <w:r w:rsidRPr="004C1F43">
              <w:rPr>
                <w:sz w:val="18"/>
                <w:szCs w:val="18"/>
                <w:lang w:eastAsia="en-US"/>
              </w:rPr>
              <w:t>Stratégie Nationale de Sécurité Alimentaire (SNSA)</w:t>
            </w:r>
          </w:p>
          <w:p w14:paraId="02107E11" w14:textId="530ADEDC" w:rsidR="00F75BBE" w:rsidRPr="004C1F43" w:rsidRDefault="00747737" w:rsidP="00747737">
            <w:pPr>
              <w:jc w:val="both"/>
              <w:rPr>
                <w:i/>
                <w:iCs/>
                <w:color w:val="1F3864" w:themeColor="accent5" w:themeShade="80"/>
                <w:sz w:val="18"/>
                <w:szCs w:val="18"/>
                <w:lang w:eastAsia="en-US"/>
              </w:rPr>
            </w:pPr>
            <w:r w:rsidRPr="004C1F43">
              <w:rPr>
                <w:i/>
                <w:iCs/>
                <w:color w:val="1F3864" w:themeColor="accent5" w:themeShade="80"/>
                <w:sz w:val="18"/>
                <w:szCs w:val="18"/>
                <w:lang w:eastAsia="en-US"/>
              </w:rPr>
              <w:t>Ministère du Développement rural et de l’Environnement</w:t>
            </w:r>
          </w:p>
          <w:p w14:paraId="57BE9945" w14:textId="7B7F7EC0" w:rsidR="00413959" w:rsidRPr="004C1F43" w:rsidRDefault="00413959" w:rsidP="00EC4D14">
            <w:pPr>
              <w:jc w:val="lowKashida"/>
              <w:rPr>
                <w:sz w:val="18"/>
                <w:szCs w:val="18"/>
                <w:lang w:eastAsia="en-US"/>
              </w:rPr>
            </w:pPr>
          </w:p>
        </w:tc>
        <w:tc>
          <w:tcPr>
            <w:tcW w:w="1245" w:type="pct"/>
          </w:tcPr>
          <w:p w14:paraId="460ADC16" w14:textId="2B5420B2" w:rsidR="00EC4D14" w:rsidRPr="004C1F43" w:rsidRDefault="00413959" w:rsidP="00EC4D14">
            <w:pPr>
              <w:jc w:val="lowKashida"/>
              <w:rPr>
                <w:sz w:val="18"/>
                <w:szCs w:val="18"/>
              </w:rPr>
            </w:pPr>
            <w:r w:rsidRPr="004C1F43">
              <w:rPr>
                <w:sz w:val="18"/>
                <w:szCs w:val="18"/>
              </w:rPr>
              <w:t xml:space="preserve">La </w:t>
            </w:r>
            <w:r w:rsidR="00F04D74" w:rsidRPr="004C1F43">
              <w:rPr>
                <w:sz w:val="18"/>
                <w:szCs w:val="18"/>
              </w:rPr>
              <w:t>SNSA</w:t>
            </w:r>
            <w:r w:rsidRPr="004C1F43">
              <w:rPr>
                <w:sz w:val="18"/>
                <w:szCs w:val="18"/>
              </w:rPr>
              <w:t xml:space="preserve"> s’inscrit dans le cadre des politiques nationales de lutte contre la pauvreté et des orientations régionales de sécurité alimentaire au Sahel. Elle vise à assurer l’accès de l’ensemble des populations à une alimentation suffisante, saine et stable, à travers le développement d’une agriculture productive, diversifiée et durable, l’amélioration de l’accès des populations vulnérables à l’alimentation, ainsi que le </w:t>
            </w:r>
            <w:r w:rsidRPr="004C1F43">
              <w:rPr>
                <w:sz w:val="18"/>
                <w:szCs w:val="18"/>
              </w:rPr>
              <w:lastRenderedPageBreak/>
              <w:t>renforcement des dispositifs de prévention et de gestion des crises alimentaires. La stratégie met également l’accent sur le développement des marchés, la diversification des productions agricoles, l’amélioration des revenus des populations et le renforcement de la gouvernance de la sécurité alimentaire, dans une approche intégrée prenant en compte les dimensions de disponibilité, d’accessibilité, de stabilité et d’utilisation des aliments.</w:t>
            </w:r>
          </w:p>
        </w:tc>
        <w:tc>
          <w:tcPr>
            <w:tcW w:w="1572" w:type="pct"/>
          </w:tcPr>
          <w:p w14:paraId="071D658F" w14:textId="36B4DD08" w:rsidR="00CE5747" w:rsidRPr="004C1F43" w:rsidRDefault="00CE5747" w:rsidP="008A3661">
            <w:pPr>
              <w:pStyle w:val="Paragraphedeliste"/>
              <w:numPr>
                <w:ilvl w:val="0"/>
                <w:numId w:val="22"/>
              </w:numPr>
              <w:spacing w:after="120"/>
              <w:ind w:left="170" w:hanging="170"/>
              <w:jc w:val="lowKashida"/>
              <w:rPr>
                <w:sz w:val="18"/>
                <w:szCs w:val="18"/>
              </w:rPr>
            </w:pPr>
            <w:r w:rsidRPr="004C1F43">
              <w:rPr>
                <w:sz w:val="18"/>
                <w:szCs w:val="18"/>
              </w:rPr>
              <w:lastRenderedPageBreak/>
              <w:t>Valorisation et gestion durable des ressources naturelles ainsi que des systèmes de production agricoles et agro-pastoraux ;</w:t>
            </w:r>
          </w:p>
          <w:p w14:paraId="0DCDE34A" w14:textId="618A0554" w:rsidR="00CE5747" w:rsidRPr="004C1F43" w:rsidRDefault="00CE5747" w:rsidP="008A3661">
            <w:pPr>
              <w:pStyle w:val="Paragraphedeliste"/>
              <w:numPr>
                <w:ilvl w:val="0"/>
                <w:numId w:val="22"/>
              </w:numPr>
              <w:spacing w:after="120"/>
              <w:ind w:left="170" w:hanging="170"/>
              <w:jc w:val="lowKashida"/>
              <w:rPr>
                <w:sz w:val="18"/>
                <w:szCs w:val="18"/>
              </w:rPr>
            </w:pPr>
            <w:r w:rsidRPr="004C1F43">
              <w:rPr>
                <w:sz w:val="18"/>
                <w:szCs w:val="18"/>
              </w:rPr>
              <w:t>Diversification des productions agricoles et développement des principales filières agroalimentaires en faveur de la sécurité et de l’autosuffisance alimentaires ;</w:t>
            </w:r>
          </w:p>
          <w:p w14:paraId="2E95342C" w14:textId="6FFE721E" w:rsidR="00CE5747" w:rsidRPr="004C1F43" w:rsidRDefault="00CE5747" w:rsidP="008A3661">
            <w:pPr>
              <w:pStyle w:val="Paragraphedeliste"/>
              <w:numPr>
                <w:ilvl w:val="0"/>
                <w:numId w:val="22"/>
              </w:numPr>
              <w:spacing w:after="120"/>
              <w:ind w:left="170" w:hanging="170"/>
              <w:jc w:val="lowKashida"/>
              <w:rPr>
                <w:sz w:val="18"/>
                <w:szCs w:val="18"/>
              </w:rPr>
            </w:pPr>
            <w:r w:rsidRPr="004C1F43">
              <w:rPr>
                <w:sz w:val="18"/>
                <w:szCs w:val="18"/>
              </w:rPr>
              <w:t>Développement, intégration et amélioration du fonctionnement des marchés agricoles et agroalimentaires ;</w:t>
            </w:r>
          </w:p>
          <w:p w14:paraId="2CFF4EDB" w14:textId="5C40A9EB" w:rsidR="00CE5747" w:rsidRPr="004C1F43" w:rsidRDefault="00CE5747" w:rsidP="008A3661">
            <w:pPr>
              <w:pStyle w:val="Paragraphedeliste"/>
              <w:numPr>
                <w:ilvl w:val="0"/>
                <w:numId w:val="22"/>
              </w:numPr>
              <w:spacing w:after="120"/>
              <w:ind w:left="170" w:hanging="170"/>
              <w:jc w:val="lowKashida"/>
              <w:rPr>
                <w:sz w:val="18"/>
                <w:szCs w:val="18"/>
              </w:rPr>
            </w:pPr>
            <w:r w:rsidRPr="004C1F43">
              <w:rPr>
                <w:sz w:val="18"/>
                <w:szCs w:val="18"/>
              </w:rPr>
              <w:lastRenderedPageBreak/>
              <w:t>Amélioration durable de l’accès des populations vulnérables à l’alimentation et aux services sociaux de base ;</w:t>
            </w:r>
          </w:p>
          <w:p w14:paraId="5980FD5A" w14:textId="622A5550" w:rsidR="00CE5747" w:rsidRPr="004C1F43" w:rsidRDefault="00CE5747" w:rsidP="008A3661">
            <w:pPr>
              <w:pStyle w:val="Paragraphedeliste"/>
              <w:numPr>
                <w:ilvl w:val="0"/>
                <w:numId w:val="22"/>
              </w:numPr>
              <w:spacing w:after="120"/>
              <w:ind w:left="170" w:hanging="170"/>
              <w:jc w:val="lowKashida"/>
              <w:rPr>
                <w:sz w:val="18"/>
                <w:szCs w:val="18"/>
              </w:rPr>
            </w:pPr>
            <w:r w:rsidRPr="004C1F43">
              <w:rPr>
                <w:sz w:val="18"/>
                <w:szCs w:val="18"/>
              </w:rPr>
              <w:t>Renforcement des capacités des acteurs à travers la formation, l’éducation, le transfert de compétences et le développement du crédit rural ;</w:t>
            </w:r>
          </w:p>
          <w:p w14:paraId="44843EB6" w14:textId="6BF38E13" w:rsidR="00CE5747" w:rsidRPr="004C1F43" w:rsidRDefault="00CE5747" w:rsidP="008A3661">
            <w:pPr>
              <w:pStyle w:val="Paragraphedeliste"/>
              <w:numPr>
                <w:ilvl w:val="0"/>
                <w:numId w:val="22"/>
              </w:numPr>
              <w:spacing w:after="120"/>
              <w:ind w:left="170" w:hanging="170"/>
              <w:jc w:val="lowKashida"/>
              <w:rPr>
                <w:sz w:val="18"/>
                <w:szCs w:val="18"/>
              </w:rPr>
            </w:pPr>
            <w:r w:rsidRPr="004C1F43">
              <w:rPr>
                <w:sz w:val="18"/>
                <w:szCs w:val="18"/>
              </w:rPr>
              <w:t>Prise en compte des groupes sociaux fragiles et des zones vulnérables dans les politiques de sécurité alimentaire ;</w:t>
            </w:r>
          </w:p>
          <w:p w14:paraId="29AA00AD" w14:textId="20BAAA78" w:rsidR="00EC4D14" w:rsidRPr="004C1F43" w:rsidRDefault="00CE5747" w:rsidP="008A3661">
            <w:pPr>
              <w:pStyle w:val="Paragraphedeliste"/>
              <w:numPr>
                <w:ilvl w:val="0"/>
                <w:numId w:val="22"/>
              </w:numPr>
              <w:spacing w:after="120"/>
              <w:ind w:left="170" w:hanging="170"/>
              <w:contextualSpacing w:val="0"/>
              <w:jc w:val="lowKashida"/>
              <w:rPr>
                <w:sz w:val="18"/>
                <w:szCs w:val="18"/>
              </w:rPr>
            </w:pPr>
            <w:r w:rsidRPr="004C1F43">
              <w:rPr>
                <w:sz w:val="18"/>
                <w:szCs w:val="18"/>
              </w:rPr>
              <w:t>Renforcement de la décentralisation et de la gouvernance territoriale de la sécurité alimentaire.</w:t>
            </w:r>
          </w:p>
        </w:tc>
        <w:tc>
          <w:tcPr>
            <w:tcW w:w="1250" w:type="pct"/>
          </w:tcPr>
          <w:p w14:paraId="79E8A7AA" w14:textId="7C7192D6" w:rsidR="00EC4D14" w:rsidRPr="004C1F43" w:rsidRDefault="001E03B2" w:rsidP="001E03B2">
            <w:pPr>
              <w:spacing w:after="120"/>
              <w:jc w:val="lowKashida"/>
              <w:rPr>
                <w:rFonts w:eastAsia="Times New Roman"/>
                <w:sz w:val="18"/>
                <w:szCs w:val="18"/>
                <w:lang w:eastAsia="en-US"/>
              </w:rPr>
            </w:pPr>
            <w:r w:rsidRPr="004C1F43">
              <w:rPr>
                <w:sz w:val="18"/>
                <w:szCs w:val="18"/>
                <w:lang w:eastAsia="en-US"/>
              </w:rPr>
              <w:lastRenderedPageBreak/>
              <w:t>La SNSA n’identifie pas de cibles quantitatives.</w:t>
            </w:r>
          </w:p>
        </w:tc>
      </w:tr>
      <w:tr w:rsidR="00EC4D14" w14:paraId="003B9569" w14:textId="77777777" w:rsidTr="00D64965">
        <w:tc>
          <w:tcPr>
            <w:tcW w:w="933" w:type="pct"/>
          </w:tcPr>
          <w:p w14:paraId="700B400C" w14:textId="03588C0D" w:rsidR="00EC4D14" w:rsidRPr="004C1F43" w:rsidRDefault="00EC4D14" w:rsidP="00EC4D14">
            <w:pPr>
              <w:jc w:val="lowKashida"/>
              <w:rPr>
                <w:sz w:val="18"/>
                <w:szCs w:val="18"/>
              </w:rPr>
            </w:pPr>
            <w:r w:rsidRPr="004C1F43">
              <w:rPr>
                <w:sz w:val="18"/>
                <w:szCs w:val="18"/>
              </w:rPr>
              <w:t>Programme National d’Investissement Agricole 2015-2025</w:t>
            </w:r>
            <w:r w:rsidR="00205A78" w:rsidRPr="004C1F43">
              <w:rPr>
                <w:sz w:val="18"/>
                <w:szCs w:val="18"/>
              </w:rPr>
              <w:t xml:space="preserve"> (PNIA)</w:t>
            </w:r>
          </w:p>
          <w:p w14:paraId="262AFFB1" w14:textId="4128118D" w:rsidR="000145EF" w:rsidRPr="004C1F43" w:rsidRDefault="000145EF" w:rsidP="000145EF">
            <w:pPr>
              <w:jc w:val="both"/>
              <w:rPr>
                <w:sz w:val="18"/>
                <w:szCs w:val="18"/>
              </w:rPr>
            </w:pPr>
            <w:r w:rsidRPr="004C1F43">
              <w:rPr>
                <w:i/>
                <w:iCs/>
                <w:color w:val="1F3864" w:themeColor="accent5" w:themeShade="80"/>
                <w:sz w:val="18"/>
                <w:szCs w:val="18"/>
                <w:lang w:eastAsia="en-US"/>
              </w:rPr>
              <w:t xml:space="preserve">Ministère du développement </w:t>
            </w:r>
            <w:r w:rsidR="007E407D" w:rsidRPr="004C1F43">
              <w:rPr>
                <w:i/>
                <w:iCs/>
                <w:color w:val="1F3864" w:themeColor="accent5" w:themeShade="80"/>
                <w:sz w:val="18"/>
                <w:szCs w:val="18"/>
                <w:lang w:eastAsia="en-US"/>
              </w:rPr>
              <w:t>rural,</w:t>
            </w:r>
            <w:r w:rsidRPr="004C1F43">
              <w:rPr>
                <w:i/>
                <w:iCs/>
                <w:color w:val="1F3864" w:themeColor="accent5" w:themeShade="80"/>
                <w:sz w:val="18"/>
                <w:szCs w:val="18"/>
                <w:lang w:eastAsia="en-US"/>
              </w:rPr>
              <w:t xml:space="preserve"> 2014</w:t>
            </w:r>
          </w:p>
        </w:tc>
        <w:tc>
          <w:tcPr>
            <w:tcW w:w="1245" w:type="pct"/>
          </w:tcPr>
          <w:p w14:paraId="5A9FFB0C" w14:textId="37A9FFBC" w:rsidR="00EC4D14" w:rsidRPr="004C1F43" w:rsidRDefault="007F5BC7" w:rsidP="00EC4D14">
            <w:pPr>
              <w:jc w:val="lowKashida"/>
              <w:rPr>
                <w:sz w:val="18"/>
                <w:szCs w:val="18"/>
              </w:rPr>
            </w:pPr>
            <w:r w:rsidRPr="004C1F43">
              <w:rPr>
                <w:sz w:val="18"/>
                <w:szCs w:val="18"/>
              </w:rPr>
              <w:t xml:space="preserve">Le PNIA du Mali constitue le cadre stratégique de mise en œuvre de la politique de </w:t>
            </w:r>
            <w:r w:rsidR="001349C6" w:rsidRPr="004C1F43">
              <w:rPr>
                <w:sz w:val="18"/>
                <w:szCs w:val="18"/>
              </w:rPr>
              <w:t>D</w:t>
            </w:r>
            <w:r w:rsidRPr="004C1F43">
              <w:rPr>
                <w:sz w:val="18"/>
                <w:szCs w:val="18"/>
              </w:rPr>
              <w:t xml:space="preserve">éveloppement </w:t>
            </w:r>
            <w:r w:rsidR="001349C6" w:rsidRPr="004C1F43">
              <w:rPr>
                <w:sz w:val="18"/>
                <w:szCs w:val="18"/>
              </w:rPr>
              <w:t>A</w:t>
            </w:r>
            <w:r w:rsidRPr="004C1F43">
              <w:rPr>
                <w:sz w:val="18"/>
                <w:szCs w:val="18"/>
              </w:rPr>
              <w:t xml:space="preserve">gricole et de </w:t>
            </w:r>
            <w:r w:rsidR="001349C6" w:rsidRPr="004C1F43">
              <w:rPr>
                <w:sz w:val="18"/>
                <w:szCs w:val="18"/>
              </w:rPr>
              <w:t>S</w:t>
            </w:r>
            <w:r w:rsidRPr="004C1F43">
              <w:rPr>
                <w:sz w:val="18"/>
                <w:szCs w:val="18"/>
              </w:rPr>
              <w:t xml:space="preserve">écurité </w:t>
            </w:r>
            <w:r w:rsidR="001349C6" w:rsidRPr="004C1F43">
              <w:rPr>
                <w:sz w:val="18"/>
                <w:szCs w:val="18"/>
              </w:rPr>
              <w:t>A</w:t>
            </w:r>
            <w:r w:rsidRPr="004C1F43">
              <w:rPr>
                <w:sz w:val="18"/>
                <w:szCs w:val="18"/>
              </w:rPr>
              <w:t>limentaire du pays. Inscrit dans une logique de transformation structurelle du secteur rural, il vise à promouvoir une agriculture durable, compétitive et résiliente, capable de soutenir la croissance économique, d’améliorer les conditions de vie des populations rurales et de renforcer la sécurité alimentaire et nutritionnelle. Le programme met l’accent sur le développement des filières agricoles, pastorales, halieutiques et forestières, l’amélioration de la productivité, la gestion durable des ressources naturelles, ainsi que le renforcement de la gouvernance et des capacités institutionnelles du secteur agricole.</w:t>
            </w:r>
          </w:p>
        </w:tc>
        <w:tc>
          <w:tcPr>
            <w:tcW w:w="1572" w:type="pct"/>
          </w:tcPr>
          <w:p w14:paraId="03563D09" w14:textId="6315C2A1" w:rsidR="00941E09" w:rsidRPr="004C1F43" w:rsidRDefault="00941E09" w:rsidP="008A3661">
            <w:pPr>
              <w:pStyle w:val="Paragraphedeliste"/>
              <w:numPr>
                <w:ilvl w:val="0"/>
                <w:numId w:val="22"/>
              </w:numPr>
              <w:spacing w:after="120"/>
              <w:ind w:left="170" w:hanging="170"/>
              <w:jc w:val="lowKashida"/>
              <w:rPr>
                <w:sz w:val="18"/>
                <w:szCs w:val="18"/>
              </w:rPr>
            </w:pPr>
            <w:r w:rsidRPr="004C1F43">
              <w:rPr>
                <w:sz w:val="18"/>
                <w:szCs w:val="18"/>
              </w:rPr>
              <w:t>Développement des investissements dans les régimes fonciers sécurisés, la gestion des ressources naturelles, les systèmes d’irrigation et la gestion de l’eau ;</w:t>
            </w:r>
          </w:p>
          <w:p w14:paraId="1E702F3B" w14:textId="11D08B36" w:rsidR="00941E09" w:rsidRPr="004C1F43" w:rsidRDefault="00941E09" w:rsidP="008A3661">
            <w:pPr>
              <w:pStyle w:val="Paragraphedeliste"/>
              <w:numPr>
                <w:ilvl w:val="0"/>
                <w:numId w:val="22"/>
              </w:numPr>
              <w:spacing w:after="120"/>
              <w:ind w:left="170" w:hanging="170"/>
              <w:jc w:val="lowKashida"/>
              <w:rPr>
                <w:sz w:val="18"/>
                <w:szCs w:val="18"/>
              </w:rPr>
            </w:pPr>
            <w:r w:rsidRPr="004C1F43">
              <w:rPr>
                <w:sz w:val="18"/>
                <w:szCs w:val="18"/>
              </w:rPr>
              <w:t>Promotion de la production et de la compétitivité des filières agro-sylvo-pastorales et halieutiques ;</w:t>
            </w:r>
          </w:p>
          <w:p w14:paraId="50D09D4F" w14:textId="338904F3" w:rsidR="00941E09" w:rsidRPr="004C1F43" w:rsidRDefault="00941E09" w:rsidP="008A3661">
            <w:pPr>
              <w:pStyle w:val="Paragraphedeliste"/>
              <w:numPr>
                <w:ilvl w:val="0"/>
                <w:numId w:val="22"/>
              </w:numPr>
              <w:spacing w:after="120"/>
              <w:ind w:left="170" w:hanging="170"/>
              <w:jc w:val="lowKashida"/>
              <w:rPr>
                <w:sz w:val="18"/>
                <w:szCs w:val="18"/>
              </w:rPr>
            </w:pPr>
            <w:r w:rsidRPr="004C1F43">
              <w:rPr>
                <w:sz w:val="18"/>
                <w:szCs w:val="18"/>
              </w:rPr>
              <w:t>Renforcement de la formation et de la recherche en appui aux systèmes de production ;</w:t>
            </w:r>
          </w:p>
          <w:p w14:paraId="6E2FC659" w14:textId="6221FBE9" w:rsidR="00941E09" w:rsidRPr="004C1F43" w:rsidRDefault="00941E09" w:rsidP="008A3661">
            <w:pPr>
              <w:pStyle w:val="Paragraphedeliste"/>
              <w:numPr>
                <w:ilvl w:val="0"/>
                <w:numId w:val="22"/>
              </w:numPr>
              <w:spacing w:after="120"/>
              <w:ind w:left="170" w:hanging="170"/>
              <w:jc w:val="lowKashida"/>
              <w:rPr>
                <w:sz w:val="18"/>
                <w:szCs w:val="18"/>
              </w:rPr>
            </w:pPr>
            <w:r w:rsidRPr="004C1F43">
              <w:rPr>
                <w:sz w:val="18"/>
                <w:szCs w:val="18"/>
              </w:rPr>
              <w:t>Renforcement de la sécurité alimentaire et nutritionnelle, notamment face à l’insécurité alimentaire conjoncturelle ;</w:t>
            </w:r>
          </w:p>
          <w:p w14:paraId="466EDBB8" w14:textId="2F438E62" w:rsidR="00EC4D14" w:rsidRPr="004C1F43" w:rsidRDefault="00941E09" w:rsidP="008A3661">
            <w:pPr>
              <w:pStyle w:val="Paragraphedeliste"/>
              <w:numPr>
                <w:ilvl w:val="0"/>
                <w:numId w:val="22"/>
              </w:numPr>
              <w:spacing w:after="120"/>
              <w:ind w:left="170" w:hanging="170"/>
              <w:jc w:val="lowKashida"/>
              <w:rPr>
                <w:sz w:val="18"/>
                <w:szCs w:val="18"/>
              </w:rPr>
            </w:pPr>
            <w:r w:rsidRPr="004C1F43">
              <w:rPr>
                <w:sz w:val="18"/>
                <w:szCs w:val="18"/>
              </w:rPr>
              <w:t xml:space="preserve">Prise en compte des dimensions environnementales et sociales pour assurer la durabilité des réalisations. </w:t>
            </w:r>
          </w:p>
        </w:tc>
        <w:tc>
          <w:tcPr>
            <w:tcW w:w="1250" w:type="pct"/>
          </w:tcPr>
          <w:p w14:paraId="4117F7DC" w14:textId="77777777" w:rsidR="00C00772" w:rsidRPr="004C1F43" w:rsidRDefault="00C00772" w:rsidP="008A3661">
            <w:pPr>
              <w:pStyle w:val="Paragraphedeliste"/>
              <w:numPr>
                <w:ilvl w:val="0"/>
                <w:numId w:val="22"/>
              </w:numPr>
              <w:spacing w:after="120"/>
              <w:ind w:left="170" w:hanging="170"/>
              <w:jc w:val="lowKashida"/>
              <w:rPr>
                <w:sz w:val="18"/>
                <w:szCs w:val="18"/>
              </w:rPr>
            </w:pPr>
            <w:r w:rsidRPr="004C1F43">
              <w:rPr>
                <w:sz w:val="18"/>
                <w:szCs w:val="18"/>
              </w:rPr>
              <w:t>Production céréalière estimée à 11 829 087 tonnes à l’horizon 2025, dont 5 702 964 tonnes dans les zones d’agropoles ;</w:t>
            </w:r>
          </w:p>
          <w:p w14:paraId="4F8C8D6F" w14:textId="2D20AC06" w:rsidR="00C00772" w:rsidRPr="004C1F43" w:rsidRDefault="00C00772" w:rsidP="008A3661">
            <w:pPr>
              <w:pStyle w:val="Paragraphedeliste"/>
              <w:numPr>
                <w:ilvl w:val="0"/>
                <w:numId w:val="22"/>
              </w:numPr>
              <w:spacing w:after="120"/>
              <w:ind w:left="170" w:hanging="170"/>
              <w:jc w:val="lowKashida"/>
              <w:rPr>
                <w:sz w:val="18"/>
                <w:szCs w:val="18"/>
              </w:rPr>
            </w:pPr>
            <w:r w:rsidRPr="004C1F43">
              <w:rPr>
                <w:sz w:val="18"/>
                <w:szCs w:val="18"/>
              </w:rPr>
              <w:t>Production ciblée de 2 974 728 tonnes de riz, 4 758 971 tonnes de maïs, 2 043 274 tonnes de mil et 1 982 063 tonnes de sorgho à l’horizon 2025 ;</w:t>
            </w:r>
          </w:p>
          <w:p w14:paraId="5E1AC559" w14:textId="58CDF8E7" w:rsidR="00C00772" w:rsidRPr="004C1F43" w:rsidRDefault="00C00772" w:rsidP="008A3661">
            <w:pPr>
              <w:pStyle w:val="Paragraphedeliste"/>
              <w:numPr>
                <w:ilvl w:val="0"/>
                <w:numId w:val="22"/>
              </w:numPr>
              <w:spacing w:after="120"/>
              <w:ind w:left="170" w:hanging="170"/>
              <w:jc w:val="lowKashida"/>
              <w:rPr>
                <w:sz w:val="18"/>
                <w:szCs w:val="18"/>
              </w:rPr>
            </w:pPr>
            <w:r w:rsidRPr="004C1F43">
              <w:rPr>
                <w:sz w:val="18"/>
                <w:szCs w:val="18"/>
              </w:rPr>
              <w:t>Production ciblée de 1 057 327 tonnes de coton à l’horizon 2025 ;</w:t>
            </w:r>
          </w:p>
          <w:p w14:paraId="4411C1FF" w14:textId="5D42E4B6" w:rsidR="00C00772" w:rsidRPr="004C1F43" w:rsidRDefault="00C00772" w:rsidP="008A3661">
            <w:pPr>
              <w:pStyle w:val="Paragraphedeliste"/>
              <w:numPr>
                <w:ilvl w:val="0"/>
                <w:numId w:val="22"/>
              </w:numPr>
              <w:spacing w:after="120"/>
              <w:ind w:left="170" w:hanging="170"/>
              <w:jc w:val="lowKashida"/>
              <w:rPr>
                <w:sz w:val="18"/>
                <w:szCs w:val="18"/>
              </w:rPr>
            </w:pPr>
            <w:r w:rsidRPr="004C1F43">
              <w:rPr>
                <w:sz w:val="18"/>
                <w:szCs w:val="18"/>
              </w:rPr>
              <w:t>Production animale ciblée à l’horizon 2025 : 226 910 tonnes de bétail-viande, 1 982 540 tonnes de lait, 43 875 tonnes d’aviculture traditionnelle, 4 713 tonnes d’aviculture moderne, 2 800 tonnes de miel et 173 188 tonnes de poisson ;</w:t>
            </w:r>
          </w:p>
          <w:p w14:paraId="25EFEBF3" w14:textId="25C1C978" w:rsidR="00EC4D14" w:rsidRPr="004C1F43" w:rsidRDefault="00C00772" w:rsidP="008A3661">
            <w:pPr>
              <w:pStyle w:val="Paragraphedeliste"/>
              <w:numPr>
                <w:ilvl w:val="0"/>
                <w:numId w:val="22"/>
              </w:numPr>
              <w:spacing w:after="120"/>
              <w:ind w:left="170" w:hanging="170"/>
              <w:jc w:val="lowKashida"/>
              <w:rPr>
                <w:sz w:val="18"/>
                <w:szCs w:val="18"/>
              </w:rPr>
            </w:pPr>
            <w:r w:rsidRPr="004C1F43">
              <w:rPr>
                <w:sz w:val="18"/>
                <w:szCs w:val="18"/>
              </w:rPr>
              <w:t>Coût total du PNISA estimé à 6 951 439 366 145 FCFA pour la période 2015-2024, dont 2 091 211 655 435 FCFA pour les investissements, 3 081 102 319 297 FCFA pour la production/compétitivité et 98 781 058 333 FCFA pour la sécurité alimentaire.</w:t>
            </w:r>
          </w:p>
        </w:tc>
      </w:tr>
    </w:tbl>
    <w:p w14:paraId="382D3416" w14:textId="77777777" w:rsidR="004804B3" w:rsidRDefault="004804B3" w:rsidP="008E7207">
      <w:pPr>
        <w:sectPr w:rsidR="004804B3" w:rsidSect="00402395">
          <w:pgSz w:w="15840" w:h="12240" w:orient="landscape" w:code="1"/>
          <w:pgMar w:top="1411" w:right="1411" w:bottom="1411" w:left="1411" w:header="706" w:footer="706" w:gutter="0"/>
          <w:cols w:space="708"/>
          <w:docGrid w:linePitch="360"/>
        </w:sectPr>
      </w:pPr>
    </w:p>
    <w:p w14:paraId="4D2975FE" w14:textId="77777777" w:rsidR="008E7207" w:rsidRDefault="008E7207" w:rsidP="008E7207"/>
    <w:p w14:paraId="25D24300" w14:textId="45A46FE6" w:rsidR="008624E2" w:rsidRPr="008624E2" w:rsidRDefault="00B45211" w:rsidP="008624E2">
      <w:pPr>
        <w:jc w:val="both"/>
        <w:rPr>
          <w:sz w:val="24"/>
          <w:szCs w:val="24"/>
        </w:rPr>
      </w:pPr>
      <w:r w:rsidRPr="00B45211">
        <w:rPr>
          <w:sz w:val="24"/>
          <w:szCs w:val="24"/>
        </w:rPr>
        <w:t>L’examen de cet arsenal stratégique</w:t>
      </w:r>
      <w:r>
        <w:rPr>
          <w:sz w:val="24"/>
          <w:szCs w:val="24"/>
        </w:rPr>
        <w:t xml:space="preserve"> </w:t>
      </w:r>
      <w:r w:rsidR="008624E2" w:rsidRPr="008624E2">
        <w:rPr>
          <w:sz w:val="24"/>
          <w:szCs w:val="24"/>
        </w:rPr>
        <w:t>met en lumière un cadre sectoriel résolument axé sur la promotion d'une agriculture durable ainsi que sur le renforcement de la sécurité alimentaire. Les diverses stratégies examinées s'organisent principalement autour de trois dynamiques complémentaires : la gestion durable des ressources naturelles et le développement de la maîtrise de l'eau à des fins agricoles, la modernisation et l'intensification des systèmes de production agro-sylvo-pastoraux, ainsi que le renforcement de la sécurité alimentaire et nutritionnelle par le biais de la diversification des productions et du développement des filières agricoles. Plusieurs de ces instruments constituent ainsi une base importante pour l’identification des priorités de la CDN 3.0. Ils reflètent une volonté nationale de transformer durablement le secteur agricole et établissent, pour certains, des objectifs chiffrés en matière de production, d'aménagements hydro-agricoles et d'investissements sectoriels qui peuvent servir de base à la planification de l'adaptation.</w:t>
      </w:r>
    </w:p>
    <w:p w14:paraId="0477B6A8" w14:textId="26E69859" w:rsidR="008624E2" w:rsidRDefault="008624E2" w:rsidP="008624E2">
      <w:pPr>
        <w:jc w:val="both"/>
        <w:rPr>
          <w:sz w:val="24"/>
          <w:szCs w:val="24"/>
        </w:rPr>
      </w:pPr>
      <w:r w:rsidRPr="008624E2">
        <w:rPr>
          <w:sz w:val="24"/>
          <w:szCs w:val="24"/>
        </w:rPr>
        <w:t>Il sera donc nécessaire que les orientations d'adaptation renforcent et approfondissent les dynamiques déjà en place, en prenant en compte les orientations récentes mises en place. Elles devront aussi augmenter les investissements pour mieux gérer l'eau, protéger les systèmes de production et promouvoir des pratiques agricoles durables. Elles doivent aussi transformer ces priorités en actions mesurables, financées et pouvant être suivies dans le cadre de la CDN 3.0.</w:t>
      </w:r>
    </w:p>
    <w:tbl>
      <w:tblPr>
        <w:tblStyle w:val="Grilledutableau"/>
        <w:tblW w:w="0" w:type="auto"/>
        <w:tblLook w:val="04A0" w:firstRow="1" w:lastRow="0" w:firstColumn="1" w:lastColumn="0" w:noHBand="0" w:noVBand="1"/>
      </w:tblPr>
      <w:tblGrid>
        <w:gridCol w:w="13018"/>
      </w:tblGrid>
      <w:tr w:rsidR="000459AE" w14:paraId="29EC9686" w14:textId="77777777" w:rsidTr="000459AE">
        <w:tc>
          <w:tcPr>
            <w:tcW w:w="13018" w:type="dxa"/>
            <w:shd w:val="clear" w:color="auto" w:fill="DEEAF6" w:themeFill="accent1" w:themeFillTint="33"/>
          </w:tcPr>
          <w:p w14:paraId="5DA594B5" w14:textId="77777777" w:rsidR="000459AE" w:rsidRPr="000459AE" w:rsidRDefault="000459AE" w:rsidP="000459AE">
            <w:pPr>
              <w:spacing w:before="120" w:after="120"/>
              <w:jc w:val="both"/>
              <w:rPr>
                <w:sz w:val="24"/>
                <w:szCs w:val="24"/>
              </w:rPr>
            </w:pPr>
            <w:r w:rsidRPr="000459AE">
              <w:rPr>
                <w:sz w:val="24"/>
                <w:szCs w:val="24"/>
              </w:rPr>
              <w:t>Sur la base de la revue sectorielle conduite, les éléments suivants devront être intégrés dans la CDN 3.0 :</w:t>
            </w:r>
          </w:p>
          <w:p w14:paraId="3446D7AB" w14:textId="77777777" w:rsidR="000459AE" w:rsidRPr="000459AE" w:rsidRDefault="000459AE" w:rsidP="008A3661">
            <w:pPr>
              <w:numPr>
                <w:ilvl w:val="0"/>
                <w:numId w:val="33"/>
              </w:numPr>
              <w:spacing w:before="120" w:after="120"/>
              <w:jc w:val="both"/>
              <w:rPr>
                <w:sz w:val="24"/>
                <w:szCs w:val="24"/>
              </w:rPr>
            </w:pPr>
            <w:r w:rsidRPr="000459AE">
              <w:rPr>
                <w:b/>
                <w:bCs/>
                <w:sz w:val="24"/>
                <w:szCs w:val="24"/>
              </w:rPr>
              <w:t xml:space="preserve">Gestion intégrée des ressources en eau et maîtrise de l'eau agricole : </w:t>
            </w:r>
            <w:r w:rsidRPr="000459AE">
              <w:rPr>
                <w:sz w:val="24"/>
                <w:szCs w:val="24"/>
              </w:rPr>
              <w:t>développement et réhabilitation des aménagements hydro-agricoles, amélioration de l'efficience de l'irrigation, généralisation de l'approche par bassin hydrographique, mobilisation de la petite et moyenne irrigation, en continuité avec la PNE et la SNDR ;</w:t>
            </w:r>
          </w:p>
          <w:p w14:paraId="1CCC94E3" w14:textId="77777777" w:rsidR="000459AE" w:rsidRPr="000459AE" w:rsidRDefault="000459AE" w:rsidP="008A3661">
            <w:pPr>
              <w:numPr>
                <w:ilvl w:val="0"/>
                <w:numId w:val="33"/>
              </w:numPr>
              <w:spacing w:before="120" w:after="120"/>
              <w:jc w:val="both"/>
              <w:rPr>
                <w:sz w:val="24"/>
                <w:szCs w:val="24"/>
              </w:rPr>
            </w:pPr>
            <w:r w:rsidRPr="000459AE">
              <w:rPr>
                <w:b/>
                <w:bCs/>
                <w:sz w:val="24"/>
                <w:szCs w:val="24"/>
              </w:rPr>
              <w:t xml:space="preserve">Diffusion de pratiques agricoles intelligentes face au climat : </w:t>
            </w:r>
            <w:r w:rsidRPr="000459AE">
              <w:rPr>
                <w:sz w:val="24"/>
                <w:szCs w:val="24"/>
              </w:rPr>
              <w:t>agriculture de conservation, gestion durable des sols, restauration des terres dégradées, agroforesterie, intégration agriculture-élevage, et déploiement de variétés résilientes à la sécheresse ;</w:t>
            </w:r>
          </w:p>
          <w:p w14:paraId="6F78932A" w14:textId="77777777" w:rsidR="000459AE" w:rsidRPr="000459AE" w:rsidRDefault="000459AE" w:rsidP="008A3661">
            <w:pPr>
              <w:numPr>
                <w:ilvl w:val="0"/>
                <w:numId w:val="33"/>
              </w:numPr>
              <w:spacing w:before="120" w:after="120"/>
              <w:jc w:val="both"/>
              <w:rPr>
                <w:sz w:val="24"/>
                <w:szCs w:val="24"/>
              </w:rPr>
            </w:pPr>
            <w:r w:rsidRPr="000459AE">
              <w:rPr>
                <w:b/>
                <w:bCs/>
                <w:sz w:val="24"/>
                <w:szCs w:val="24"/>
              </w:rPr>
              <w:t xml:space="preserve">Sécurisation des systèmes pastoraux : </w:t>
            </w:r>
            <w:r w:rsidRPr="000459AE">
              <w:rPr>
                <w:sz w:val="24"/>
                <w:szCs w:val="24"/>
              </w:rPr>
              <w:t>aménagement des parcours, hydraulique pastorale et restauration des écosystèmes ;</w:t>
            </w:r>
          </w:p>
          <w:p w14:paraId="38E7024F" w14:textId="77777777" w:rsidR="000459AE" w:rsidRDefault="000459AE" w:rsidP="008A3661">
            <w:pPr>
              <w:numPr>
                <w:ilvl w:val="0"/>
                <w:numId w:val="33"/>
              </w:numPr>
              <w:spacing w:before="120" w:after="120"/>
              <w:jc w:val="both"/>
              <w:rPr>
                <w:sz w:val="24"/>
                <w:szCs w:val="24"/>
              </w:rPr>
            </w:pPr>
            <w:r w:rsidRPr="000459AE">
              <w:rPr>
                <w:b/>
                <w:bCs/>
                <w:sz w:val="24"/>
                <w:szCs w:val="24"/>
              </w:rPr>
              <w:t xml:space="preserve">Renforcement de la sécurité alimentaire et nutritionnelle : </w:t>
            </w:r>
            <w:r w:rsidRPr="000459AE">
              <w:rPr>
                <w:sz w:val="24"/>
                <w:szCs w:val="24"/>
              </w:rPr>
              <w:t>consolidation des dispositifs de prévention et de gestion des crises alimentaires, diversification des productions, amélioration de l'accès des populations vulnérables à l'alimentation, conformément aux orientations de la SNSA et du PNIA ;</w:t>
            </w:r>
          </w:p>
          <w:p w14:paraId="11505869" w14:textId="77777777" w:rsidR="000459AE" w:rsidRPr="00B86B85" w:rsidRDefault="000459AE" w:rsidP="008A3661">
            <w:pPr>
              <w:pStyle w:val="Paragraphedeliste"/>
              <w:numPr>
                <w:ilvl w:val="0"/>
                <w:numId w:val="33"/>
              </w:numPr>
              <w:spacing w:after="120"/>
              <w:contextualSpacing w:val="0"/>
              <w:rPr>
                <w:color w:val="000000" w:themeColor="text1"/>
                <w:sz w:val="24"/>
                <w:szCs w:val="24"/>
              </w:rPr>
            </w:pPr>
            <w:r w:rsidRPr="00DF2634">
              <w:rPr>
                <w:b/>
                <w:bCs/>
                <w:color w:val="000000" w:themeColor="text1"/>
                <w:sz w:val="24"/>
                <w:szCs w:val="24"/>
              </w:rPr>
              <w:lastRenderedPageBreak/>
              <w:t xml:space="preserve">Recherche, conseil agricole et renforcement de capacités : </w:t>
            </w:r>
            <w:r w:rsidRPr="00B86B85">
              <w:rPr>
                <w:color w:val="000000" w:themeColor="text1"/>
                <w:sz w:val="24"/>
                <w:szCs w:val="24"/>
              </w:rPr>
              <w:t>développement d'un système national de recherche et de conseil agricoles orienté vers l'adaptation, transfert de technologies, formation des producteurs et structuration des organisations professionnelles agricoles</w:t>
            </w:r>
            <w:r>
              <w:rPr>
                <w:color w:val="000000" w:themeColor="text1"/>
                <w:sz w:val="24"/>
                <w:szCs w:val="24"/>
              </w:rPr>
              <w:t> ;</w:t>
            </w:r>
          </w:p>
          <w:p w14:paraId="1EF14B90" w14:textId="16F92871" w:rsidR="000459AE" w:rsidRPr="000459AE" w:rsidRDefault="000459AE" w:rsidP="008A3661">
            <w:pPr>
              <w:pStyle w:val="Paragraphedeliste"/>
              <w:numPr>
                <w:ilvl w:val="0"/>
                <w:numId w:val="33"/>
              </w:numPr>
              <w:spacing w:after="120"/>
              <w:contextualSpacing w:val="0"/>
              <w:rPr>
                <w:color w:val="000000" w:themeColor="text1"/>
                <w:sz w:val="24"/>
                <w:szCs w:val="24"/>
              </w:rPr>
            </w:pPr>
            <w:r w:rsidRPr="00DF2634">
              <w:rPr>
                <w:b/>
                <w:bCs/>
                <w:color w:val="000000" w:themeColor="text1"/>
                <w:sz w:val="24"/>
                <w:szCs w:val="24"/>
              </w:rPr>
              <w:t xml:space="preserve">Mobilisation de financements adaptés : </w:t>
            </w:r>
            <w:r w:rsidRPr="00B86B85">
              <w:rPr>
                <w:color w:val="000000" w:themeColor="text1"/>
                <w:sz w:val="24"/>
                <w:szCs w:val="24"/>
              </w:rPr>
              <w:t>développement de mécanismes de financement (crédit rural, assurance agricole indicielle, fonds climatiques) capables de couvrir à la fois les investissements structurants et la réponse aux catastrophes naturelles, en cohérence avec le PNIA.</w:t>
            </w:r>
          </w:p>
        </w:tc>
      </w:tr>
    </w:tbl>
    <w:p w14:paraId="5C8C6522" w14:textId="2524C0D9" w:rsidR="00D800AD" w:rsidRPr="00CE0D2C" w:rsidRDefault="0029456E" w:rsidP="00812F26">
      <w:pPr>
        <w:pStyle w:val="Titre3"/>
        <w:numPr>
          <w:ilvl w:val="2"/>
          <w:numId w:val="21"/>
        </w:numPr>
        <w:spacing w:before="240"/>
      </w:pPr>
      <w:bookmarkStart w:id="20" w:name="_Toc234853858"/>
      <w:r w:rsidRPr="00CE0D2C">
        <w:lastRenderedPageBreak/>
        <w:t>Énergie</w:t>
      </w:r>
      <w:bookmarkEnd w:id="20"/>
      <w:r w:rsidRPr="00CE0D2C">
        <w:t xml:space="preserve"> </w:t>
      </w:r>
    </w:p>
    <w:p w14:paraId="4DA4B827" w14:textId="5B1EE392" w:rsidR="00FF017F" w:rsidRPr="00FF017F" w:rsidRDefault="00964B9F" w:rsidP="00FF017F">
      <w:pPr>
        <w:jc w:val="both"/>
        <w:rPr>
          <w:sz w:val="24"/>
          <w:szCs w:val="24"/>
        </w:rPr>
      </w:pPr>
      <w:r w:rsidRPr="00964B9F">
        <w:rPr>
          <w:sz w:val="24"/>
          <w:szCs w:val="24"/>
        </w:rPr>
        <w:t>Bien que le secteur de l’énergie soit principalement associé aux enjeux d’atténuation du changement climatique, certaines de ses composantes contribuent également à l’adaptation, notamment à travers l’amélioration de l’accès aux services énergétiques en milieu rural, le développement des systèmes énergétiques décentralisés et la réduction de la pression sur les ressources forestières. Ces dimensions contribuent en particulier au renforcement de la résilience des populations rurales et à la sécurisation de l’accès aux services de base dans les zones les plus vulnérables aux aléas climatiques.</w:t>
      </w:r>
      <w:r w:rsidR="003542B7" w:rsidRPr="003542B7">
        <w:rPr>
          <w:sz w:val="24"/>
          <w:szCs w:val="24"/>
        </w:rPr>
        <w:t xml:space="preserve"> Les politiques et stratégies élaborées dans le secteur mettent ainsi en avant plusieurs orientations relatives à l’accès à l’énergie, à l’électrification rurale et au développement des énergies renouvelables, présentées dans le tableau ci-après avec les éventuelles cibles quantitatives associées.</w:t>
      </w:r>
    </w:p>
    <w:p w14:paraId="44BB6B8A" w14:textId="05BA69B7" w:rsidR="001C5828" w:rsidRDefault="001C5828" w:rsidP="001C5828">
      <w:pPr>
        <w:pStyle w:val="Lgende"/>
        <w:keepNext/>
      </w:pPr>
      <w:bookmarkStart w:id="21" w:name="_Toc234853931"/>
      <w:r>
        <w:t xml:space="preserve">Tableau </w:t>
      </w:r>
      <w:r>
        <w:fldChar w:fldCharType="begin"/>
      </w:r>
      <w:r>
        <w:instrText xml:space="preserve"> SEQ Tableau \* ARABIC </w:instrText>
      </w:r>
      <w:r>
        <w:fldChar w:fldCharType="separate"/>
      </w:r>
      <w:r w:rsidR="0018772E">
        <w:rPr>
          <w:noProof/>
        </w:rPr>
        <w:t>7</w:t>
      </w:r>
      <w:r>
        <w:fldChar w:fldCharType="end"/>
      </w:r>
      <w:r>
        <w:t xml:space="preserve"> : </w:t>
      </w:r>
      <w:r w:rsidR="00E83145">
        <w:t>P</w:t>
      </w:r>
      <w:r w:rsidR="00E83145" w:rsidRPr="00E83145">
        <w:t>olitiques et stratégies énergétiques du Mali en lien avec l’adaptation</w:t>
      </w:r>
      <w:bookmarkEnd w:id="21"/>
    </w:p>
    <w:tbl>
      <w:tblPr>
        <w:tblStyle w:val="Grilledutablea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119"/>
        <w:gridCol w:w="4090"/>
        <w:gridCol w:w="3252"/>
      </w:tblGrid>
      <w:tr w:rsidR="00435B13" w:rsidRPr="00E83145" w14:paraId="2DA95E02" w14:textId="77777777" w:rsidTr="00302EB5">
        <w:trPr>
          <w:trHeight w:val="558"/>
          <w:tblHeader/>
        </w:trPr>
        <w:tc>
          <w:tcPr>
            <w:tcW w:w="97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45FBD859" w14:textId="77777777" w:rsidR="00435B13" w:rsidRPr="00E83145" w:rsidRDefault="00435B13">
            <w:pPr>
              <w:jc w:val="center"/>
              <w:rPr>
                <w:b/>
                <w:bCs/>
                <w:color w:val="FFFFFF" w:themeColor="background1"/>
                <w:sz w:val="18"/>
                <w:szCs w:val="18"/>
                <w:lang w:eastAsia="en-US"/>
              </w:rPr>
            </w:pPr>
            <w:r w:rsidRPr="00E83145">
              <w:rPr>
                <w:b/>
                <w:bCs/>
                <w:color w:val="FFFFFF" w:themeColor="background1"/>
                <w:sz w:val="18"/>
                <w:szCs w:val="18"/>
                <w:lang w:eastAsia="en-US"/>
              </w:rPr>
              <w:t>Politique / stratégie</w:t>
            </w:r>
          </w:p>
        </w:tc>
        <w:tc>
          <w:tcPr>
            <w:tcW w:w="11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9A7B19C" w14:textId="77777777" w:rsidR="00435B13" w:rsidRPr="00E83145" w:rsidRDefault="00435B13">
            <w:pPr>
              <w:jc w:val="center"/>
              <w:rPr>
                <w:b/>
                <w:bCs/>
                <w:color w:val="FFFFFF" w:themeColor="background1"/>
                <w:sz w:val="18"/>
                <w:szCs w:val="18"/>
                <w:lang w:eastAsia="en-US"/>
              </w:rPr>
            </w:pPr>
            <w:r w:rsidRPr="00E83145">
              <w:rPr>
                <w:b/>
                <w:bCs/>
                <w:color w:val="FFFFFF" w:themeColor="background1"/>
                <w:sz w:val="18"/>
                <w:szCs w:val="18"/>
                <w:lang w:eastAsia="en-US"/>
              </w:rPr>
              <w:t>Description</w:t>
            </w:r>
          </w:p>
        </w:tc>
        <w:tc>
          <w:tcPr>
            <w:tcW w:w="15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155A15C" w14:textId="77777777" w:rsidR="00435B13" w:rsidRPr="00E83145" w:rsidRDefault="00435B13">
            <w:pPr>
              <w:jc w:val="center"/>
              <w:rPr>
                <w:b/>
                <w:bCs/>
                <w:color w:val="FFFFFF" w:themeColor="background1"/>
                <w:sz w:val="18"/>
                <w:szCs w:val="18"/>
                <w:lang w:eastAsia="en-US"/>
              </w:rPr>
            </w:pPr>
            <w:r w:rsidRPr="00E83145">
              <w:rPr>
                <w:b/>
                <w:bCs/>
                <w:color w:val="FFFFFF" w:themeColor="background1"/>
                <w:sz w:val="18"/>
                <w:szCs w:val="18"/>
                <w:lang w:eastAsia="en-US"/>
              </w:rPr>
              <w:t>Principales orientations climatiques</w:t>
            </w:r>
          </w:p>
        </w:tc>
        <w:tc>
          <w:tcPr>
            <w:tcW w:w="12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2D1C31A5" w14:textId="77777777" w:rsidR="00435B13" w:rsidRPr="00E83145" w:rsidRDefault="00435B13">
            <w:pPr>
              <w:jc w:val="center"/>
              <w:rPr>
                <w:b/>
                <w:bCs/>
                <w:color w:val="FFFFFF" w:themeColor="background1"/>
                <w:sz w:val="18"/>
                <w:szCs w:val="18"/>
                <w:lang w:eastAsia="en-US"/>
              </w:rPr>
            </w:pPr>
            <w:r w:rsidRPr="00E83145">
              <w:rPr>
                <w:b/>
                <w:bCs/>
                <w:color w:val="FFFFFF" w:themeColor="background1"/>
                <w:sz w:val="18"/>
                <w:szCs w:val="18"/>
                <w:lang w:eastAsia="en-US"/>
              </w:rPr>
              <w:t>Cibles quantitatives</w:t>
            </w:r>
          </w:p>
        </w:tc>
      </w:tr>
      <w:tr w:rsidR="00435B13" w:rsidRPr="00E83145" w14:paraId="53EB8480" w14:textId="77777777" w:rsidTr="00805CDE">
        <w:tc>
          <w:tcPr>
            <w:tcW w:w="979" w:type="pct"/>
            <w:tcBorders>
              <w:top w:val="single" w:sz="4" w:space="0" w:color="FFFFFF" w:themeColor="background1"/>
              <w:bottom w:val="single" w:sz="4" w:space="0" w:color="auto"/>
            </w:tcBorders>
          </w:tcPr>
          <w:p w14:paraId="547876AD" w14:textId="230CA1AA" w:rsidR="00435B13" w:rsidRPr="00E83145" w:rsidRDefault="00435B13">
            <w:pPr>
              <w:jc w:val="lowKashida"/>
              <w:rPr>
                <w:b/>
                <w:bCs/>
                <w:sz w:val="18"/>
                <w:szCs w:val="18"/>
                <w:lang w:eastAsia="en-US"/>
              </w:rPr>
            </w:pPr>
            <w:r w:rsidRPr="00E83145">
              <w:rPr>
                <w:b/>
                <w:bCs/>
                <w:sz w:val="18"/>
                <w:szCs w:val="18"/>
                <w:lang w:eastAsia="en-US"/>
              </w:rPr>
              <w:t xml:space="preserve">Politique </w:t>
            </w:r>
            <w:r w:rsidR="005A1FB6" w:rsidRPr="00E83145">
              <w:rPr>
                <w:b/>
                <w:bCs/>
                <w:sz w:val="18"/>
                <w:szCs w:val="18"/>
                <w:lang w:eastAsia="en-US"/>
              </w:rPr>
              <w:t xml:space="preserve">Énergétique </w:t>
            </w:r>
            <w:r w:rsidRPr="00E83145">
              <w:rPr>
                <w:b/>
                <w:bCs/>
                <w:sz w:val="18"/>
                <w:szCs w:val="18"/>
                <w:lang w:eastAsia="en-US"/>
              </w:rPr>
              <w:t xml:space="preserve">Nationale </w:t>
            </w:r>
            <w:r w:rsidR="005A1FB6" w:rsidRPr="00E83145">
              <w:rPr>
                <w:b/>
                <w:bCs/>
                <w:sz w:val="18"/>
                <w:szCs w:val="18"/>
                <w:lang w:eastAsia="en-US"/>
              </w:rPr>
              <w:t>(P</w:t>
            </w:r>
            <w:r w:rsidR="00E25CF0" w:rsidRPr="00E83145">
              <w:rPr>
                <w:b/>
                <w:bCs/>
                <w:sz w:val="18"/>
                <w:szCs w:val="18"/>
                <w:lang w:eastAsia="en-US"/>
              </w:rPr>
              <w:t>EN</w:t>
            </w:r>
            <w:r w:rsidR="005A1FB6" w:rsidRPr="00E83145">
              <w:rPr>
                <w:b/>
                <w:bCs/>
                <w:sz w:val="18"/>
                <w:szCs w:val="18"/>
                <w:lang w:eastAsia="en-US"/>
              </w:rPr>
              <w:t>)</w:t>
            </w:r>
          </w:p>
          <w:p w14:paraId="694FE3F3" w14:textId="27119AF1" w:rsidR="00435B13" w:rsidRPr="00E83145" w:rsidRDefault="002D21E9" w:rsidP="00115408">
            <w:pPr>
              <w:jc w:val="both"/>
              <w:rPr>
                <w:i/>
                <w:iCs/>
                <w:color w:val="1F3864" w:themeColor="accent5" w:themeShade="80"/>
                <w:sz w:val="18"/>
                <w:szCs w:val="18"/>
                <w:lang w:eastAsia="en-US"/>
              </w:rPr>
            </w:pPr>
            <w:r w:rsidRPr="00E83145">
              <w:rPr>
                <w:i/>
                <w:iCs/>
                <w:color w:val="1F3864" w:themeColor="accent5" w:themeShade="80"/>
                <w:sz w:val="18"/>
                <w:szCs w:val="18"/>
                <w:lang w:eastAsia="en-US"/>
              </w:rPr>
              <w:t>Ministère des Mines de L’</w:t>
            </w:r>
            <w:r w:rsidR="00F443A0" w:rsidRPr="00E83145">
              <w:rPr>
                <w:i/>
                <w:iCs/>
                <w:color w:val="1F3864" w:themeColor="accent5" w:themeShade="80"/>
                <w:sz w:val="18"/>
                <w:szCs w:val="18"/>
                <w:lang w:eastAsia="en-US"/>
              </w:rPr>
              <w:t>Énergie</w:t>
            </w:r>
            <w:r w:rsidRPr="00E83145">
              <w:rPr>
                <w:i/>
                <w:iCs/>
                <w:color w:val="1F3864" w:themeColor="accent5" w:themeShade="80"/>
                <w:sz w:val="18"/>
                <w:szCs w:val="18"/>
                <w:lang w:eastAsia="en-US"/>
              </w:rPr>
              <w:t xml:space="preserve"> et de l’Eau</w:t>
            </w:r>
            <w:r w:rsidR="00F443A0" w:rsidRPr="00E83145">
              <w:rPr>
                <w:i/>
                <w:iCs/>
                <w:color w:val="1F3864" w:themeColor="accent5" w:themeShade="80"/>
                <w:sz w:val="18"/>
                <w:szCs w:val="18"/>
                <w:lang w:eastAsia="en-US"/>
              </w:rPr>
              <w:t xml:space="preserve">, </w:t>
            </w:r>
            <w:r w:rsidR="00435B13" w:rsidRPr="00E83145">
              <w:rPr>
                <w:i/>
                <w:iCs/>
                <w:color w:val="1F3864" w:themeColor="accent5" w:themeShade="80"/>
                <w:sz w:val="18"/>
                <w:szCs w:val="18"/>
                <w:lang w:eastAsia="en-US"/>
              </w:rPr>
              <w:t>2013</w:t>
            </w:r>
          </w:p>
        </w:tc>
        <w:tc>
          <w:tcPr>
            <w:tcW w:w="1199" w:type="pct"/>
            <w:tcBorders>
              <w:top w:val="single" w:sz="4" w:space="0" w:color="FFFFFF" w:themeColor="background1"/>
              <w:bottom w:val="single" w:sz="4" w:space="0" w:color="auto"/>
            </w:tcBorders>
          </w:tcPr>
          <w:p w14:paraId="6E83E738" w14:textId="77777777" w:rsidR="00E809B5" w:rsidRPr="00E83145" w:rsidRDefault="00E25CF0">
            <w:pPr>
              <w:spacing w:after="120"/>
              <w:jc w:val="lowKashida"/>
              <w:rPr>
                <w:sz w:val="18"/>
                <w:szCs w:val="18"/>
                <w:lang w:eastAsia="en-US"/>
              </w:rPr>
            </w:pPr>
            <w:r w:rsidRPr="00E83145">
              <w:rPr>
                <w:sz w:val="18"/>
                <w:szCs w:val="18"/>
                <w:lang w:eastAsia="en-US"/>
              </w:rPr>
              <w:t xml:space="preserve">La PEN vise à contribuer au développement durable du pays à travers la fourniture de services énergétiques accessibles au plus grand nombre, à moindre coût, et favorisant le développement des activités socioéconomiques. Elle s’articule autour de quatre objectifs spécifiques : </w:t>
            </w:r>
          </w:p>
          <w:p w14:paraId="280FDADE" w14:textId="77777777" w:rsidR="00526194" w:rsidRPr="00E83145" w:rsidRDefault="004E043F" w:rsidP="008A3661">
            <w:pPr>
              <w:pStyle w:val="Paragraphedeliste"/>
              <w:numPr>
                <w:ilvl w:val="0"/>
                <w:numId w:val="37"/>
              </w:numPr>
              <w:spacing w:after="120"/>
              <w:ind w:left="454" w:hanging="227"/>
              <w:jc w:val="lowKashida"/>
              <w:rPr>
                <w:sz w:val="18"/>
                <w:szCs w:val="18"/>
                <w:lang w:eastAsia="en-US"/>
              </w:rPr>
            </w:pPr>
            <w:r w:rsidRPr="00E83145">
              <w:rPr>
                <w:sz w:val="18"/>
                <w:szCs w:val="18"/>
                <w:lang w:eastAsia="en-US"/>
              </w:rPr>
              <w:t xml:space="preserve">Satisfaire les besoins énergétiques du pays en qualité, en quantité et au moindre coût </w:t>
            </w:r>
            <w:r w:rsidR="00E25CF0" w:rsidRPr="00E83145">
              <w:rPr>
                <w:sz w:val="18"/>
                <w:szCs w:val="18"/>
                <w:lang w:eastAsia="en-US"/>
              </w:rPr>
              <w:t xml:space="preserve">; </w:t>
            </w:r>
          </w:p>
          <w:p w14:paraId="6E3CCD4D" w14:textId="77777777" w:rsidR="00526194" w:rsidRPr="00E83145" w:rsidRDefault="00526194" w:rsidP="008A3661">
            <w:pPr>
              <w:pStyle w:val="Paragraphedeliste"/>
              <w:numPr>
                <w:ilvl w:val="0"/>
                <w:numId w:val="37"/>
              </w:numPr>
              <w:spacing w:after="120"/>
              <w:ind w:left="454" w:hanging="227"/>
              <w:jc w:val="lowKashida"/>
              <w:rPr>
                <w:sz w:val="18"/>
                <w:szCs w:val="18"/>
                <w:lang w:eastAsia="en-US"/>
              </w:rPr>
            </w:pPr>
            <w:r w:rsidRPr="00E83145">
              <w:rPr>
                <w:sz w:val="18"/>
                <w:szCs w:val="18"/>
                <w:lang w:eastAsia="en-US"/>
              </w:rPr>
              <w:t xml:space="preserve">Assurer la protection des personnes, des biens et de l’environnement contre les </w:t>
            </w:r>
            <w:r w:rsidRPr="00E83145">
              <w:rPr>
                <w:sz w:val="18"/>
                <w:szCs w:val="18"/>
                <w:lang w:eastAsia="en-US"/>
              </w:rPr>
              <w:lastRenderedPageBreak/>
              <w:t xml:space="preserve">risques inhérents aux services énergétiques </w:t>
            </w:r>
            <w:r w:rsidR="00E25CF0" w:rsidRPr="00E83145">
              <w:rPr>
                <w:sz w:val="18"/>
                <w:szCs w:val="18"/>
                <w:lang w:eastAsia="en-US"/>
              </w:rPr>
              <w:t>;</w:t>
            </w:r>
          </w:p>
          <w:p w14:paraId="15A1350A" w14:textId="77777777" w:rsidR="000F0978" w:rsidRPr="00E83145" w:rsidRDefault="00526194" w:rsidP="008A3661">
            <w:pPr>
              <w:pStyle w:val="Paragraphedeliste"/>
              <w:numPr>
                <w:ilvl w:val="0"/>
                <w:numId w:val="37"/>
              </w:numPr>
              <w:spacing w:after="120"/>
              <w:ind w:left="454" w:hanging="227"/>
              <w:jc w:val="lowKashida"/>
              <w:rPr>
                <w:sz w:val="18"/>
                <w:szCs w:val="18"/>
                <w:lang w:eastAsia="en-US"/>
              </w:rPr>
            </w:pPr>
            <w:r w:rsidRPr="00E83145">
              <w:rPr>
                <w:sz w:val="18"/>
                <w:szCs w:val="18"/>
                <w:lang w:eastAsia="en-US"/>
              </w:rPr>
              <w:t xml:space="preserve">Renforcer les capacités d’orientation, de gestion, de contrôle et de pilotage stratégique du secteur de l’énergie </w:t>
            </w:r>
            <w:r w:rsidR="00E25CF0" w:rsidRPr="00E83145">
              <w:rPr>
                <w:sz w:val="18"/>
                <w:szCs w:val="18"/>
                <w:lang w:eastAsia="en-US"/>
              </w:rPr>
              <w:t>;</w:t>
            </w:r>
          </w:p>
          <w:p w14:paraId="68C55C74" w14:textId="0CC250C4" w:rsidR="00E809B5" w:rsidRPr="00E83145" w:rsidRDefault="000F0978" w:rsidP="008A3661">
            <w:pPr>
              <w:pStyle w:val="Paragraphedeliste"/>
              <w:numPr>
                <w:ilvl w:val="0"/>
                <w:numId w:val="37"/>
              </w:numPr>
              <w:spacing w:after="120"/>
              <w:ind w:left="454" w:hanging="227"/>
              <w:jc w:val="lowKashida"/>
              <w:rPr>
                <w:sz w:val="18"/>
                <w:szCs w:val="18"/>
                <w:lang w:eastAsia="en-US"/>
              </w:rPr>
            </w:pPr>
            <w:r w:rsidRPr="00E83145">
              <w:rPr>
                <w:sz w:val="18"/>
                <w:szCs w:val="18"/>
                <w:lang w:eastAsia="en-US"/>
              </w:rPr>
              <w:t>Renforcer pour le pays, les avantages de la coopération internationale dans le domaine de l’énergie</w:t>
            </w:r>
            <w:r w:rsidR="00E25CF0" w:rsidRPr="00E83145">
              <w:rPr>
                <w:sz w:val="18"/>
                <w:szCs w:val="18"/>
                <w:lang w:eastAsia="en-US"/>
              </w:rPr>
              <w:t xml:space="preserve">. </w:t>
            </w:r>
          </w:p>
          <w:p w14:paraId="38E8C801" w14:textId="66B92B77" w:rsidR="00435B13" w:rsidRPr="00E83145" w:rsidRDefault="00E25CF0" w:rsidP="00E809B5">
            <w:pPr>
              <w:spacing w:after="120"/>
              <w:jc w:val="lowKashida"/>
              <w:rPr>
                <w:sz w:val="18"/>
                <w:szCs w:val="18"/>
                <w:lang w:eastAsia="en-US"/>
              </w:rPr>
            </w:pPr>
            <w:r w:rsidRPr="00E83145">
              <w:rPr>
                <w:sz w:val="18"/>
                <w:szCs w:val="18"/>
                <w:lang w:eastAsia="en-US"/>
              </w:rPr>
              <w:t>Sa mise en œuvre repose sur plusieurs principes directeurs, notamment la décentralisation, la libéralisation, l’approche programme, l’approche participative, la compétitivité, la cohérence transversale et le partenariat public-privé.</w:t>
            </w:r>
          </w:p>
        </w:tc>
        <w:tc>
          <w:tcPr>
            <w:tcW w:w="1572" w:type="pct"/>
            <w:tcBorders>
              <w:top w:val="single" w:sz="4" w:space="0" w:color="FFFFFF" w:themeColor="background1"/>
              <w:bottom w:val="single" w:sz="4" w:space="0" w:color="auto"/>
            </w:tcBorders>
          </w:tcPr>
          <w:p w14:paraId="699E3D6E" w14:textId="5F3AEF26" w:rsidR="006B1222" w:rsidRPr="00E83145" w:rsidRDefault="006B1222" w:rsidP="008A3661">
            <w:pPr>
              <w:pStyle w:val="Paragraphedeliste"/>
              <w:numPr>
                <w:ilvl w:val="0"/>
                <w:numId w:val="22"/>
              </w:numPr>
              <w:spacing w:after="120"/>
              <w:ind w:left="170" w:hanging="170"/>
              <w:jc w:val="lowKashida"/>
              <w:rPr>
                <w:sz w:val="18"/>
                <w:szCs w:val="18"/>
              </w:rPr>
            </w:pPr>
            <w:r w:rsidRPr="00E83145">
              <w:rPr>
                <w:sz w:val="18"/>
                <w:szCs w:val="18"/>
              </w:rPr>
              <w:lastRenderedPageBreak/>
              <w:t>Renforcement de l’accès durable des populations aux services énergétiques et satisfaction des besoins énergétiques nationaux à moindre coût ;</w:t>
            </w:r>
          </w:p>
          <w:p w14:paraId="76A78278" w14:textId="1FCA67C7" w:rsidR="006B1222" w:rsidRPr="00E83145" w:rsidRDefault="006B1222" w:rsidP="008A3661">
            <w:pPr>
              <w:pStyle w:val="Paragraphedeliste"/>
              <w:numPr>
                <w:ilvl w:val="0"/>
                <w:numId w:val="22"/>
              </w:numPr>
              <w:spacing w:after="120"/>
              <w:ind w:left="170" w:hanging="170"/>
              <w:jc w:val="lowKashida"/>
              <w:rPr>
                <w:sz w:val="18"/>
                <w:szCs w:val="18"/>
              </w:rPr>
            </w:pPr>
            <w:r w:rsidRPr="00E83145">
              <w:rPr>
                <w:sz w:val="18"/>
                <w:szCs w:val="18"/>
              </w:rPr>
              <w:t>Développement de l’électrification rurale et promotion des énergies renouvelables ;</w:t>
            </w:r>
          </w:p>
          <w:p w14:paraId="134529D0" w14:textId="7E87635E" w:rsidR="006B1222" w:rsidRPr="00E83145" w:rsidRDefault="006B1222" w:rsidP="008A3661">
            <w:pPr>
              <w:pStyle w:val="Paragraphedeliste"/>
              <w:numPr>
                <w:ilvl w:val="0"/>
                <w:numId w:val="22"/>
              </w:numPr>
              <w:spacing w:after="120"/>
              <w:ind w:left="170" w:hanging="170"/>
              <w:jc w:val="lowKashida"/>
              <w:rPr>
                <w:sz w:val="18"/>
                <w:szCs w:val="18"/>
              </w:rPr>
            </w:pPr>
            <w:r w:rsidRPr="00E83145">
              <w:rPr>
                <w:sz w:val="18"/>
                <w:szCs w:val="18"/>
              </w:rPr>
              <w:t>Réduction de la dépendance au bois-énergie à travers la promotion des combustibles alternatifs et la valorisation des ressources énergétiques locales ;</w:t>
            </w:r>
          </w:p>
          <w:p w14:paraId="5F61B98C" w14:textId="0EB4751E" w:rsidR="006B1222" w:rsidRPr="00E83145" w:rsidRDefault="006B1222" w:rsidP="008A3661">
            <w:pPr>
              <w:pStyle w:val="Paragraphedeliste"/>
              <w:numPr>
                <w:ilvl w:val="0"/>
                <w:numId w:val="22"/>
              </w:numPr>
              <w:spacing w:after="120"/>
              <w:ind w:left="170" w:hanging="170"/>
              <w:jc w:val="lowKashida"/>
              <w:rPr>
                <w:sz w:val="18"/>
                <w:szCs w:val="18"/>
              </w:rPr>
            </w:pPr>
            <w:r w:rsidRPr="00E83145">
              <w:rPr>
                <w:sz w:val="18"/>
                <w:szCs w:val="18"/>
              </w:rPr>
              <w:t>Gestion durable des ressources forestières destinées à l’approvisionnement en bois-énergie ;</w:t>
            </w:r>
          </w:p>
          <w:p w14:paraId="43181769" w14:textId="4E9E711F" w:rsidR="006B1222" w:rsidRPr="00E83145" w:rsidRDefault="006B1222" w:rsidP="008A3661">
            <w:pPr>
              <w:pStyle w:val="Paragraphedeliste"/>
              <w:numPr>
                <w:ilvl w:val="0"/>
                <w:numId w:val="22"/>
              </w:numPr>
              <w:spacing w:after="120"/>
              <w:ind w:left="170" w:hanging="170"/>
              <w:jc w:val="lowKashida"/>
              <w:rPr>
                <w:sz w:val="18"/>
                <w:szCs w:val="18"/>
              </w:rPr>
            </w:pPr>
            <w:r w:rsidRPr="00E83145">
              <w:rPr>
                <w:sz w:val="18"/>
                <w:szCs w:val="18"/>
              </w:rPr>
              <w:t>Protection des personnes, des biens et de l’environnement face aux risques liés aux services énergétiques ;</w:t>
            </w:r>
          </w:p>
          <w:p w14:paraId="2253B762" w14:textId="3BBBCF84" w:rsidR="00435B13" w:rsidRPr="00E83145" w:rsidRDefault="006B1222" w:rsidP="008A3661">
            <w:pPr>
              <w:pStyle w:val="Paragraphedeliste"/>
              <w:numPr>
                <w:ilvl w:val="0"/>
                <w:numId w:val="22"/>
              </w:numPr>
              <w:spacing w:after="120"/>
              <w:ind w:left="170" w:hanging="170"/>
              <w:jc w:val="lowKashida"/>
              <w:rPr>
                <w:sz w:val="18"/>
                <w:szCs w:val="18"/>
                <w:lang w:eastAsia="en-US"/>
              </w:rPr>
            </w:pPr>
            <w:r w:rsidRPr="00E83145">
              <w:rPr>
                <w:sz w:val="18"/>
                <w:szCs w:val="18"/>
              </w:rPr>
              <w:lastRenderedPageBreak/>
              <w:t>Renforcement des capacités de gouvernance, de pilotage stratégique et de coopération dans le secteur énergétique.</w:t>
            </w:r>
          </w:p>
        </w:tc>
        <w:tc>
          <w:tcPr>
            <w:tcW w:w="1250" w:type="pct"/>
            <w:tcBorders>
              <w:top w:val="single" w:sz="4" w:space="0" w:color="FFFFFF" w:themeColor="background1"/>
              <w:bottom w:val="single" w:sz="4" w:space="0" w:color="auto"/>
            </w:tcBorders>
          </w:tcPr>
          <w:p w14:paraId="2D8DCC29" w14:textId="2CFA8C60" w:rsidR="00760833" w:rsidRPr="00E83145" w:rsidRDefault="00516519" w:rsidP="008A3661">
            <w:pPr>
              <w:pStyle w:val="Paragraphedeliste"/>
              <w:numPr>
                <w:ilvl w:val="0"/>
                <w:numId w:val="22"/>
              </w:numPr>
              <w:spacing w:after="120"/>
              <w:ind w:left="170" w:hanging="170"/>
              <w:jc w:val="lowKashida"/>
              <w:rPr>
                <w:sz w:val="18"/>
                <w:szCs w:val="18"/>
              </w:rPr>
            </w:pPr>
            <w:r w:rsidRPr="00E83145">
              <w:rPr>
                <w:b/>
                <w:bCs/>
                <w:sz w:val="18"/>
                <w:szCs w:val="18"/>
              </w:rPr>
              <w:lastRenderedPageBreak/>
              <w:t>Gestion des ressources forestières :</w:t>
            </w:r>
            <w:r w:rsidRPr="00E83145">
              <w:rPr>
                <w:sz w:val="18"/>
                <w:szCs w:val="18"/>
              </w:rPr>
              <w:t xml:space="preserve"> </w:t>
            </w:r>
            <w:r w:rsidR="00760833" w:rsidRPr="00E83145">
              <w:rPr>
                <w:sz w:val="18"/>
                <w:szCs w:val="18"/>
              </w:rPr>
              <w:t>Mise sous gestion communautaire des forêts de 321 100 ha à 1,5 million d’ha en 2010 et 3 millions d’ha en 2015 ;</w:t>
            </w:r>
          </w:p>
          <w:p w14:paraId="33DE0F6C" w14:textId="444AA7C2" w:rsidR="00760833" w:rsidRPr="00E83145" w:rsidRDefault="00516519" w:rsidP="008A3661">
            <w:pPr>
              <w:pStyle w:val="Paragraphedeliste"/>
              <w:numPr>
                <w:ilvl w:val="0"/>
                <w:numId w:val="22"/>
              </w:numPr>
              <w:spacing w:after="120"/>
              <w:ind w:left="170" w:hanging="170"/>
              <w:jc w:val="lowKashida"/>
              <w:rPr>
                <w:sz w:val="18"/>
                <w:szCs w:val="18"/>
              </w:rPr>
            </w:pPr>
            <w:r w:rsidRPr="00E83145">
              <w:rPr>
                <w:b/>
                <w:bCs/>
                <w:sz w:val="18"/>
                <w:szCs w:val="18"/>
              </w:rPr>
              <w:t>Accès à l’énergie en milieu rural :</w:t>
            </w:r>
            <w:r w:rsidRPr="00E83145">
              <w:rPr>
                <w:sz w:val="18"/>
                <w:szCs w:val="18"/>
              </w:rPr>
              <w:t xml:space="preserve"> </w:t>
            </w:r>
            <w:r w:rsidR="00760833" w:rsidRPr="00E83145">
              <w:rPr>
                <w:sz w:val="18"/>
                <w:szCs w:val="18"/>
              </w:rPr>
              <w:t>Taux d’électrification rurale porté de 1 % en 2005 à 12 % en 2010 et 55 % en 2015</w:t>
            </w:r>
            <w:r w:rsidR="0007629C" w:rsidRPr="00E83145">
              <w:rPr>
                <w:sz w:val="18"/>
                <w:szCs w:val="18"/>
              </w:rPr>
              <w:t xml:space="preserve"> </w:t>
            </w:r>
            <w:r w:rsidR="00760833" w:rsidRPr="00E83145">
              <w:rPr>
                <w:sz w:val="18"/>
                <w:szCs w:val="18"/>
              </w:rPr>
              <w:t>;</w:t>
            </w:r>
          </w:p>
          <w:p w14:paraId="00AEFB4E" w14:textId="63C0F758" w:rsidR="00435B13" w:rsidRPr="00E83145" w:rsidRDefault="00760833" w:rsidP="008A3661">
            <w:pPr>
              <w:pStyle w:val="Paragraphedeliste"/>
              <w:numPr>
                <w:ilvl w:val="0"/>
                <w:numId w:val="22"/>
              </w:numPr>
              <w:spacing w:after="120"/>
              <w:ind w:left="170" w:hanging="170"/>
              <w:jc w:val="lowKashida"/>
              <w:rPr>
                <w:sz w:val="18"/>
                <w:szCs w:val="18"/>
              </w:rPr>
            </w:pPr>
            <w:r w:rsidRPr="00E83145">
              <w:rPr>
                <w:b/>
                <w:bCs/>
                <w:sz w:val="18"/>
                <w:szCs w:val="18"/>
              </w:rPr>
              <w:t>Couverture électrique nationale</w:t>
            </w:r>
            <w:r w:rsidR="0007629C" w:rsidRPr="00E83145">
              <w:rPr>
                <w:b/>
                <w:bCs/>
                <w:sz w:val="18"/>
                <w:szCs w:val="18"/>
              </w:rPr>
              <w:t> </w:t>
            </w:r>
            <w:r w:rsidRPr="00E83145">
              <w:rPr>
                <w:b/>
                <w:bCs/>
                <w:sz w:val="18"/>
                <w:szCs w:val="18"/>
              </w:rPr>
              <w:t>:</w:t>
            </w:r>
            <w:r w:rsidRPr="00E83145">
              <w:rPr>
                <w:sz w:val="18"/>
                <w:szCs w:val="18"/>
              </w:rPr>
              <w:t xml:space="preserve"> augmentation de 14 % en 2004 à 45 % en 2010 puis 55 % en 2015.</w:t>
            </w:r>
          </w:p>
        </w:tc>
      </w:tr>
      <w:tr w:rsidR="00DB6E53" w:rsidRPr="00E83145" w14:paraId="5DBD32E0" w14:textId="77777777" w:rsidTr="00805CDE">
        <w:tc>
          <w:tcPr>
            <w:tcW w:w="979" w:type="pct"/>
            <w:tcBorders>
              <w:top w:val="single" w:sz="4" w:space="0" w:color="auto"/>
            </w:tcBorders>
          </w:tcPr>
          <w:p w14:paraId="2585E3E6" w14:textId="7C3716F8" w:rsidR="00DB6E53" w:rsidRPr="00E83145" w:rsidRDefault="00DB6E53" w:rsidP="0079457A">
            <w:pPr>
              <w:jc w:val="both"/>
              <w:rPr>
                <w:b/>
                <w:bCs/>
                <w:sz w:val="18"/>
                <w:szCs w:val="18"/>
                <w:lang w:eastAsia="en-US"/>
              </w:rPr>
            </w:pPr>
            <w:r w:rsidRPr="00E83145">
              <w:rPr>
                <w:b/>
                <w:bCs/>
                <w:sz w:val="18"/>
                <w:szCs w:val="18"/>
                <w:lang w:eastAsia="en-US"/>
              </w:rPr>
              <w:t>Plan d'Action National d'</w:t>
            </w:r>
            <w:r w:rsidR="006B3575" w:rsidRPr="00E83145">
              <w:rPr>
                <w:b/>
                <w:bCs/>
                <w:sz w:val="18"/>
                <w:szCs w:val="18"/>
                <w:lang w:eastAsia="en-US"/>
              </w:rPr>
              <w:t>Énergies</w:t>
            </w:r>
            <w:r w:rsidR="0079457A" w:rsidRPr="00E83145">
              <w:rPr>
                <w:b/>
                <w:bCs/>
                <w:sz w:val="18"/>
                <w:szCs w:val="18"/>
                <w:lang w:eastAsia="en-US"/>
              </w:rPr>
              <w:t xml:space="preserve"> </w:t>
            </w:r>
            <w:r w:rsidRPr="00E83145">
              <w:rPr>
                <w:b/>
                <w:bCs/>
                <w:sz w:val="18"/>
                <w:szCs w:val="18"/>
                <w:lang w:eastAsia="en-US"/>
              </w:rPr>
              <w:t>Renouvelables (PANER)</w:t>
            </w:r>
            <w:r w:rsidR="0079457A" w:rsidRPr="00E83145">
              <w:rPr>
                <w:b/>
                <w:bCs/>
                <w:sz w:val="18"/>
                <w:szCs w:val="18"/>
                <w:lang w:eastAsia="en-US"/>
              </w:rPr>
              <w:t xml:space="preserve"> </w:t>
            </w:r>
            <w:r w:rsidRPr="00E83145">
              <w:rPr>
                <w:b/>
                <w:bCs/>
                <w:sz w:val="18"/>
                <w:szCs w:val="18"/>
                <w:lang w:eastAsia="en-US"/>
              </w:rPr>
              <w:t>du Mali</w:t>
            </w:r>
            <w:r w:rsidR="0079457A" w:rsidRPr="00E83145">
              <w:rPr>
                <w:b/>
                <w:bCs/>
                <w:sz w:val="18"/>
                <w:szCs w:val="18"/>
                <w:lang w:eastAsia="en-US"/>
              </w:rPr>
              <w:t xml:space="preserve"> </w:t>
            </w:r>
          </w:p>
          <w:p w14:paraId="4DA1A237" w14:textId="5A237CDF" w:rsidR="0079457A" w:rsidRPr="00E83145" w:rsidRDefault="00115408" w:rsidP="0079457A">
            <w:pPr>
              <w:jc w:val="both"/>
              <w:rPr>
                <w:b/>
                <w:bCs/>
                <w:sz w:val="18"/>
                <w:szCs w:val="18"/>
                <w:lang w:eastAsia="en-US"/>
              </w:rPr>
            </w:pPr>
            <w:r w:rsidRPr="00E83145">
              <w:rPr>
                <w:i/>
                <w:iCs/>
                <w:color w:val="1F3864" w:themeColor="accent5" w:themeShade="80"/>
                <w:sz w:val="18"/>
                <w:szCs w:val="18"/>
                <w:lang w:eastAsia="en-US"/>
              </w:rPr>
              <w:t xml:space="preserve">Centre pour les </w:t>
            </w:r>
            <w:r w:rsidR="00CF5807" w:rsidRPr="00E83145">
              <w:rPr>
                <w:i/>
                <w:iCs/>
                <w:color w:val="1F3864" w:themeColor="accent5" w:themeShade="80"/>
                <w:sz w:val="18"/>
                <w:szCs w:val="18"/>
                <w:lang w:eastAsia="en-US"/>
              </w:rPr>
              <w:t>É</w:t>
            </w:r>
            <w:r w:rsidRPr="00E83145">
              <w:rPr>
                <w:i/>
                <w:iCs/>
                <w:color w:val="1F3864" w:themeColor="accent5" w:themeShade="80"/>
                <w:sz w:val="18"/>
                <w:szCs w:val="18"/>
                <w:lang w:eastAsia="en-US"/>
              </w:rPr>
              <w:t>nergies Renouvelables et l’Efficacité Énergétique de la CEDEAO, 2015</w:t>
            </w:r>
          </w:p>
        </w:tc>
        <w:tc>
          <w:tcPr>
            <w:tcW w:w="1199" w:type="pct"/>
            <w:tcBorders>
              <w:top w:val="single" w:sz="4" w:space="0" w:color="auto"/>
            </w:tcBorders>
          </w:tcPr>
          <w:p w14:paraId="4CD8F125" w14:textId="6AC153D2" w:rsidR="00DB6E53" w:rsidRPr="00E83145" w:rsidRDefault="00CF5807" w:rsidP="00CF5807">
            <w:pPr>
              <w:jc w:val="lowKashida"/>
              <w:rPr>
                <w:sz w:val="18"/>
                <w:szCs w:val="18"/>
                <w:lang w:eastAsia="en-US"/>
              </w:rPr>
            </w:pPr>
            <w:r w:rsidRPr="00E83145">
              <w:rPr>
                <w:sz w:val="18"/>
                <w:szCs w:val="18"/>
                <w:lang w:eastAsia="en-US"/>
              </w:rPr>
              <w:t>Le PANER s’inscrit dans le cadre de la Politique des Énergies Renouvelables de la CEDEAO adoptée en 2013, et vise à renforcer le développement des énergies renouvelables au niveau national. Élaboré conformément aux orientations de la Politique Énergétique Nationale du Mali, il cherche à accroître durablement l’accès des populations aux services énergétiques modernes, notamment en milieu rural, à travers la valorisation des ressources énergétiques renouvelables et la diversification de l’offre énergétique.</w:t>
            </w:r>
          </w:p>
        </w:tc>
        <w:tc>
          <w:tcPr>
            <w:tcW w:w="1572" w:type="pct"/>
            <w:tcBorders>
              <w:top w:val="single" w:sz="4" w:space="0" w:color="auto"/>
            </w:tcBorders>
          </w:tcPr>
          <w:p w14:paraId="0B2ADF2C" w14:textId="6DB02FE5" w:rsidR="006721F1" w:rsidRPr="00E83145" w:rsidRDefault="006721F1" w:rsidP="008A3661">
            <w:pPr>
              <w:pStyle w:val="Paragraphedeliste"/>
              <w:numPr>
                <w:ilvl w:val="0"/>
                <w:numId w:val="22"/>
              </w:numPr>
              <w:spacing w:after="120"/>
              <w:ind w:left="170" w:hanging="170"/>
              <w:jc w:val="lowKashida"/>
              <w:rPr>
                <w:sz w:val="18"/>
                <w:szCs w:val="18"/>
              </w:rPr>
            </w:pPr>
            <w:r w:rsidRPr="00E83145">
              <w:rPr>
                <w:sz w:val="18"/>
                <w:szCs w:val="18"/>
              </w:rPr>
              <w:t>Développement de l’accès à l’électricité en milieu rural à travers les systèmes hors réseau et les solutions décentralisées d’énergies renouvelables ;</w:t>
            </w:r>
          </w:p>
          <w:p w14:paraId="06C0562E" w14:textId="4409CC0F" w:rsidR="006721F1" w:rsidRPr="00E83145" w:rsidRDefault="006721F1" w:rsidP="008A3661">
            <w:pPr>
              <w:pStyle w:val="Paragraphedeliste"/>
              <w:numPr>
                <w:ilvl w:val="0"/>
                <w:numId w:val="22"/>
              </w:numPr>
              <w:spacing w:after="120"/>
              <w:ind w:left="170" w:hanging="170"/>
              <w:jc w:val="lowKashida"/>
              <w:rPr>
                <w:sz w:val="18"/>
                <w:szCs w:val="18"/>
              </w:rPr>
            </w:pPr>
            <w:r w:rsidRPr="00E83145">
              <w:rPr>
                <w:sz w:val="18"/>
                <w:szCs w:val="18"/>
              </w:rPr>
              <w:t>Promotion des foyers améliorés et des combustibles modernes de cuisson afin de réduire la pression sur les ressources forestières ;</w:t>
            </w:r>
          </w:p>
          <w:p w14:paraId="1BB6E939" w14:textId="099CBDCA" w:rsidR="006721F1" w:rsidRPr="00E83145" w:rsidRDefault="006721F1" w:rsidP="008A3661">
            <w:pPr>
              <w:pStyle w:val="Paragraphedeliste"/>
              <w:numPr>
                <w:ilvl w:val="0"/>
                <w:numId w:val="22"/>
              </w:numPr>
              <w:spacing w:after="120"/>
              <w:ind w:left="170" w:hanging="170"/>
              <w:jc w:val="lowKashida"/>
              <w:rPr>
                <w:sz w:val="18"/>
                <w:szCs w:val="18"/>
              </w:rPr>
            </w:pPr>
            <w:r w:rsidRPr="00E83145">
              <w:rPr>
                <w:sz w:val="18"/>
                <w:szCs w:val="18"/>
              </w:rPr>
              <w:t>Valorisation de la biomasse et du biogaz dans les zones agricoles et rurales ;</w:t>
            </w:r>
          </w:p>
          <w:p w14:paraId="531DE042" w14:textId="226C9880" w:rsidR="006721F1" w:rsidRPr="00E83145" w:rsidRDefault="006721F1" w:rsidP="008A3661">
            <w:pPr>
              <w:pStyle w:val="Paragraphedeliste"/>
              <w:numPr>
                <w:ilvl w:val="0"/>
                <w:numId w:val="22"/>
              </w:numPr>
              <w:spacing w:after="120"/>
              <w:ind w:left="170" w:hanging="170"/>
              <w:jc w:val="lowKashida"/>
              <w:rPr>
                <w:sz w:val="18"/>
                <w:szCs w:val="18"/>
              </w:rPr>
            </w:pPr>
            <w:r w:rsidRPr="00E83145">
              <w:rPr>
                <w:sz w:val="18"/>
                <w:szCs w:val="18"/>
              </w:rPr>
              <w:t>Développement des applications solaires photovoltaïques et thermiques pour les usages domestiques et communautaires ;</w:t>
            </w:r>
          </w:p>
          <w:p w14:paraId="39A7F820" w14:textId="4E436AFF" w:rsidR="00DB6E53" w:rsidRPr="00E83145" w:rsidRDefault="006721F1" w:rsidP="008A3661">
            <w:pPr>
              <w:pStyle w:val="Paragraphedeliste"/>
              <w:numPr>
                <w:ilvl w:val="0"/>
                <w:numId w:val="22"/>
              </w:numPr>
              <w:spacing w:after="120"/>
              <w:ind w:left="170" w:hanging="170"/>
              <w:jc w:val="lowKashida"/>
              <w:rPr>
                <w:sz w:val="18"/>
                <w:szCs w:val="18"/>
              </w:rPr>
            </w:pPr>
            <w:r w:rsidRPr="00E83145">
              <w:rPr>
                <w:sz w:val="18"/>
                <w:szCs w:val="18"/>
              </w:rPr>
              <w:t>Développement de systèmes énergétiques adaptés aux localités non électrifiées et aux besoins des populations rurales.</w:t>
            </w:r>
          </w:p>
        </w:tc>
        <w:tc>
          <w:tcPr>
            <w:tcW w:w="1250" w:type="pct"/>
            <w:tcBorders>
              <w:top w:val="single" w:sz="4" w:space="0" w:color="auto"/>
            </w:tcBorders>
          </w:tcPr>
          <w:p w14:paraId="3100FD16" w14:textId="57E3E1BD" w:rsidR="00E15588" w:rsidRPr="00E83145" w:rsidRDefault="00E15588" w:rsidP="008A3661">
            <w:pPr>
              <w:pStyle w:val="Paragraphedeliste"/>
              <w:numPr>
                <w:ilvl w:val="0"/>
                <w:numId w:val="22"/>
              </w:numPr>
              <w:spacing w:after="120"/>
              <w:ind w:left="170" w:hanging="170"/>
              <w:jc w:val="lowKashida"/>
              <w:rPr>
                <w:sz w:val="18"/>
                <w:szCs w:val="18"/>
              </w:rPr>
            </w:pPr>
            <w:r w:rsidRPr="00E83145">
              <w:rPr>
                <w:sz w:val="18"/>
                <w:szCs w:val="18"/>
              </w:rPr>
              <w:t>Part de la population rurale desservie par des systèmes d’énergies renouvelables hors réseau portée de 1,7 % en 2010 à 36,9 % en 2020 puis 66,64 % en 2030 ;</w:t>
            </w:r>
          </w:p>
          <w:p w14:paraId="0C7EFF64" w14:textId="1F8A8266" w:rsidR="00E15588" w:rsidRPr="00E83145" w:rsidRDefault="00E15588" w:rsidP="008A3661">
            <w:pPr>
              <w:pStyle w:val="Paragraphedeliste"/>
              <w:numPr>
                <w:ilvl w:val="0"/>
                <w:numId w:val="22"/>
              </w:numPr>
              <w:spacing w:after="120"/>
              <w:ind w:left="170" w:hanging="170"/>
              <w:jc w:val="lowKashida"/>
              <w:rPr>
                <w:sz w:val="18"/>
                <w:szCs w:val="18"/>
              </w:rPr>
            </w:pPr>
            <w:r w:rsidRPr="00E83145">
              <w:rPr>
                <w:sz w:val="18"/>
                <w:szCs w:val="18"/>
              </w:rPr>
              <w:t>Population rurale desservie par des systèmes d’énergies renouvelables purs ou hybrides</w:t>
            </w:r>
            <w:r w:rsidR="00B02DA4" w:rsidRPr="00E83145">
              <w:rPr>
                <w:sz w:val="18"/>
                <w:szCs w:val="18"/>
              </w:rPr>
              <w:t xml:space="preserve">, </w:t>
            </w:r>
            <w:r w:rsidRPr="00E83145">
              <w:rPr>
                <w:sz w:val="18"/>
                <w:szCs w:val="18"/>
              </w:rPr>
              <w:t>portée de 182 442 habitants en 2010 à 6 083 109 habitants en 2020 puis 14 757 029 habitants en 2030 ;</w:t>
            </w:r>
          </w:p>
          <w:p w14:paraId="6680543A" w14:textId="361848FB" w:rsidR="00E15588" w:rsidRPr="00E83145" w:rsidRDefault="00E15588" w:rsidP="008A3661">
            <w:pPr>
              <w:pStyle w:val="Paragraphedeliste"/>
              <w:numPr>
                <w:ilvl w:val="0"/>
                <w:numId w:val="22"/>
              </w:numPr>
              <w:spacing w:after="120"/>
              <w:ind w:left="170" w:hanging="170"/>
              <w:jc w:val="lowKashida"/>
              <w:rPr>
                <w:sz w:val="18"/>
                <w:szCs w:val="18"/>
              </w:rPr>
            </w:pPr>
            <w:r w:rsidRPr="00E83145">
              <w:rPr>
                <w:sz w:val="18"/>
                <w:szCs w:val="18"/>
              </w:rPr>
              <w:t>Capacité installée des systèmes d’énergies renouvelables hors réseau portée de 10,29 MW en 2010 à 187,47 MW en 2020 puis 498,375 MW en 2030 ;</w:t>
            </w:r>
          </w:p>
          <w:p w14:paraId="0A644563" w14:textId="24EF1EDE" w:rsidR="00E15588" w:rsidRPr="00E83145" w:rsidRDefault="00E15588" w:rsidP="008A3661">
            <w:pPr>
              <w:pStyle w:val="Paragraphedeliste"/>
              <w:numPr>
                <w:ilvl w:val="0"/>
                <w:numId w:val="22"/>
              </w:numPr>
              <w:spacing w:after="120"/>
              <w:ind w:left="170" w:hanging="170"/>
              <w:jc w:val="lowKashida"/>
              <w:rPr>
                <w:sz w:val="18"/>
                <w:szCs w:val="18"/>
              </w:rPr>
            </w:pPr>
            <w:r w:rsidRPr="00E83145">
              <w:rPr>
                <w:sz w:val="18"/>
                <w:szCs w:val="18"/>
              </w:rPr>
              <w:t>Part de la population utilisant des foyers améliorés portée de 43,88 % en 2010 à 91,49 % en 2020 puis 100 % en 2030 ;</w:t>
            </w:r>
          </w:p>
          <w:p w14:paraId="3689E26E" w14:textId="55532A92" w:rsidR="00E15588" w:rsidRPr="00E83145" w:rsidRDefault="00E15588" w:rsidP="008A3661">
            <w:pPr>
              <w:pStyle w:val="Paragraphedeliste"/>
              <w:numPr>
                <w:ilvl w:val="0"/>
                <w:numId w:val="22"/>
              </w:numPr>
              <w:spacing w:after="120"/>
              <w:ind w:left="170" w:hanging="170"/>
              <w:jc w:val="lowKashida"/>
              <w:rPr>
                <w:sz w:val="18"/>
                <w:szCs w:val="18"/>
              </w:rPr>
            </w:pPr>
            <w:r w:rsidRPr="00E83145">
              <w:rPr>
                <w:sz w:val="18"/>
                <w:szCs w:val="18"/>
              </w:rPr>
              <w:lastRenderedPageBreak/>
              <w:t>Part de la population utilisant le gaz butane portée de 23,6 % en 2010 à 34,3 % en 2020 puis 62,5 % en 2030 ;</w:t>
            </w:r>
          </w:p>
          <w:p w14:paraId="7BE6BBBD" w14:textId="3E336336" w:rsidR="00DB6E53" w:rsidRPr="00E83145" w:rsidRDefault="00E15588" w:rsidP="008A3661">
            <w:pPr>
              <w:pStyle w:val="Paragraphedeliste"/>
              <w:numPr>
                <w:ilvl w:val="0"/>
                <w:numId w:val="22"/>
              </w:numPr>
              <w:spacing w:after="120"/>
              <w:ind w:left="170" w:hanging="170"/>
              <w:jc w:val="lowKashida"/>
              <w:rPr>
                <w:sz w:val="18"/>
                <w:szCs w:val="18"/>
              </w:rPr>
            </w:pPr>
            <w:r w:rsidRPr="00E83145">
              <w:rPr>
                <w:sz w:val="18"/>
                <w:szCs w:val="18"/>
              </w:rPr>
              <w:t>Part des centres de santé communautaires, maternités et établissements scolaires équipés en chauffe-eaux solaires portée de 0,49 % en 2010 à 25,57 % en 2020 puis 62,49 % en 2030.</w:t>
            </w:r>
          </w:p>
        </w:tc>
      </w:tr>
    </w:tbl>
    <w:p w14:paraId="7802CF28" w14:textId="27C48982" w:rsidR="005B6ECE" w:rsidRPr="005B6ECE" w:rsidRDefault="005B6ECE" w:rsidP="005B6ECE">
      <w:pPr>
        <w:spacing w:before="120" w:after="120"/>
        <w:jc w:val="both"/>
        <w:rPr>
          <w:sz w:val="24"/>
          <w:szCs w:val="24"/>
        </w:rPr>
      </w:pPr>
      <w:r w:rsidRPr="005B6ECE">
        <w:rPr>
          <w:sz w:val="24"/>
          <w:szCs w:val="24"/>
        </w:rPr>
        <w:lastRenderedPageBreak/>
        <w:t xml:space="preserve">L’examen de </w:t>
      </w:r>
      <w:r w:rsidR="00964B9F">
        <w:rPr>
          <w:sz w:val="24"/>
          <w:szCs w:val="24"/>
        </w:rPr>
        <w:t>ces</w:t>
      </w:r>
      <w:r w:rsidRPr="005B6ECE">
        <w:rPr>
          <w:sz w:val="24"/>
          <w:szCs w:val="24"/>
        </w:rPr>
        <w:t xml:space="preserve"> politiques met en évidence un cadre sectoriel principalement orienté vers l’élargissement de l’accès aux services énergétiques modernes, en particulier en milieu rural. Cette dynamique s'appuie sur l'électrification des zones rurales pour aider les populations isolées, le soutien aux énergies renouvelables adaptées aux régions sans électricité, l'utilisation de la biomasse et du biogaz dans les zones agricoles, et l'installation de solutions énergétiques dans les</w:t>
      </w:r>
      <w:r>
        <w:rPr>
          <w:sz w:val="24"/>
          <w:szCs w:val="24"/>
        </w:rPr>
        <w:t xml:space="preserve"> établissements sociaux</w:t>
      </w:r>
      <w:r w:rsidRPr="005B6ECE">
        <w:rPr>
          <w:sz w:val="24"/>
          <w:szCs w:val="24"/>
        </w:rPr>
        <w:t xml:space="preserve"> </w:t>
      </w:r>
      <w:r>
        <w:rPr>
          <w:sz w:val="24"/>
          <w:szCs w:val="24"/>
        </w:rPr>
        <w:t>(</w:t>
      </w:r>
      <w:r w:rsidRPr="005B6ECE">
        <w:rPr>
          <w:sz w:val="24"/>
          <w:szCs w:val="24"/>
        </w:rPr>
        <w:t>centres de santé</w:t>
      </w:r>
      <w:r>
        <w:rPr>
          <w:sz w:val="24"/>
          <w:szCs w:val="24"/>
        </w:rPr>
        <w:t xml:space="preserve"> et</w:t>
      </w:r>
      <w:r w:rsidRPr="005B6ECE">
        <w:rPr>
          <w:sz w:val="24"/>
          <w:szCs w:val="24"/>
        </w:rPr>
        <w:t xml:space="preserve"> écoles</w:t>
      </w:r>
      <w:r>
        <w:rPr>
          <w:sz w:val="24"/>
          <w:szCs w:val="24"/>
        </w:rPr>
        <w:t>)</w:t>
      </w:r>
      <w:r w:rsidRPr="005B6ECE">
        <w:rPr>
          <w:sz w:val="24"/>
          <w:szCs w:val="24"/>
        </w:rPr>
        <w:t>. Certains de ces outils aident à déterminer les priorités d'adaptation de la CDN 3.0, en donnant des objectifs clairs sur l'accès à l'énergie et sur l'installation d'équipements énergétiques.</w:t>
      </w:r>
    </w:p>
    <w:p w14:paraId="043D84BF" w14:textId="5A9C75CE" w:rsidR="00B53B93" w:rsidRDefault="005B6ECE" w:rsidP="005B6ECE">
      <w:pPr>
        <w:spacing w:after="120"/>
        <w:jc w:val="both"/>
        <w:rPr>
          <w:sz w:val="24"/>
          <w:szCs w:val="24"/>
        </w:rPr>
      </w:pPr>
      <w:r w:rsidRPr="005B6ECE">
        <w:rPr>
          <w:sz w:val="24"/>
          <w:szCs w:val="24"/>
        </w:rPr>
        <w:t xml:space="preserve">La CDN 3.0 vise toutefois l’horizon 2035 et s’inscrit dans une ambition </w:t>
      </w:r>
      <w:r w:rsidR="00A61232">
        <w:rPr>
          <w:sz w:val="24"/>
          <w:szCs w:val="24"/>
        </w:rPr>
        <w:t>d’adaptation</w:t>
      </w:r>
      <w:r w:rsidRPr="005B6ECE">
        <w:rPr>
          <w:sz w:val="24"/>
          <w:szCs w:val="24"/>
        </w:rPr>
        <w:t xml:space="preserve"> renforcée. La nouvelle contribution devra par conséquent renforcer et approfondir ces orientations sectorielles, </w:t>
      </w:r>
      <w:r w:rsidR="00B80A85" w:rsidRPr="00B80A85">
        <w:rPr>
          <w:sz w:val="24"/>
          <w:szCs w:val="24"/>
        </w:rPr>
        <w:t>en intégrant les axes les plus récents définis dans les cadres stratégiques nationaux</w:t>
      </w:r>
      <w:r w:rsidRPr="005B6ECE">
        <w:rPr>
          <w:sz w:val="24"/>
          <w:szCs w:val="24"/>
        </w:rPr>
        <w:t>. Elle visera à améliorer l'accès durable à l'énergie pour les populations rurales et les services sociaux de base, tout en traduisant ces orientations en mesures concrètes, quantifiables et suivies dans le cadre du dispositif de suivi de la CDN 3.0.</w:t>
      </w:r>
    </w:p>
    <w:tbl>
      <w:tblPr>
        <w:tblStyle w:val="Grilledutableau"/>
        <w:tblW w:w="0" w:type="auto"/>
        <w:shd w:val="clear" w:color="auto" w:fill="DEEAF6" w:themeFill="accent1" w:themeFillTint="33"/>
        <w:tblLook w:val="04A0" w:firstRow="1" w:lastRow="0" w:firstColumn="1" w:lastColumn="0" w:noHBand="0" w:noVBand="1"/>
      </w:tblPr>
      <w:tblGrid>
        <w:gridCol w:w="13018"/>
      </w:tblGrid>
      <w:tr w:rsidR="00B43189" w14:paraId="5B64827E" w14:textId="77777777" w:rsidTr="00B43189">
        <w:tc>
          <w:tcPr>
            <w:tcW w:w="13018" w:type="dxa"/>
            <w:shd w:val="clear" w:color="auto" w:fill="DEEAF6" w:themeFill="accent1" w:themeFillTint="33"/>
          </w:tcPr>
          <w:p w14:paraId="6B7D626A" w14:textId="77777777" w:rsidR="00C2451F" w:rsidRPr="00C2451F" w:rsidRDefault="00C2451F" w:rsidP="00C2451F">
            <w:pPr>
              <w:spacing w:before="120" w:after="120"/>
              <w:jc w:val="both"/>
              <w:rPr>
                <w:sz w:val="24"/>
                <w:szCs w:val="24"/>
              </w:rPr>
            </w:pPr>
            <w:r w:rsidRPr="00C2451F">
              <w:rPr>
                <w:sz w:val="24"/>
                <w:szCs w:val="24"/>
              </w:rPr>
              <w:t>Sur la base de la revue sectorielle conduite, les éléments suivants devront être intégrés dans la CDN 3.0 :</w:t>
            </w:r>
          </w:p>
          <w:p w14:paraId="49E3880F" w14:textId="77777777" w:rsidR="00C2451F" w:rsidRPr="00C2451F" w:rsidRDefault="00C2451F" w:rsidP="008A3661">
            <w:pPr>
              <w:numPr>
                <w:ilvl w:val="0"/>
                <w:numId w:val="33"/>
              </w:numPr>
              <w:spacing w:before="120" w:after="120"/>
              <w:jc w:val="both"/>
              <w:rPr>
                <w:sz w:val="24"/>
                <w:szCs w:val="24"/>
              </w:rPr>
            </w:pPr>
            <w:r w:rsidRPr="00C2451F">
              <w:rPr>
                <w:b/>
                <w:bCs/>
                <w:sz w:val="24"/>
                <w:szCs w:val="24"/>
              </w:rPr>
              <w:t xml:space="preserve">Sécurisation de l'accès à l'énergie en milieu rural : </w:t>
            </w:r>
            <w:r w:rsidRPr="00C2451F">
              <w:rPr>
                <w:sz w:val="24"/>
                <w:szCs w:val="24"/>
              </w:rPr>
              <w:t>extension de l'électrification rurale par systèmes hors réseau (mini-réseaux solaires hybrides, kits solaires individuels), ciblant les localités isolées les plus exposées aux aléas climatiques ;</w:t>
            </w:r>
          </w:p>
          <w:p w14:paraId="38E7809D" w14:textId="77777777" w:rsidR="00C2451F" w:rsidRPr="00C2451F" w:rsidRDefault="00C2451F" w:rsidP="008A3661">
            <w:pPr>
              <w:numPr>
                <w:ilvl w:val="0"/>
                <w:numId w:val="33"/>
              </w:numPr>
              <w:spacing w:before="120" w:after="120"/>
              <w:jc w:val="both"/>
              <w:rPr>
                <w:sz w:val="24"/>
                <w:szCs w:val="24"/>
              </w:rPr>
            </w:pPr>
            <w:r w:rsidRPr="00C2451F">
              <w:rPr>
                <w:b/>
                <w:bCs/>
                <w:sz w:val="24"/>
                <w:szCs w:val="24"/>
              </w:rPr>
              <w:t xml:space="preserve">Sécurisation des services sociaux de base </w:t>
            </w:r>
            <w:r w:rsidRPr="00C2451F">
              <w:rPr>
                <w:sz w:val="24"/>
                <w:szCs w:val="24"/>
              </w:rPr>
              <w:t>: équipement des centres de santé communautaires, des maternités et des établissements scolaires en milieu rural en systèmes solaires (chauffe-eaux, éclairage), pour garantir la continuité des services essentiels face aux aléas ;</w:t>
            </w:r>
          </w:p>
          <w:p w14:paraId="39646431" w14:textId="1EA25846" w:rsidR="00B43189" w:rsidRPr="00C2451F" w:rsidRDefault="00C2451F" w:rsidP="008A3661">
            <w:pPr>
              <w:numPr>
                <w:ilvl w:val="0"/>
                <w:numId w:val="33"/>
              </w:numPr>
              <w:spacing w:before="120" w:after="120"/>
              <w:jc w:val="both"/>
              <w:rPr>
                <w:sz w:val="24"/>
                <w:szCs w:val="24"/>
              </w:rPr>
            </w:pPr>
            <w:r w:rsidRPr="00C2451F">
              <w:rPr>
                <w:b/>
                <w:bCs/>
                <w:sz w:val="24"/>
                <w:szCs w:val="24"/>
              </w:rPr>
              <w:lastRenderedPageBreak/>
              <w:t xml:space="preserve">Gouvernance territoriale de l'accès : </w:t>
            </w:r>
            <w:r w:rsidRPr="00C2451F">
              <w:rPr>
                <w:sz w:val="24"/>
                <w:szCs w:val="24"/>
              </w:rPr>
              <w:t>renforcement de la décentralisation et de l'implication des collectivités territoriales dans la planification et la mise en œuvre des solutions énergétiques locales, en cohérence avec les vulnérabilités spécifiques aux territoires.</w:t>
            </w:r>
          </w:p>
        </w:tc>
      </w:tr>
    </w:tbl>
    <w:p w14:paraId="47365412" w14:textId="2A6C01CE" w:rsidR="007879A8" w:rsidRDefault="001F22CB" w:rsidP="00812F26">
      <w:pPr>
        <w:pStyle w:val="Titre3"/>
        <w:numPr>
          <w:ilvl w:val="2"/>
          <w:numId w:val="21"/>
        </w:numPr>
        <w:spacing w:before="240"/>
      </w:pPr>
      <w:bookmarkStart w:id="22" w:name="_Toc234853859"/>
      <w:r>
        <w:lastRenderedPageBreak/>
        <w:t>Météo</w:t>
      </w:r>
      <w:bookmarkEnd w:id="22"/>
    </w:p>
    <w:p w14:paraId="429F013F" w14:textId="57F1F064" w:rsidR="00F82773" w:rsidRPr="0063450E" w:rsidRDefault="0063450E" w:rsidP="0063450E">
      <w:pPr>
        <w:jc w:val="both"/>
        <w:rPr>
          <w:sz w:val="24"/>
          <w:szCs w:val="24"/>
        </w:rPr>
      </w:pPr>
      <w:r w:rsidRPr="0063450E">
        <w:rPr>
          <w:sz w:val="24"/>
          <w:szCs w:val="24"/>
        </w:rPr>
        <w:t>Le domaine de la météorologie joue un rôle central dans l’adaptation aux changements climatiques. La qualité de l’information climatique, la surveillance des aléas et l’efficacité des dispositifs d’alerte précoce conditionnent en effet la capacité du pays à anticiper les phénomènes extrêmes, notamment les sécheresses, les inondations et les vagues de chaleur, ainsi qu’à réduire la vulnérabilité des populations et des systèmes de production. Dans cette perspective, plusieurs politiques, stratégies et instruments de planification ont été élaborés. Les principales orientations issues des différents documents stratégiques du secteur ainsi que les éventuels objectifs quantitatifs associés sont présentés dans le tableau ci-après.</w:t>
      </w:r>
    </w:p>
    <w:p w14:paraId="27C0C0F6" w14:textId="7C32A685" w:rsidR="00F84137" w:rsidRDefault="00F84137" w:rsidP="00F84137">
      <w:pPr>
        <w:pStyle w:val="Lgende"/>
        <w:keepNext/>
      </w:pPr>
      <w:bookmarkStart w:id="23" w:name="_Toc234853932"/>
      <w:r>
        <w:t xml:space="preserve">Tableau </w:t>
      </w:r>
      <w:r>
        <w:fldChar w:fldCharType="begin"/>
      </w:r>
      <w:r>
        <w:instrText xml:space="preserve"> SEQ Tableau \* ARABIC </w:instrText>
      </w:r>
      <w:r>
        <w:fldChar w:fldCharType="separate"/>
      </w:r>
      <w:r w:rsidR="0018772E">
        <w:rPr>
          <w:noProof/>
        </w:rPr>
        <w:t>8</w:t>
      </w:r>
      <w:r>
        <w:fldChar w:fldCharType="end"/>
      </w:r>
      <w:r>
        <w:t xml:space="preserve"> : </w:t>
      </w:r>
      <w:r w:rsidRPr="005C2F28">
        <w:t xml:space="preserve">Politiques et stratégies </w:t>
      </w:r>
      <w:r w:rsidR="00DD1D79" w:rsidRPr="00DD1D79">
        <w:t>du secteur météorologique et climatique au</w:t>
      </w:r>
      <w:r w:rsidRPr="005C2F28">
        <w:t xml:space="preserve"> Mali</w:t>
      </w:r>
      <w:r w:rsidR="001E28E0" w:rsidRPr="001E28E0">
        <w:t xml:space="preserve"> en lien avec l’adaptation</w:t>
      </w:r>
      <w:bookmarkEnd w:id="23"/>
    </w:p>
    <w:tbl>
      <w:tblPr>
        <w:tblStyle w:val="Grilledutablea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119"/>
        <w:gridCol w:w="4090"/>
        <w:gridCol w:w="3252"/>
      </w:tblGrid>
      <w:tr w:rsidR="00A461D4" w:rsidRPr="00665E4B" w14:paraId="5426E0AE" w14:textId="77777777" w:rsidTr="00665E4B">
        <w:trPr>
          <w:trHeight w:val="567"/>
          <w:tblHeader/>
        </w:trPr>
        <w:tc>
          <w:tcPr>
            <w:tcW w:w="97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7C60C4AB" w14:textId="77777777" w:rsidR="00A461D4" w:rsidRPr="00665E4B" w:rsidRDefault="00A461D4">
            <w:pPr>
              <w:jc w:val="center"/>
              <w:rPr>
                <w:b/>
                <w:bCs/>
                <w:color w:val="FFFFFF" w:themeColor="background1"/>
                <w:sz w:val="18"/>
                <w:szCs w:val="18"/>
                <w:lang w:eastAsia="en-US"/>
              </w:rPr>
            </w:pPr>
            <w:r w:rsidRPr="00665E4B">
              <w:rPr>
                <w:b/>
                <w:bCs/>
                <w:color w:val="FFFFFF" w:themeColor="background1"/>
                <w:sz w:val="18"/>
                <w:szCs w:val="18"/>
                <w:lang w:eastAsia="en-US"/>
              </w:rPr>
              <w:t>Politique / stratégie</w:t>
            </w:r>
          </w:p>
        </w:tc>
        <w:tc>
          <w:tcPr>
            <w:tcW w:w="11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2765D36D" w14:textId="77777777" w:rsidR="00A461D4" w:rsidRPr="00665E4B" w:rsidRDefault="00A461D4">
            <w:pPr>
              <w:jc w:val="center"/>
              <w:rPr>
                <w:b/>
                <w:bCs/>
                <w:color w:val="FFFFFF" w:themeColor="background1"/>
                <w:sz w:val="18"/>
                <w:szCs w:val="18"/>
                <w:lang w:eastAsia="en-US"/>
              </w:rPr>
            </w:pPr>
            <w:r w:rsidRPr="00665E4B">
              <w:rPr>
                <w:b/>
                <w:bCs/>
                <w:color w:val="FFFFFF" w:themeColor="background1"/>
                <w:sz w:val="18"/>
                <w:szCs w:val="18"/>
                <w:lang w:eastAsia="en-US"/>
              </w:rPr>
              <w:t>Description</w:t>
            </w:r>
          </w:p>
        </w:tc>
        <w:tc>
          <w:tcPr>
            <w:tcW w:w="15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086CC774" w14:textId="77777777" w:rsidR="00A461D4" w:rsidRPr="00665E4B" w:rsidRDefault="00A461D4">
            <w:pPr>
              <w:jc w:val="center"/>
              <w:rPr>
                <w:b/>
                <w:bCs/>
                <w:color w:val="FFFFFF" w:themeColor="background1"/>
                <w:sz w:val="18"/>
                <w:szCs w:val="18"/>
                <w:lang w:eastAsia="en-US"/>
              </w:rPr>
            </w:pPr>
            <w:r w:rsidRPr="00665E4B">
              <w:rPr>
                <w:b/>
                <w:bCs/>
                <w:color w:val="FFFFFF" w:themeColor="background1"/>
                <w:sz w:val="18"/>
                <w:szCs w:val="18"/>
                <w:lang w:eastAsia="en-US"/>
              </w:rPr>
              <w:t>Principales orientations climatiques</w:t>
            </w:r>
          </w:p>
        </w:tc>
        <w:tc>
          <w:tcPr>
            <w:tcW w:w="12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502C7239" w14:textId="77777777" w:rsidR="00A461D4" w:rsidRPr="00665E4B" w:rsidRDefault="00A461D4">
            <w:pPr>
              <w:jc w:val="center"/>
              <w:rPr>
                <w:b/>
                <w:bCs/>
                <w:color w:val="FFFFFF" w:themeColor="background1"/>
                <w:sz w:val="18"/>
                <w:szCs w:val="18"/>
                <w:lang w:eastAsia="en-US"/>
              </w:rPr>
            </w:pPr>
            <w:r w:rsidRPr="00665E4B">
              <w:rPr>
                <w:b/>
                <w:bCs/>
                <w:color w:val="FFFFFF" w:themeColor="background1"/>
                <w:sz w:val="18"/>
                <w:szCs w:val="18"/>
                <w:lang w:eastAsia="en-US"/>
              </w:rPr>
              <w:t>Cibles quantitatives</w:t>
            </w:r>
          </w:p>
        </w:tc>
      </w:tr>
      <w:tr w:rsidR="00A461D4" w:rsidRPr="00665E4B" w14:paraId="48F93BBA" w14:textId="77777777">
        <w:tc>
          <w:tcPr>
            <w:tcW w:w="979" w:type="pct"/>
            <w:tcBorders>
              <w:top w:val="single" w:sz="4" w:space="0" w:color="FFFFFF" w:themeColor="background1"/>
              <w:bottom w:val="single" w:sz="4" w:space="0" w:color="auto"/>
            </w:tcBorders>
          </w:tcPr>
          <w:p w14:paraId="1EC428FC" w14:textId="44E5FD8A" w:rsidR="00CB3D1C" w:rsidRPr="00665E4B" w:rsidRDefault="00CB3D1C" w:rsidP="00323009">
            <w:pPr>
              <w:jc w:val="both"/>
              <w:rPr>
                <w:b/>
                <w:bCs/>
                <w:sz w:val="18"/>
                <w:szCs w:val="18"/>
                <w:lang w:eastAsia="en-US"/>
              </w:rPr>
            </w:pPr>
            <w:r w:rsidRPr="00665E4B">
              <w:rPr>
                <w:b/>
                <w:bCs/>
                <w:sz w:val="18"/>
                <w:szCs w:val="18"/>
                <w:lang w:eastAsia="en-US"/>
              </w:rPr>
              <w:t>Politique Nationale sur les Changements Climatiques</w:t>
            </w:r>
            <w:r w:rsidR="00F5203E" w:rsidRPr="00665E4B">
              <w:rPr>
                <w:b/>
                <w:bCs/>
                <w:sz w:val="18"/>
                <w:szCs w:val="18"/>
                <w:lang w:eastAsia="en-US"/>
              </w:rPr>
              <w:t xml:space="preserve"> (PNCC)</w:t>
            </w:r>
          </w:p>
          <w:p w14:paraId="23CE2E57" w14:textId="7AE1A1BE" w:rsidR="00A461D4" w:rsidRPr="00665E4B" w:rsidRDefault="00323009" w:rsidP="00323009">
            <w:pPr>
              <w:jc w:val="both"/>
              <w:rPr>
                <w:i/>
                <w:iCs/>
                <w:color w:val="1F3864" w:themeColor="accent5" w:themeShade="80"/>
                <w:sz w:val="18"/>
                <w:szCs w:val="18"/>
                <w:lang w:eastAsia="en-US"/>
              </w:rPr>
            </w:pPr>
            <w:r w:rsidRPr="00665E4B">
              <w:rPr>
                <w:i/>
                <w:iCs/>
                <w:color w:val="1F3864" w:themeColor="accent5" w:themeShade="80"/>
                <w:sz w:val="18"/>
                <w:szCs w:val="18"/>
                <w:lang w:eastAsia="en-US"/>
              </w:rPr>
              <w:t>Ministère de l’Environnement et de l’assainissement</w:t>
            </w:r>
            <w:r w:rsidR="00A461D4" w:rsidRPr="00665E4B">
              <w:rPr>
                <w:i/>
                <w:iCs/>
                <w:color w:val="1F3864" w:themeColor="accent5" w:themeShade="80"/>
                <w:sz w:val="18"/>
                <w:szCs w:val="18"/>
                <w:lang w:eastAsia="en-US"/>
              </w:rPr>
              <w:t>, 201</w:t>
            </w:r>
            <w:r w:rsidRPr="00665E4B">
              <w:rPr>
                <w:i/>
                <w:iCs/>
                <w:color w:val="1F3864" w:themeColor="accent5" w:themeShade="80"/>
                <w:sz w:val="18"/>
                <w:szCs w:val="18"/>
                <w:lang w:eastAsia="en-US"/>
              </w:rPr>
              <w:t>1</w:t>
            </w:r>
          </w:p>
        </w:tc>
        <w:tc>
          <w:tcPr>
            <w:tcW w:w="1199" w:type="pct"/>
            <w:tcBorders>
              <w:top w:val="single" w:sz="4" w:space="0" w:color="FFFFFF" w:themeColor="background1"/>
              <w:bottom w:val="single" w:sz="4" w:space="0" w:color="auto"/>
            </w:tcBorders>
          </w:tcPr>
          <w:p w14:paraId="2D79183E" w14:textId="77777777" w:rsidR="00806C4C" w:rsidRDefault="005D7E55" w:rsidP="00806C4C">
            <w:pPr>
              <w:spacing w:after="120"/>
              <w:jc w:val="lowKashida"/>
              <w:rPr>
                <w:sz w:val="18"/>
                <w:szCs w:val="18"/>
                <w:lang w:eastAsia="en-US"/>
              </w:rPr>
            </w:pPr>
            <w:r w:rsidRPr="00665E4B">
              <w:rPr>
                <w:sz w:val="18"/>
                <w:szCs w:val="18"/>
                <w:lang w:eastAsia="en-US"/>
              </w:rPr>
              <w:t xml:space="preserve">La PNCC vise à contribuer à la lutte contre la pauvreté et au développement durable en apportant des réponses appropriées aux défis liés aux changements climatiques afin qu’ils ne constituent pas un facteur limitant du développement socio-économique. Elle cherche notamment à renforcer l’intégration des enjeux climatiques dans les politiques et stratégies sectorielles, à améliorer les capacités d’adaptation et la résilience des populations et des systèmes vulnérables, à renforcer la prévention et la gestion des risques et catastrophes, ainsi qu’à promouvoir la recherche, le transfert de technologies et le renforcement des capacités nationales. </w:t>
            </w:r>
          </w:p>
          <w:p w14:paraId="19E2B258" w14:textId="71A04B63" w:rsidR="00A461D4" w:rsidRPr="00665E4B" w:rsidRDefault="005D7E55">
            <w:pPr>
              <w:spacing w:after="120"/>
              <w:jc w:val="lowKashida"/>
              <w:rPr>
                <w:sz w:val="18"/>
                <w:szCs w:val="18"/>
                <w:lang w:eastAsia="en-US"/>
              </w:rPr>
            </w:pPr>
            <w:r w:rsidRPr="00665E4B">
              <w:rPr>
                <w:sz w:val="18"/>
                <w:szCs w:val="18"/>
                <w:lang w:eastAsia="en-US"/>
              </w:rPr>
              <w:t xml:space="preserve">La politique repose sur plusieurs principes directeurs, notamment les </w:t>
            </w:r>
            <w:r w:rsidRPr="00665E4B">
              <w:rPr>
                <w:sz w:val="18"/>
                <w:szCs w:val="18"/>
                <w:lang w:eastAsia="en-US"/>
              </w:rPr>
              <w:lastRenderedPageBreak/>
              <w:t>principes de précaution et d’anticipation, d’équité et de responsabilité commune mais différenciée, du pollueur-payeur, de décentralisation, d’implication des acteurs, de cohérence transversale et de partenariat public-privé</w:t>
            </w:r>
            <w:r w:rsidR="00A461D4" w:rsidRPr="00665E4B">
              <w:rPr>
                <w:sz w:val="18"/>
                <w:szCs w:val="18"/>
                <w:lang w:eastAsia="en-US"/>
              </w:rPr>
              <w:t>.</w:t>
            </w:r>
          </w:p>
        </w:tc>
        <w:tc>
          <w:tcPr>
            <w:tcW w:w="1572" w:type="pct"/>
            <w:tcBorders>
              <w:top w:val="single" w:sz="4" w:space="0" w:color="FFFFFF" w:themeColor="background1"/>
              <w:bottom w:val="single" w:sz="4" w:space="0" w:color="auto"/>
            </w:tcBorders>
          </w:tcPr>
          <w:p w14:paraId="19A1EA57" w14:textId="77777777" w:rsidR="00C26DDA" w:rsidRPr="00665E4B" w:rsidRDefault="00C26DDA" w:rsidP="008A3661">
            <w:pPr>
              <w:pStyle w:val="Paragraphedeliste"/>
              <w:numPr>
                <w:ilvl w:val="0"/>
                <w:numId w:val="22"/>
              </w:numPr>
              <w:spacing w:after="120"/>
              <w:ind w:left="170" w:hanging="170"/>
              <w:jc w:val="lowKashida"/>
              <w:rPr>
                <w:sz w:val="18"/>
                <w:szCs w:val="18"/>
              </w:rPr>
            </w:pPr>
            <w:r w:rsidRPr="00665E4B">
              <w:rPr>
                <w:sz w:val="18"/>
                <w:szCs w:val="18"/>
              </w:rPr>
              <w:lastRenderedPageBreak/>
              <w:t xml:space="preserve">La mise en place d’une gouvernance anticipative et mieux organisée des CC ; </w:t>
            </w:r>
          </w:p>
          <w:p w14:paraId="0811E885" w14:textId="3211EC7E" w:rsidR="00C26DDA" w:rsidRPr="00665E4B" w:rsidRDefault="00C26DDA" w:rsidP="008A3661">
            <w:pPr>
              <w:pStyle w:val="Paragraphedeliste"/>
              <w:numPr>
                <w:ilvl w:val="0"/>
                <w:numId w:val="22"/>
              </w:numPr>
              <w:spacing w:after="120"/>
              <w:ind w:left="170" w:hanging="170"/>
              <w:jc w:val="lowKashida"/>
              <w:rPr>
                <w:sz w:val="18"/>
                <w:szCs w:val="18"/>
              </w:rPr>
            </w:pPr>
            <w:r w:rsidRPr="00665E4B">
              <w:rPr>
                <w:sz w:val="18"/>
                <w:szCs w:val="18"/>
              </w:rPr>
              <w:t xml:space="preserve">La promotion d’une intégration des CC dans les politiques et stratégies sectorielles et dans la planification du développement au niveau national et territorial ; </w:t>
            </w:r>
          </w:p>
          <w:p w14:paraId="4E3D46B9" w14:textId="77777777" w:rsidR="00C26DDA" w:rsidRPr="00665E4B" w:rsidRDefault="00C26DDA" w:rsidP="008A3661">
            <w:pPr>
              <w:pStyle w:val="Paragraphedeliste"/>
              <w:numPr>
                <w:ilvl w:val="0"/>
                <w:numId w:val="22"/>
              </w:numPr>
              <w:spacing w:after="120"/>
              <w:ind w:left="170" w:hanging="170"/>
              <w:jc w:val="lowKashida"/>
              <w:rPr>
                <w:sz w:val="18"/>
                <w:szCs w:val="18"/>
              </w:rPr>
            </w:pPr>
            <w:r w:rsidRPr="00665E4B">
              <w:rPr>
                <w:sz w:val="18"/>
                <w:szCs w:val="18"/>
              </w:rPr>
              <w:t xml:space="preserve">Le renforcement des actions d’adaptation aux impacts des CC ; </w:t>
            </w:r>
          </w:p>
          <w:p w14:paraId="63CB492A" w14:textId="77777777" w:rsidR="00C26DDA" w:rsidRPr="00665E4B" w:rsidRDefault="00C26DDA" w:rsidP="008A3661">
            <w:pPr>
              <w:pStyle w:val="Paragraphedeliste"/>
              <w:numPr>
                <w:ilvl w:val="0"/>
                <w:numId w:val="22"/>
              </w:numPr>
              <w:spacing w:after="120"/>
              <w:ind w:left="170" w:hanging="170"/>
              <w:jc w:val="lowKashida"/>
              <w:rPr>
                <w:sz w:val="18"/>
                <w:szCs w:val="18"/>
              </w:rPr>
            </w:pPr>
            <w:r w:rsidRPr="00665E4B">
              <w:rPr>
                <w:sz w:val="18"/>
                <w:szCs w:val="18"/>
              </w:rPr>
              <w:t>La prévention et la gestion des risques et des catastrophes naturelles ;</w:t>
            </w:r>
          </w:p>
          <w:p w14:paraId="5873B4DE" w14:textId="77777777" w:rsidR="00295068" w:rsidRPr="00665E4B" w:rsidRDefault="00C26DDA" w:rsidP="008A3661">
            <w:pPr>
              <w:pStyle w:val="Paragraphedeliste"/>
              <w:numPr>
                <w:ilvl w:val="0"/>
                <w:numId w:val="22"/>
              </w:numPr>
              <w:spacing w:after="120"/>
              <w:ind w:left="170" w:hanging="170"/>
              <w:jc w:val="lowKashida"/>
              <w:rPr>
                <w:sz w:val="18"/>
                <w:szCs w:val="18"/>
              </w:rPr>
            </w:pPr>
            <w:r w:rsidRPr="00665E4B">
              <w:rPr>
                <w:sz w:val="18"/>
                <w:szCs w:val="18"/>
              </w:rPr>
              <w:t xml:space="preserve">Le renforcement de la recherche pour le développement, la vulgarisation et le transfert de technologies, et la génération d’information et de données appropriées ; </w:t>
            </w:r>
          </w:p>
          <w:p w14:paraId="31094B99" w14:textId="327F4B2C" w:rsidR="00C26DDA" w:rsidRPr="00665E4B" w:rsidRDefault="00C26DDA" w:rsidP="008A3661">
            <w:pPr>
              <w:pStyle w:val="Paragraphedeliste"/>
              <w:numPr>
                <w:ilvl w:val="0"/>
                <w:numId w:val="22"/>
              </w:numPr>
              <w:spacing w:after="120"/>
              <w:ind w:left="170" w:hanging="170"/>
              <w:jc w:val="lowKashida"/>
              <w:rPr>
                <w:sz w:val="18"/>
                <w:szCs w:val="18"/>
              </w:rPr>
            </w:pPr>
            <w:r w:rsidRPr="00665E4B">
              <w:rPr>
                <w:sz w:val="18"/>
                <w:szCs w:val="18"/>
              </w:rPr>
              <w:t xml:space="preserve">L’information, la sensibilisation du public, la formation et le renforcement des capacités en matière de CC ; </w:t>
            </w:r>
          </w:p>
          <w:p w14:paraId="59BEBF1A" w14:textId="4CA5EF7E" w:rsidR="00C26DDA" w:rsidRPr="00665E4B" w:rsidRDefault="00C26DDA" w:rsidP="008A3661">
            <w:pPr>
              <w:pStyle w:val="Paragraphedeliste"/>
              <w:numPr>
                <w:ilvl w:val="0"/>
                <w:numId w:val="22"/>
              </w:numPr>
              <w:spacing w:after="120"/>
              <w:ind w:left="170" w:hanging="170"/>
              <w:jc w:val="lowKashida"/>
              <w:rPr>
                <w:sz w:val="18"/>
                <w:szCs w:val="18"/>
              </w:rPr>
            </w:pPr>
            <w:r w:rsidRPr="00665E4B">
              <w:rPr>
                <w:sz w:val="18"/>
                <w:szCs w:val="18"/>
              </w:rPr>
              <w:t>La promotion et le renforcement de la Coopération internationale et sous régionale.</w:t>
            </w:r>
          </w:p>
          <w:p w14:paraId="2531C47D" w14:textId="37E4CC11" w:rsidR="00A461D4" w:rsidRPr="00665E4B" w:rsidRDefault="00A461D4" w:rsidP="005D7E55">
            <w:pPr>
              <w:spacing w:after="120"/>
              <w:jc w:val="lowKashida"/>
              <w:rPr>
                <w:sz w:val="18"/>
                <w:szCs w:val="18"/>
                <w:lang w:eastAsia="en-US"/>
              </w:rPr>
            </w:pPr>
          </w:p>
        </w:tc>
        <w:tc>
          <w:tcPr>
            <w:tcW w:w="1250" w:type="pct"/>
            <w:tcBorders>
              <w:top w:val="single" w:sz="4" w:space="0" w:color="FFFFFF" w:themeColor="background1"/>
              <w:bottom w:val="single" w:sz="4" w:space="0" w:color="auto"/>
            </w:tcBorders>
          </w:tcPr>
          <w:p w14:paraId="5E8C572D" w14:textId="6914CE70" w:rsidR="00A461D4" w:rsidRPr="00665E4B" w:rsidRDefault="008A7444" w:rsidP="00B02DA4">
            <w:pPr>
              <w:spacing w:after="120"/>
              <w:jc w:val="lowKashida"/>
              <w:rPr>
                <w:sz w:val="18"/>
                <w:szCs w:val="18"/>
              </w:rPr>
            </w:pPr>
            <w:r w:rsidRPr="00665E4B">
              <w:rPr>
                <w:sz w:val="18"/>
                <w:szCs w:val="18"/>
              </w:rPr>
              <w:lastRenderedPageBreak/>
              <w:t>L</w:t>
            </w:r>
            <w:r w:rsidR="00BE6998" w:rsidRPr="00665E4B">
              <w:rPr>
                <w:sz w:val="18"/>
                <w:szCs w:val="18"/>
              </w:rPr>
              <w:t xml:space="preserve">a </w:t>
            </w:r>
            <w:r w:rsidRPr="00665E4B">
              <w:rPr>
                <w:sz w:val="18"/>
                <w:szCs w:val="18"/>
              </w:rPr>
              <w:t>PNCC n’identifie pas de cibles quantitatives spécifiques. Les éléments chiffrés exi</w:t>
            </w:r>
            <w:r w:rsidR="001305BA" w:rsidRPr="00665E4B">
              <w:rPr>
                <w:sz w:val="18"/>
                <w:szCs w:val="18"/>
              </w:rPr>
              <w:t xml:space="preserve">stants </w:t>
            </w:r>
            <w:r w:rsidRPr="00665E4B">
              <w:rPr>
                <w:sz w:val="18"/>
                <w:szCs w:val="18"/>
              </w:rPr>
              <w:t xml:space="preserve">proviennent plutôt d’autres stratégies sectorielles, notamment de la </w:t>
            </w:r>
            <w:r w:rsidR="001305BA" w:rsidRPr="00665E4B">
              <w:rPr>
                <w:sz w:val="18"/>
                <w:szCs w:val="18"/>
              </w:rPr>
              <w:t>PEN.</w:t>
            </w:r>
          </w:p>
        </w:tc>
      </w:tr>
      <w:tr w:rsidR="00A461D4" w:rsidRPr="00665E4B" w14:paraId="0847096E" w14:textId="77777777" w:rsidTr="00CE0602">
        <w:tc>
          <w:tcPr>
            <w:tcW w:w="979" w:type="pct"/>
            <w:tcBorders>
              <w:top w:val="single" w:sz="4" w:space="0" w:color="auto"/>
              <w:bottom w:val="single" w:sz="4" w:space="0" w:color="auto"/>
            </w:tcBorders>
          </w:tcPr>
          <w:p w14:paraId="67078C09" w14:textId="77777777" w:rsidR="006A4919" w:rsidRPr="00665E4B" w:rsidRDefault="006A4919" w:rsidP="00601B3B">
            <w:pPr>
              <w:jc w:val="both"/>
              <w:rPr>
                <w:b/>
                <w:bCs/>
                <w:sz w:val="18"/>
                <w:szCs w:val="18"/>
                <w:lang w:eastAsia="en-US"/>
              </w:rPr>
            </w:pPr>
            <w:r w:rsidRPr="00665E4B">
              <w:rPr>
                <w:b/>
                <w:bCs/>
                <w:sz w:val="18"/>
                <w:szCs w:val="18"/>
                <w:lang w:eastAsia="en-US"/>
              </w:rPr>
              <w:t>Stratégie Nationale</w:t>
            </w:r>
          </w:p>
          <w:p w14:paraId="5801B497" w14:textId="386584C8" w:rsidR="006A4919" w:rsidRPr="00665E4B" w:rsidRDefault="006A4919" w:rsidP="00601B3B">
            <w:pPr>
              <w:jc w:val="both"/>
              <w:rPr>
                <w:b/>
                <w:sz w:val="18"/>
                <w:szCs w:val="18"/>
                <w:lang w:eastAsia="en-US"/>
              </w:rPr>
            </w:pPr>
            <w:r w:rsidRPr="00665E4B">
              <w:rPr>
                <w:b/>
                <w:bCs/>
                <w:sz w:val="18"/>
                <w:szCs w:val="18"/>
                <w:lang w:eastAsia="en-US"/>
              </w:rPr>
              <w:t>Changements</w:t>
            </w:r>
            <w:r w:rsidR="00601B3B" w:rsidRPr="00665E4B">
              <w:rPr>
                <w:b/>
                <w:bCs/>
                <w:sz w:val="18"/>
                <w:szCs w:val="18"/>
                <w:lang w:eastAsia="en-US"/>
              </w:rPr>
              <w:t xml:space="preserve"> </w:t>
            </w:r>
            <w:r w:rsidRPr="00665E4B">
              <w:rPr>
                <w:b/>
                <w:bCs/>
                <w:sz w:val="18"/>
                <w:szCs w:val="18"/>
                <w:lang w:eastAsia="en-US"/>
              </w:rPr>
              <w:t>Climatiques du Mali (SNCC)</w:t>
            </w:r>
          </w:p>
          <w:p w14:paraId="6B30246B" w14:textId="741A02FB" w:rsidR="00DB4856" w:rsidRPr="00665E4B" w:rsidRDefault="00DB4856" w:rsidP="00601B3B">
            <w:pPr>
              <w:jc w:val="both"/>
              <w:rPr>
                <w:i/>
                <w:iCs/>
                <w:color w:val="1F3864" w:themeColor="accent5" w:themeShade="80"/>
                <w:sz w:val="18"/>
                <w:szCs w:val="18"/>
                <w:lang w:eastAsia="en-US"/>
              </w:rPr>
            </w:pPr>
            <w:r w:rsidRPr="00665E4B">
              <w:rPr>
                <w:i/>
                <w:iCs/>
                <w:color w:val="1F3864" w:themeColor="accent5" w:themeShade="80"/>
                <w:sz w:val="18"/>
                <w:szCs w:val="18"/>
                <w:lang w:eastAsia="en-US"/>
              </w:rPr>
              <w:t xml:space="preserve">Ministère De l’Environnement et de </w:t>
            </w:r>
          </w:p>
          <w:p w14:paraId="58735519" w14:textId="589D6903" w:rsidR="00A461D4" w:rsidRPr="00665E4B" w:rsidRDefault="00601B3B" w:rsidP="00601B3B">
            <w:pPr>
              <w:jc w:val="both"/>
              <w:rPr>
                <w:b/>
                <w:bCs/>
                <w:sz w:val="18"/>
                <w:szCs w:val="18"/>
                <w:lang w:eastAsia="en-US"/>
              </w:rPr>
            </w:pPr>
            <w:r w:rsidRPr="00665E4B">
              <w:rPr>
                <w:i/>
                <w:iCs/>
                <w:color w:val="1F3864" w:themeColor="accent5" w:themeShade="80"/>
                <w:sz w:val="18"/>
                <w:szCs w:val="18"/>
                <w:lang w:eastAsia="en-US"/>
              </w:rPr>
              <w:t>L’Assainissement</w:t>
            </w:r>
            <w:r w:rsidR="00A461D4" w:rsidRPr="00665E4B">
              <w:rPr>
                <w:i/>
                <w:iCs/>
                <w:color w:val="1F3864" w:themeColor="accent5" w:themeShade="80"/>
                <w:sz w:val="18"/>
                <w:szCs w:val="18"/>
                <w:lang w:eastAsia="en-US"/>
              </w:rPr>
              <w:t>, 201</w:t>
            </w:r>
            <w:r w:rsidR="00DB4856" w:rsidRPr="00665E4B">
              <w:rPr>
                <w:i/>
                <w:iCs/>
                <w:color w:val="1F3864" w:themeColor="accent5" w:themeShade="80"/>
                <w:sz w:val="18"/>
                <w:szCs w:val="18"/>
                <w:lang w:eastAsia="en-US"/>
              </w:rPr>
              <w:t>1</w:t>
            </w:r>
          </w:p>
        </w:tc>
        <w:tc>
          <w:tcPr>
            <w:tcW w:w="1199" w:type="pct"/>
            <w:tcBorders>
              <w:top w:val="single" w:sz="4" w:space="0" w:color="auto"/>
              <w:bottom w:val="single" w:sz="4" w:space="0" w:color="auto"/>
            </w:tcBorders>
          </w:tcPr>
          <w:p w14:paraId="5B9472A7" w14:textId="74040C6F" w:rsidR="00A461D4" w:rsidRPr="00665E4B" w:rsidRDefault="009E49DF">
            <w:pPr>
              <w:jc w:val="lowKashida"/>
              <w:rPr>
                <w:sz w:val="18"/>
                <w:szCs w:val="18"/>
                <w:lang w:eastAsia="en-US"/>
              </w:rPr>
            </w:pPr>
            <w:r w:rsidRPr="00665E4B">
              <w:rPr>
                <w:sz w:val="18"/>
                <w:szCs w:val="18"/>
                <w:lang w:eastAsia="en-US"/>
              </w:rPr>
              <w:t>La SNCC constitue le cadre opérationnel de mise en œuvre de la PNCC. Elle vise à renforcer l’intégration des enjeux climatiques dans les politiques sectorielles, à accroître la résilience des systèmes vulnérables face aux effets du changement climatique, ainsi qu’à renforcer les capacités nationales en matière de changements climatiques. La stratégie est mise en œuvre à travers le Plan d’Action National Climat (PANC 2012-2017), qui regroupe des actions relatives à l’adaptation, à l’atténuation, à la gouvernance climatique et au renforcement des capacités.</w:t>
            </w:r>
          </w:p>
        </w:tc>
        <w:tc>
          <w:tcPr>
            <w:tcW w:w="1572" w:type="pct"/>
            <w:tcBorders>
              <w:top w:val="single" w:sz="4" w:space="0" w:color="auto"/>
              <w:bottom w:val="single" w:sz="4" w:space="0" w:color="auto"/>
            </w:tcBorders>
          </w:tcPr>
          <w:p w14:paraId="384A18D0" w14:textId="77777777" w:rsidR="00D66B29" w:rsidRPr="00665E4B" w:rsidRDefault="00317299" w:rsidP="008A3661">
            <w:pPr>
              <w:pStyle w:val="Paragraphedeliste"/>
              <w:numPr>
                <w:ilvl w:val="0"/>
                <w:numId w:val="22"/>
              </w:numPr>
              <w:spacing w:after="120"/>
              <w:ind w:left="170" w:hanging="170"/>
              <w:jc w:val="lowKashida"/>
              <w:rPr>
                <w:sz w:val="18"/>
                <w:szCs w:val="18"/>
              </w:rPr>
            </w:pPr>
            <w:r w:rsidRPr="00665E4B">
              <w:rPr>
                <w:sz w:val="18"/>
                <w:szCs w:val="18"/>
              </w:rPr>
              <w:t xml:space="preserve">La Mise en place d’une gouvernance anticipative et organisée des </w:t>
            </w:r>
            <w:r w:rsidR="00D66B29" w:rsidRPr="00665E4B">
              <w:rPr>
                <w:sz w:val="18"/>
                <w:szCs w:val="18"/>
              </w:rPr>
              <w:t>changements climatiques ;</w:t>
            </w:r>
          </w:p>
          <w:p w14:paraId="438B9422" w14:textId="77777777" w:rsidR="00D66B29" w:rsidRPr="00665E4B" w:rsidRDefault="00317299" w:rsidP="008A3661">
            <w:pPr>
              <w:pStyle w:val="Paragraphedeliste"/>
              <w:numPr>
                <w:ilvl w:val="0"/>
                <w:numId w:val="22"/>
              </w:numPr>
              <w:spacing w:after="120"/>
              <w:ind w:left="170" w:hanging="170"/>
              <w:jc w:val="lowKashida"/>
              <w:rPr>
                <w:sz w:val="18"/>
                <w:szCs w:val="18"/>
              </w:rPr>
            </w:pPr>
            <w:r w:rsidRPr="00665E4B">
              <w:rPr>
                <w:sz w:val="18"/>
                <w:szCs w:val="18"/>
              </w:rPr>
              <w:t xml:space="preserve">La Promotion des actions d’adaptation aux impacts des </w:t>
            </w:r>
            <w:r w:rsidR="00D66B29" w:rsidRPr="00665E4B">
              <w:rPr>
                <w:sz w:val="18"/>
                <w:szCs w:val="18"/>
              </w:rPr>
              <w:t>changements climatiques ;</w:t>
            </w:r>
          </w:p>
          <w:p w14:paraId="2E386DF7" w14:textId="77777777" w:rsidR="00D66B29" w:rsidRPr="00665E4B" w:rsidRDefault="00317299" w:rsidP="008A3661">
            <w:pPr>
              <w:pStyle w:val="Paragraphedeliste"/>
              <w:numPr>
                <w:ilvl w:val="0"/>
                <w:numId w:val="22"/>
              </w:numPr>
              <w:spacing w:after="120"/>
              <w:ind w:left="170" w:hanging="170"/>
              <w:jc w:val="lowKashida"/>
              <w:rPr>
                <w:sz w:val="18"/>
                <w:szCs w:val="18"/>
              </w:rPr>
            </w:pPr>
            <w:r w:rsidRPr="00665E4B">
              <w:rPr>
                <w:sz w:val="18"/>
                <w:szCs w:val="18"/>
              </w:rPr>
              <w:t>La Réduction et gestion des risques et des catastrophes naturelles</w:t>
            </w:r>
            <w:r w:rsidR="00D66B29" w:rsidRPr="00665E4B">
              <w:rPr>
                <w:sz w:val="18"/>
                <w:szCs w:val="18"/>
              </w:rPr>
              <w:t> ;</w:t>
            </w:r>
          </w:p>
          <w:p w14:paraId="7681D8A4" w14:textId="77777777" w:rsidR="00D66B29" w:rsidRPr="00665E4B" w:rsidRDefault="00317299" w:rsidP="008A3661">
            <w:pPr>
              <w:pStyle w:val="Paragraphedeliste"/>
              <w:numPr>
                <w:ilvl w:val="0"/>
                <w:numId w:val="22"/>
              </w:numPr>
              <w:spacing w:after="120"/>
              <w:ind w:left="170" w:hanging="170"/>
              <w:jc w:val="lowKashida"/>
              <w:rPr>
                <w:sz w:val="18"/>
                <w:szCs w:val="18"/>
              </w:rPr>
            </w:pPr>
            <w:r w:rsidRPr="00665E4B">
              <w:rPr>
                <w:sz w:val="18"/>
                <w:szCs w:val="18"/>
              </w:rPr>
              <w:t>La Promotion de la recherche pour le développement, la vulgarisation et le transfert de technologies appropriées</w:t>
            </w:r>
            <w:r w:rsidR="00D66B29" w:rsidRPr="00665E4B">
              <w:rPr>
                <w:sz w:val="18"/>
                <w:szCs w:val="18"/>
              </w:rPr>
              <w:t> ;</w:t>
            </w:r>
          </w:p>
          <w:p w14:paraId="36FFB086" w14:textId="77777777" w:rsidR="00D66B29" w:rsidRPr="00665E4B" w:rsidRDefault="00317299" w:rsidP="008A3661">
            <w:pPr>
              <w:pStyle w:val="Paragraphedeliste"/>
              <w:numPr>
                <w:ilvl w:val="0"/>
                <w:numId w:val="22"/>
              </w:numPr>
              <w:spacing w:after="120"/>
              <w:ind w:left="170" w:hanging="170"/>
              <w:jc w:val="lowKashida"/>
              <w:rPr>
                <w:sz w:val="18"/>
                <w:szCs w:val="18"/>
              </w:rPr>
            </w:pPr>
            <w:r w:rsidRPr="00665E4B">
              <w:rPr>
                <w:sz w:val="18"/>
                <w:szCs w:val="18"/>
              </w:rPr>
              <w:t xml:space="preserve">Le renforcement des capacités en matière de </w:t>
            </w:r>
            <w:r w:rsidR="00D66B29" w:rsidRPr="00665E4B">
              <w:rPr>
                <w:sz w:val="18"/>
                <w:szCs w:val="18"/>
              </w:rPr>
              <w:t>changement climatiques ;</w:t>
            </w:r>
          </w:p>
          <w:p w14:paraId="483A6DE1" w14:textId="77777777" w:rsidR="00D66B29" w:rsidRPr="00665E4B" w:rsidRDefault="00317299" w:rsidP="008A3661">
            <w:pPr>
              <w:pStyle w:val="Paragraphedeliste"/>
              <w:numPr>
                <w:ilvl w:val="0"/>
                <w:numId w:val="22"/>
              </w:numPr>
              <w:spacing w:after="120"/>
              <w:ind w:left="170" w:hanging="170"/>
              <w:jc w:val="lowKashida"/>
              <w:rPr>
                <w:sz w:val="18"/>
                <w:szCs w:val="18"/>
              </w:rPr>
            </w:pPr>
            <w:r w:rsidRPr="00665E4B">
              <w:rPr>
                <w:sz w:val="18"/>
                <w:szCs w:val="18"/>
              </w:rPr>
              <w:t xml:space="preserve"> La Promotion d’une planification du développement sensible aux </w:t>
            </w:r>
            <w:r w:rsidR="00D66B29" w:rsidRPr="00665E4B">
              <w:rPr>
                <w:sz w:val="18"/>
                <w:szCs w:val="18"/>
              </w:rPr>
              <w:t>changements climatiques ;</w:t>
            </w:r>
          </w:p>
          <w:p w14:paraId="0B02CAB8" w14:textId="03EA2281" w:rsidR="00A461D4" w:rsidRPr="00665E4B" w:rsidRDefault="00317299" w:rsidP="008A3661">
            <w:pPr>
              <w:pStyle w:val="Paragraphedeliste"/>
              <w:numPr>
                <w:ilvl w:val="0"/>
                <w:numId w:val="22"/>
              </w:numPr>
              <w:spacing w:after="120"/>
              <w:ind w:left="170" w:hanging="170"/>
              <w:jc w:val="lowKashida"/>
              <w:rPr>
                <w:sz w:val="18"/>
                <w:szCs w:val="18"/>
              </w:rPr>
            </w:pPr>
            <w:r w:rsidRPr="00665E4B">
              <w:rPr>
                <w:sz w:val="18"/>
                <w:szCs w:val="18"/>
              </w:rPr>
              <w:t>La Promotion de la Coopération internationale.</w:t>
            </w:r>
          </w:p>
        </w:tc>
        <w:tc>
          <w:tcPr>
            <w:tcW w:w="1250" w:type="pct"/>
            <w:tcBorders>
              <w:top w:val="single" w:sz="4" w:space="0" w:color="auto"/>
              <w:bottom w:val="single" w:sz="4" w:space="0" w:color="auto"/>
            </w:tcBorders>
          </w:tcPr>
          <w:p w14:paraId="5611E9E6" w14:textId="23F8D049" w:rsidR="00A461D4" w:rsidRPr="00665E4B" w:rsidRDefault="00BE6998" w:rsidP="00BE6998">
            <w:pPr>
              <w:spacing w:after="120"/>
              <w:jc w:val="lowKashida"/>
              <w:rPr>
                <w:sz w:val="18"/>
                <w:szCs w:val="18"/>
              </w:rPr>
            </w:pPr>
            <w:r w:rsidRPr="00665E4B">
              <w:rPr>
                <w:sz w:val="18"/>
                <w:szCs w:val="18"/>
              </w:rPr>
              <w:t>L</w:t>
            </w:r>
            <w:r w:rsidR="008D4F81" w:rsidRPr="00665E4B">
              <w:rPr>
                <w:sz w:val="18"/>
                <w:szCs w:val="18"/>
              </w:rPr>
              <w:t>a</w:t>
            </w:r>
            <w:r w:rsidRPr="00665E4B">
              <w:rPr>
                <w:sz w:val="18"/>
                <w:szCs w:val="18"/>
              </w:rPr>
              <w:t xml:space="preserve"> SNCC n’identifie pas de cibles quantitatives.</w:t>
            </w:r>
          </w:p>
        </w:tc>
      </w:tr>
      <w:tr w:rsidR="008D4F81" w:rsidRPr="00665E4B" w14:paraId="2016C6E3" w14:textId="77777777" w:rsidTr="001E28E0">
        <w:trPr>
          <w:trHeight w:val="836"/>
        </w:trPr>
        <w:tc>
          <w:tcPr>
            <w:tcW w:w="979" w:type="pct"/>
            <w:tcBorders>
              <w:top w:val="single" w:sz="4" w:space="0" w:color="auto"/>
            </w:tcBorders>
          </w:tcPr>
          <w:p w14:paraId="3AD3987B" w14:textId="1B653D19" w:rsidR="008D4F81" w:rsidRPr="00665E4B" w:rsidRDefault="008D4F81" w:rsidP="008D4F81">
            <w:pPr>
              <w:jc w:val="both"/>
              <w:rPr>
                <w:sz w:val="18"/>
                <w:szCs w:val="18"/>
              </w:rPr>
            </w:pPr>
            <w:r w:rsidRPr="00665E4B">
              <w:rPr>
                <w:sz w:val="18"/>
                <w:szCs w:val="18"/>
              </w:rPr>
              <w:t>Plan National Sècheresse du Mali 2021-2025 (PNS-Mali)</w:t>
            </w:r>
          </w:p>
          <w:p w14:paraId="7FE50DEA" w14:textId="757DF57E" w:rsidR="008D4F81" w:rsidRPr="00665E4B" w:rsidRDefault="008D4F81" w:rsidP="008D4F81">
            <w:pPr>
              <w:jc w:val="both"/>
              <w:rPr>
                <w:b/>
                <w:bCs/>
                <w:sz w:val="18"/>
                <w:szCs w:val="18"/>
                <w:lang w:eastAsia="en-US"/>
              </w:rPr>
            </w:pPr>
          </w:p>
        </w:tc>
        <w:tc>
          <w:tcPr>
            <w:tcW w:w="1199" w:type="pct"/>
            <w:tcBorders>
              <w:top w:val="single" w:sz="4" w:space="0" w:color="auto"/>
            </w:tcBorders>
          </w:tcPr>
          <w:p w14:paraId="558CC4A6" w14:textId="77777777" w:rsidR="008D4F81" w:rsidRPr="00665E4B" w:rsidRDefault="008D4F81" w:rsidP="008D4F81">
            <w:pPr>
              <w:jc w:val="lowKashida"/>
              <w:rPr>
                <w:sz w:val="18"/>
                <w:szCs w:val="18"/>
                <w:lang w:eastAsia="en-US"/>
              </w:rPr>
            </w:pPr>
            <w:r w:rsidRPr="00665E4B">
              <w:rPr>
                <w:sz w:val="18"/>
                <w:szCs w:val="18"/>
                <w:lang w:eastAsia="en-US"/>
              </w:rPr>
              <w:t xml:space="preserve">Le PNS-MALI vise à doter le pays d’outils institutionnels et juridiques efficaces pour mieux faire face aux aléas climatiques et réduire la vulnérabilité du pays à la sécheresse, à travers la mise en place d’un système intégré de détection et de gestion de la sécheresse. Élaboré selon une approche proactive et participative, il poursuit trois objectifs spécifiques : </w:t>
            </w:r>
          </w:p>
          <w:p w14:paraId="0438C818" w14:textId="77777777" w:rsidR="008D4F81" w:rsidRPr="00665E4B" w:rsidRDefault="008D4F81" w:rsidP="008A3661">
            <w:pPr>
              <w:pStyle w:val="Paragraphedeliste"/>
              <w:numPr>
                <w:ilvl w:val="0"/>
                <w:numId w:val="40"/>
              </w:numPr>
              <w:ind w:left="470" w:hanging="357"/>
              <w:jc w:val="lowKashida"/>
              <w:rPr>
                <w:sz w:val="18"/>
                <w:szCs w:val="18"/>
                <w:lang w:eastAsia="en-US"/>
              </w:rPr>
            </w:pPr>
            <w:r w:rsidRPr="00665E4B">
              <w:rPr>
                <w:sz w:val="18"/>
                <w:szCs w:val="18"/>
                <w:lang w:eastAsia="en-US"/>
              </w:rPr>
              <w:t>La mise en place de systèmes de surveillance de la sécheresse et d’alerte précoce ;</w:t>
            </w:r>
          </w:p>
          <w:p w14:paraId="23BA5E8B" w14:textId="77777777" w:rsidR="008D4F81" w:rsidRPr="00665E4B" w:rsidRDefault="008D4F81" w:rsidP="008A3661">
            <w:pPr>
              <w:pStyle w:val="Paragraphedeliste"/>
              <w:numPr>
                <w:ilvl w:val="0"/>
                <w:numId w:val="40"/>
              </w:numPr>
              <w:ind w:left="470" w:hanging="357"/>
              <w:jc w:val="lowKashida"/>
              <w:rPr>
                <w:sz w:val="18"/>
                <w:szCs w:val="18"/>
                <w:lang w:eastAsia="en-US"/>
              </w:rPr>
            </w:pPr>
            <w:r w:rsidRPr="00665E4B">
              <w:rPr>
                <w:sz w:val="18"/>
                <w:szCs w:val="18"/>
                <w:lang w:eastAsia="en-US"/>
              </w:rPr>
              <w:t>L’évaluation des risques et vulnérabilités liés à la sécheresse ;</w:t>
            </w:r>
          </w:p>
          <w:p w14:paraId="1153BDC6" w14:textId="390F8504" w:rsidR="008D4F81" w:rsidRPr="00665E4B" w:rsidRDefault="008D4F81" w:rsidP="008A3661">
            <w:pPr>
              <w:pStyle w:val="Paragraphedeliste"/>
              <w:numPr>
                <w:ilvl w:val="0"/>
                <w:numId w:val="40"/>
              </w:numPr>
              <w:ind w:left="470" w:hanging="357"/>
              <w:jc w:val="lowKashida"/>
              <w:rPr>
                <w:sz w:val="18"/>
                <w:szCs w:val="18"/>
                <w:lang w:eastAsia="en-US"/>
              </w:rPr>
            </w:pPr>
            <w:r w:rsidRPr="00665E4B">
              <w:rPr>
                <w:sz w:val="18"/>
                <w:szCs w:val="18"/>
                <w:lang w:eastAsia="en-US"/>
              </w:rPr>
              <w:lastRenderedPageBreak/>
              <w:t>La mise en œuvre de mesures de prévention, d’adaptation et de réponse.</w:t>
            </w:r>
          </w:p>
        </w:tc>
        <w:tc>
          <w:tcPr>
            <w:tcW w:w="1572" w:type="pct"/>
            <w:tcBorders>
              <w:top w:val="single" w:sz="4" w:space="0" w:color="auto"/>
            </w:tcBorders>
          </w:tcPr>
          <w:p w14:paraId="2509E3DA" w14:textId="2A19531F" w:rsidR="008D4F81" w:rsidRPr="00665E4B" w:rsidRDefault="008D4F81" w:rsidP="008A3661">
            <w:pPr>
              <w:pStyle w:val="Paragraphedeliste"/>
              <w:numPr>
                <w:ilvl w:val="0"/>
                <w:numId w:val="22"/>
              </w:numPr>
              <w:spacing w:after="120"/>
              <w:ind w:left="170" w:hanging="170"/>
              <w:jc w:val="lowKashida"/>
              <w:rPr>
                <w:sz w:val="18"/>
                <w:szCs w:val="18"/>
              </w:rPr>
            </w:pPr>
            <w:r w:rsidRPr="00665E4B">
              <w:rPr>
                <w:sz w:val="18"/>
                <w:szCs w:val="18"/>
              </w:rPr>
              <w:lastRenderedPageBreak/>
              <w:t>Renforcement de la surveillance climatique et des systèmes d’alerte précoce face à la sécheresse ;</w:t>
            </w:r>
          </w:p>
          <w:p w14:paraId="0776FB24" w14:textId="327B32A4" w:rsidR="008D4F81" w:rsidRPr="00665E4B" w:rsidRDefault="008D4F81" w:rsidP="008A3661">
            <w:pPr>
              <w:pStyle w:val="Paragraphedeliste"/>
              <w:numPr>
                <w:ilvl w:val="0"/>
                <w:numId w:val="22"/>
              </w:numPr>
              <w:spacing w:after="120"/>
              <w:ind w:left="170" w:hanging="170"/>
              <w:jc w:val="lowKashida"/>
              <w:rPr>
                <w:sz w:val="18"/>
                <w:szCs w:val="18"/>
              </w:rPr>
            </w:pPr>
            <w:r w:rsidRPr="00665E4B">
              <w:rPr>
                <w:sz w:val="18"/>
                <w:szCs w:val="18"/>
              </w:rPr>
              <w:t>Développement d’une gestion intégrée et anticipative du risque de sécheresse ;</w:t>
            </w:r>
          </w:p>
          <w:p w14:paraId="7A8D387D" w14:textId="696282BB" w:rsidR="008D4F81" w:rsidRPr="00665E4B" w:rsidRDefault="008D4F81" w:rsidP="008A3661">
            <w:pPr>
              <w:pStyle w:val="Paragraphedeliste"/>
              <w:numPr>
                <w:ilvl w:val="0"/>
                <w:numId w:val="22"/>
              </w:numPr>
              <w:spacing w:after="120"/>
              <w:ind w:left="170" w:hanging="170"/>
              <w:jc w:val="lowKashida"/>
              <w:rPr>
                <w:sz w:val="18"/>
                <w:szCs w:val="18"/>
              </w:rPr>
            </w:pPr>
            <w:r w:rsidRPr="00665E4B">
              <w:rPr>
                <w:sz w:val="18"/>
                <w:szCs w:val="18"/>
              </w:rPr>
              <w:t>Renforcement de la résilience et des capacités d’adaptation des populations vulnérables ;</w:t>
            </w:r>
          </w:p>
          <w:p w14:paraId="16BD1E41" w14:textId="05DED403" w:rsidR="008D4F81" w:rsidRPr="00665E4B" w:rsidRDefault="008D4F81" w:rsidP="008A3661">
            <w:pPr>
              <w:pStyle w:val="Paragraphedeliste"/>
              <w:numPr>
                <w:ilvl w:val="0"/>
                <w:numId w:val="22"/>
              </w:numPr>
              <w:spacing w:after="120"/>
              <w:ind w:left="170" w:hanging="170"/>
              <w:jc w:val="lowKashida"/>
              <w:rPr>
                <w:sz w:val="18"/>
                <w:szCs w:val="18"/>
              </w:rPr>
            </w:pPr>
            <w:r w:rsidRPr="00665E4B">
              <w:rPr>
                <w:sz w:val="18"/>
                <w:szCs w:val="18"/>
              </w:rPr>
              <w:t>Amélioration des dispositifs institutionnels et de coordination pour la gestion de la sécheresse ;</w:t>
            </w:r>
          </w:p>
          <w:p w14:paraId="54A420D5" w14:textId="50782A6B" w:rsidR="008D4F81" w:rsidRPr="00665E4B" w:rsidRDefault="008D4F81" w:rsidP="008A3661">
            <w:pPr>
              <w:pStyle w:val="Paragraphedeliste"/>
              <w:numPr>
                <w:ilvl w:val="0"/>
                <w:numId w:val="22"/>
              </w:numPr>
              <w:spacing w:after="120"/>
              <w:ind w:left="170" w:hanging="170"/>
              <w:jc w:val="lowKashida"/>
              <w:rPr>
                <w:sz w:val="18"/>
                <w:szCs w:val="18"/>
              </w:rPr>
            </w:pPr>
            <w:r w:rsidRPr="00665E4B">
              <w:rPr>
                <w:sz w:val="18"/>
                <w:szCs w:val="18"/>
              </w:rPr>
              <w:t>Promotion d’une approche participative et sensible au genre dans la gestion de la sécheresse.</w:t>
            </w:r>
          </w:p>
        </w:tc>
        <w:tc>
          <w:tcPr>
            <w:tcW w:w="1250" w:type="pct"/>
            <w:tcBorders>
              <w:top w:val="single" w:sz="4" w:space="0" w:color="auto"/>
            </w:tcBorders>
          </w:tcPr>
          <w:p w14:paraId="378C654B" w14:textId="43195EF6" w:rsidR="008D4F81" w:rsidRPr="00665E4B" w:rsidRDefault="008D4F81" w:rsidP="008D4F81">
            <w:pPr>
              <w:spacing w:after="120"/>
              <w:jc w:val="lowKashida"/>
              <w:rPr>
                <w:sz w:val="18"/>
                <w:szCs w:val="18"/>
              </w:rPr>
            </w:pPr>
            <w:r w:rsidRPr="00665E4B">
              <w:rPr>
                <w:sz w:val="18"/>
                <w:szCs w:val="18"/>
              </w:rPr>
              <w:t>Le PNS-Mali n’identifie pas de cibles quantitatives.</w:t>
            </w:r>
          </w:p>
        </w:tc>
      </w:tr>
    </w:tbl>
    <w:p w14:paraId="43E47AE2" w14:textId="77777777" w:rsidR="006F1066" w:rsidRPr="00754F7D" w:rsidRDefault="006F1066" w:rsidP="006F1066">
      <w:pPr>
        <w:pStyle w:val="NormalWeb"/>
        <w:spacing w:after="0" w:afterAutospacing="0"/>
        <w:jc w:val="both"/>
        <w:rPr>
          <w:rFonts w:ascii="Calibri" w:eastAsia="Calibri" w:hAnsi="Calibri" w:cs="Calibri"/>
        </w:rPr>
      </w:pPr>
      <w:r w:rsidRPr="00754F7D">
        <w:rPr>
          <w:rFonts w:ascii="Calibri" w:eastAsia="Calibri" w:hAnsi="Calibri" w:cs="Calibri"/>
        </w:rPr>
        <w:t>L’examen de cet ensemble de politiques met en lumière un cadre national structuré autour de la surveillance climatique et de la gestion des risques climatiques. Les différentes stratégies analysées s’articulent principalement autour du renforcement des systèmes d’observation climatique et d’alerte précoce, de l’intégration des enjeux climatiques dans les politiques sectorielles et la planification territoriale, ainsi que du renforcement de la résilience des populations et des systèmes vulnérables face aux phénomènes climatiques extrêmes. Plusieurs de ces instruments constituent un point d’appui important pour l’identification des priorités d’adaptation de la CDN 3.0, même si les cibles quantitatives demeurent encore limitées dans les documents examinés.</w:t>
      </w:r>
    </w:p>
    <w:p w14:paraId="48EFC744" w14:textId="60B489BB" w:rsidR="006F1066" w:rsidRPr="006F1066" w:rsidRDefault="006F1066" w:rsidP="006F1066">
      <w:pPr>
        <w:pStyle w:val="NormalWeb"/>
        <w:tabs>
          <w:tab w:val="left" w:pos="6570"/>
        </w:tabs>
        <w:spacing w:before="0" w:beforeAutospacing="0"/>
        <w:jc w:val="both"/>
        <w:rPr>
          <w:rFonts w:ascii="Calibri" w:eastAsia="Calibri" w:hAnsi="Calibri" w:cs="Calibri"/>
        </w:rPr>
      </w:pPr>
      <w:r w:rsidRPr="00754F7D">
        <w:rPr>
          <w:rFonts w:ascii="Calibri" w:eastAsia="Calibri" w:hAnsi="Calibri" w:cs="Calibri"/>
        </w:rPr>
        <w:t>La nouvelle contribution devra ainsi consolider et approfondir les orientations déjà engagées, notamment en matière de surveillance climatique, d’alerte précoce et de gestion des risques de catastrophes, tout en les traduisant en mesures concrètes, quantifiées et suivables dans le cadre du dispositif de suivi de la CDN 3.0.</w:t>
      </w:r>
    </w:p>
    <w:tbl>
      <w:tblPr>
        <w:tblStyle w:val="Grilledutableau"/>
        <w:tblW w:w="0" w:type="auto"/>
        <w:tblLook w:val="04A0" w:firstRow="1" w:lastRow="0" w:firstColumn="1" w:lastColumn="0" w:noHBand="0" w:noVBand="1"/>
      </w:tblPr>
      <w:tblGrid>
        <w:gridCol w:w="13018"/>
      </w:tblGrid>
      <w:tr w:rsidR="006F1066" w14:paraId="0EFE348C" w14:textId="77777777" w:rsidTr="006F1066">
        <w:tc>
          <w:tcPr>
            <w:tcW w:w="13018" w:type="dxa"/>
            <w:shd w:val="clear" w:color="auto" w:fill="DEEAF6" w:themeFill="accent1" w:themeFillTint="33"/>
          </w:tcPr>
          <w:p w14:paraId="599BC2E2" w14:textId="77777777" w:rsidR="006F1066" w:rsidRPr="006F1066" w:rsidRDefault="006F1066" w:rsidP="006F1066">
            <w:pPr>
              <w:spacing w:before="120" w:after="120"/>
            </w:pPr>
            <w:r w:rsidRPr="006F1066">
              <w:t>Sur la base de la revue sectorielle conduite, les éléments suivants devront être intégrés dans la CDN 3.0 :</w:t>
            </w:r>
          </w:p>
          <w:p w14:paraId="479031A4" w14:textId="77777777" w:rsidR="006F1066" w:rsidRPr="006F1066" w:rsidRDefault="006F1066" w:rsidP="008A3661">
            <w:pPr>
              <w:numPr>
                <w:ilvl w:val="0"/>
                <w:numId w:val="33"/>
              </w:numPr>
              <w:spacing w:before="120" w:after="120"/>
            </w:pPr>
            <w:r w:rsidRPr="006F1066">
              <w:rPr>
                <w:b/>
                <w:bCs/>
              </w:rPr>
              <w:t xml:space="preserve">Renforcement des systèmes de surveillance climatique et d'alerte précoce : </w:t>
            </w:r>
            <w:r w:rsidRPr="006F1066">
              <w:t>modernisation du réseau d'observation météorologique et hydrologique, densification des stations, amélioration de la production et de la diffusion de l'information climatique pour anticiper les phénomènes extrêmes (sécheresses, inondations) ;</w:t>
            </w:r>
          </w:p>
          <w:p w14:paraId="01CD3CBE" w14:textId="77777777" w:rsidR="006F1066" w:rsidRPr="006F1066" w:rsidRDefault="006F1066" w:rsidP="008A3661">
            <w:pPr>
              <w:numPr>
                <w:ilvl w:val="0"/>
                <w:numId w:val="33"/>
              </w:numPr>
              <w:spacing w:before="120" w:after="120"/>
            </w:pPr>
            <w:r w:rsidRPr="006F1066">
              <w:rPr>
                <w:b/>
                <w:bCs/>
              </w:rPr>
              <w:t xml:space="preserve">Gestion intégrée et anticipative des risques de catastrophes : </w:t>
            </w:r>
            <w:r w:rsidRPr="006F1066">
              <w:t>consolidation des dispositifs nationaux de prévention et de gestion des risques et catastrophes, en cohérence avec les orientations de la PNCC, de la SNCC et du PNS-Mali ;</w:t>
            </w:r>
          </w:p>
          <w:p w14:paraId="39A00889" w14:textId="77777777" w:rsidR="006F1066" w:rsidRPr="006F1066" w:rsidRDefault="006F1066" w:rsidP="008A3661">
            <w:pPr>
              <w:numPr>
                <w:ilvl w:val="0"/>
                <w:numId w:val="33"/>
              </w:numPr>
              <w:spacing w:before="120" w:after="120"/>
            </w:pPr>
            <w:r w:rsidRPr="006F1066">
              <w:rPr>
                <w:b/>
                <w:bCs/>
              </w:rPr>
              <w:t xml:space="preserve">Intégration des enjeux climatiques dans la planification : </w:t>
            </w:r>
            <w:r w:rsidRPr="006F1066">
              <w:t>intégration des changements climatiques dans les politiques et stratégies sectorielles ainsi que dans la planification du développement aux niveaux national, régional et local ;</w:t>
            </w:r>
          </w:p>
          <w:p w14:paraId="4B743C80" w14:textId="77777777" w:rsidR="006F1066" w:rsidRPr="006F1066" w:rsidRDefault="006F1066" w:rsidP="008A3661">
            <w:pPr>
              <w:numPr>
                <w:ilvl w:val="0"/>
                <w:numId w:val="33"/>
              </w:numPr>
              <w:spacing w:before="120" w:after="120"/>
            </w:pPr>
            <w:r w:rsidRPr="006F1066">
              <w:rPr>
                <w:b/>
                <w:bCs/>
              </w:rPr>
              <w:t xml:space="preserve">Renforcement de la résilience des populations vulnérables : </w:t>
            </w:r>
            <w:r w:rsidRPr="006F1066">
              <w:t>amélioration des capacités d'adaptation des communautés exposées à la sécheresse et aux autres aléas climatiques, avec une attention particulière à l'égalité des sexes et à l'équité du genre ;</w:t>
            </w:r>
          </w:p>
          <w:p w14:paraId="419CB5BB" w14:textId="77777777" w:rsidR="006F1066" w:rsidRDefault="006F1066" w:rsidP="008A3661">
            <w:pPr>
              <w:numPr>
                <w:ilvl w:val="0"/>
                <w:numId w:val="33"/>
              </w:numPr>
              <w:spacing w:before="120" w:after="120"/>
            </w:pPr>
            <w:r w:rsidRPr="006F1066">
              <w:rPr>
                <w:b/>
                <w:bCs/>
              </w:rPr>
              <w:t xml:space="preserve">Renforcement des capacités et de la recherche : </w:t>
            </w:r>
            <w:r w:rsidRPr="006F1066">
              <w:t>développement de la recherche nationale, du transfert de technologies, de la formation et de la sensibilisation des acteurs et du public sur les changements climatiques.</w:t>
            </w:r>
          </w:p>
          <w:p w14:paraId="58780254" w14:textId="79C7AFC5" w:rsidR="006F1066" w:rsidRDefault="006F1066" w:rsidP="001E28E0">
            <w:pPr>
              <w:spacing w:before="120" w:after="120"/>
              <w:ind w:left="720"/>
            </w:pPr>
          </w:p>
        </w:tc>
      </w:tr>
    </w:tbl>
    <w:p w14:paraId="2988C17C" w14:textId="77777777" w:rsidR="005C694D" w:rsidRDefault="005C694D" w:rsidP="00812F26">
      <w:pPr>
        <w:pStyle w:val="Titre3"/>
        <w:numPr>
          <w:ilvl w:val="2"/>
          <w:numId w:val="21"/>
        </w:numPr>
        <w:spacing w:before="240"/>
      </w:pPr>
      <w:bookmarkStart w:id="24" w:name="_Toc234853860"/>
      <w:r>
        <w:lastRenderedPageBreak/>
        <w:t>Déchets</w:t>
      </w:r>
      <w:bookmarkEnd w:id="24"/>
      <w:r>
        <w:t xml:space="preserve"> </w:t>
      </w:r>
    </w:p>
    <w:p w14:paraId="4F59C35F" w14:textId="77777777" w:rsidR="00FF4AC5" w:rsidRDefault="005C694D" w:rsidP="00FF4AC5">
      <w:pPr>
        <w:jc w:val="both"/>
        <w:rPr>
          <w:sz w:val="24"/>
          <w:szCs w:val="24"/>
        </w:rPr>
      </w:pPr>
      <w:r w:rsidRPr="00D15D5D">
        <w:rPr>
          <w:sz w:val="24"/>
          <w:szCs w:val="24"/>
        </w:rPr>
        <w:t>Le secteur des déchets constitue un enjeu important pour la résilience environnementale et sanitaire des populations face aux effets des changements climatiques, notamment dans un contexte marqué par l’urbanisation croissante, les insuffisances des systèmes de collecte et de traitement, ainsi que l’augmentation des risques de pollution et d’inondation. Une mauvaise gestion des déchets solides et liquides peut accentuer la dégradation de l’environnement, la contamination des ressources en eau et la vulnérabilité des populations aux risques sanitaires. Dans cette perspective, plusieurs politiques et stratégies ont été élaborées afin d’améliorer durablement la gestion des déchets et de renforcer la protection de l’environnement. Les principales orientations issues de ces documents stratégiques ainsi que les éventuelles cibles quantitatives associées sont présentées dans le tableau ci-après.</w:t>
      </w:r>
    </w:p>
    <w:p w14:paraId="642B9B1D" w14:textId="28C1A08D" w:rsidR="001E28E0" w:rsidRDefault="001E28E0" w:rsidP="001E28E0">
      <w:pPr>
        <w:pStyle w:val="Lgende"/>
        <w:keepNext/>
      </w:pPr>
      <w:bookmarkStart w:id="25" w:name="_Toc234853933"/>
      <w:r>
        <w:t xml:space="preserve">Tableau </w:t>
      </w:r>
      <w:r>
        <w:fldChar w:fldCharType="begin"/>
      </w:r>
      <w:r>
        <w:instrText xml:space="preserve"> SEQ Tableau \* ARABIC </w:instrText>
      </w:r>
      <w:r>
        <w:fldChar w:fldCharType="separate"/>
      </w:r>
      <w:r w:rsidR="0018772E">
        <w:rPr>
          <w:noProof/>
        </w:rPr>
        <w:t>9</w:t>
      </w:r>
      <w:r>
        <w:fldChar w:fldCharType="end"/>
      </w:r>
      <w:r>
        <w:t xml:space="preserve"> : </w:t>
      </w:r>
      <w:r w:rsidRPr="001E28E0">
        <w:t>Politiques et stratégies du secteur</w:t>
      </w:r>
      <w:r>
        <w:t xml:space="preserve"> d</w:t>
      </w:r>
      <w:r w:rsidRPr="001E28E0">
        <w:t>échets  au Mali en lien avec l’adaptation</w:t>
      </w:r>
      <w:bookmarkEnd w:id="25"/>
    </w:p>
    <w:tbl>
      <w:tblPr>
        <w:tblStyle w:val="Grilledutablea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119"/>
        <w:gridCol w:w="4090"/>
        <w:gridCol w:w="3252"/>
      </w:tblGrid>
      <w:tr w:rsidR="00881385" w:rsidRPr="005D3733" w14:paraId="128ECD7D" w14:textId="77777777" w:rsidTr="001E28E0">
        <w:trPr>
          <w:trHeight w:val="456"/>
          <w:tblHeader/>
        </w:trPr>
        <w:tc>
          <w:tcPr>
            <w:tcW w:w="97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093B4CC" w14:textId="77777777" w:rsidR="00881385" w:rsidRPr="001E28E0" w:rsidRDefault="00881385">
            <w:pPr>
              <w:jc w:val="center"/>
              <w:rPr>
                <w:b/>
                <w:bCs/>
                <w:color w:val="FFFFFF" w:themeColor="background1"/>
                <w:sz w:val="18"/>
                <w:szCs w:val="18"/>
                <w:lang w:eastAsia="en-US"/>
              </w:rPr>
            </w:pPr>
            <w:r w:rsidRPr="001E28E0">
              <w:rPr>
                <w:b/>
                <w:bCs/>
                <w:color w:val="FFFFFF" w:themeColor="background1"/>
                <w:sz w:val="18"/>
                <w:szCs w:val="18"/>
                <w:lang w:eastAsia="en-US"/>
              </w:rPr>
              <w:t>Politique / stratégie</w:t>
            </w:r>
          </w:p>
        </w:tc>
        <w:tc>
          <w:tcPr>
            <w:tcW w:w="119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1D8BD3B2" w14:textId="77777777" w:rsidR="00881385" w:rsidRPr="001E28E0" w:rsidRDefault="00881385">
            <w:pPr>
              <w:jc w:val="center"/>
              <w:rPr>
                <w:b/>
                <w:bCs/>
                <w:color w:val="FFFFFF" w:themeColor="background1"/>
                <w:sz w:val="18"/>
                <w:szCs w:val="18"/>
                <w:lang w:eastAsia="en-US"/>
              </w:rPr>
            </w:pPr>
            <w:r w:rsidRPr="001E28E0">
              <w:rPr>
                <w:b/>
                <w:bCs/>
                <w:color w:val="FFFFFF" w:themeColor="background1"/>
                <w:sz w:val="18"/>
                <w:szCs w:val="18"/>
                <w:lang w:eastAsia="en-US"/>
              </w:rPr>
              <w:t>Description</w:t>
            </w:r>
          </w:p>
        </w:tc>
        <w:tc>
          <w:tcPr>
            <w:tcW w:w="15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1845287C" w14:textId="77777777" w:rsidR="00881385" w:rsidRPr="001E28E0" w:rsidRDefault="00881385">
            <w:pPr>
              <w:jc w:val="center"/>
              <w:rPr>
                <w:b/>
                <w:bCs/>
                <w:color w:val="FFFFFF" w:themeColor="background1"/>
                <w:sz w:val="18"/>
                <w:szCs w:val="18"/>
                <w:lang w:eastAsia="en-US"/>
              </w:rPr>
            </w:pPr>
            <w:r w:rsidRPr="001E28E0">
              <w:rPr>
                <w:b/>
                <w:bCs/>
                <w:color w:val="FFFFFF" w:themeColor="background1"/>
                <w:sz w:val="18"/>
                <w:szCs w:val="18"/>
                <w:lang w:eastAsia="en-US"/>
              </w:rPr>
              <w:t>Principales orientations climatiques</w:t>
            </w:r>
          </w:p>
        </w:tc>
        <w:tc>
          <w:tcPr>
            <w:tcW w:w="12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302EE834" w14:textId="77777777" w:rsidR="00881385" w:rsidRPr="001E28E0" w:rsidRDefault="00881385">
            <w:pPr>
              <w:jc w:val="center"/>
              <w:rPr>
                <w:b/>
                <w:bCs/>
                <w:color w:val="FFFFFF" w:themeColor="background1"/>
                <w:sz w:val="18"/>
                <w:szCs w:val="18"/>
                <w:lang w:eastAsia="en-US"/>
              </w:rPr>
            </w:pPr>
            <w:r w:rsidRPr="001E28E0">
              <w:rPr>
                <w:b/>
                <w:bCs/>
                <w:color w:val="FFFFFF" w:themeColor="background1"/>
                <w:sz w:val="18"/>
                <w:szCs w:val="18"/>
                <w:lang w:eastAsia="en-US"/>
              </w:rPr>
              <w:t>Cibles quantitatives</w:t>
            </w:r>
          </w:p>
        </w:tc>
      </w:tr>
      <w:tr w:rsidR="00881385" w:rsidRPr="005D3733" w14:paraId="3F7FDA8B" w14:textId="77777777">
        <w:tc>
          <w:tcPr>
            <w:tcW w:w="979" w:type="pct"/>
            <w:tcBorders>
              <w:top w:val="single" w:sz="4" w:space="0" w:color="FFFFFF" w:themeColor="background1"/>
              <w:bottom w:val="single" w:sz="4" w:space="0" w:color="auto"/>
            </w:tcBorders>
          </w:tcPr>
          <w:p w14:paraId="0B6DE98A" w14:textId="1CB85064" w:rsidR="00881385" w:rsidRPr="001E28E0" w:rsidRDefault="00B04020" w:rsidP="00B04020">
            <w:pPr>
              <w:jc w:val="lowKashida"/>
              <w:rPr>
                <w:b/>
                <w:bCs/>
                <w:sz w:val="18"/>
                <w:szCs w:val="18"/>
                <w:lang w:eastAsia="en-US"/>
              </w:rPr>
            </w:pPr>
            <w:r w:rsidRPr="001E28E0">
              <w:rPr>
                <w:b/>
                <w:bCs/>
                <w:sz w:val="18"/>
                <w:szCs w:val="18"/>
                <w:lang w:eastAsia="en-US"/>
              </w:rPr>
              <w:t>Politique Nationale d’Assainissement (PNA)</w:t>
            </w:r>
          </w:p>
          <w:p w14:paraId="12A4FE4B" w14:textId="77777777" w:rsidR="00881385" w:rsidRPr="001E28E0" w:rsidRDefault="00881385" w:rsidP="00B04020">
            <w:pPr>
              <w:jc w:val="lowKashida"/>
              <w:rPr>
                <w:i/>
                <w:iCs/>
                <w:color w:val="1F3864" w:themeColor="accent5" w:themeShade="80"/>
                <w:sz w:val="18"/>
                <w:szCs w:val="18"/>
                <w:lang w:eastAsia="en-US"/>
              </w:rPr>
            </w:pPr>
            <w:r w:rsidRPr="001E28E0">
              <w:rPr>
                <w:i/>
                <w:iCs/>
                <w:color w:val="1F3864" w:themeColor="accent5" w:themeShade="80"/>
                <w:sz w:val="18"/>
                <w:szCs w:val="18"/>
                <w:lang w:eastAsia="en-US"/>
              </w:rPr>
              <w:t>Ministère de l’Environnement et de l’assainissement, 2011</w:t>
            </w:r>
          </w:p>
        </w:tc>
        <w:tc>
          <w:tcPr>
            <w:tcW w:w="1199" w:type="pct"/>
            <w:tcBorders>
              <w:top w:val="single" w:sz="4" w:space="0" w:color="FFFFFF" w:themeColor="background1"/>
              <w:bottom w:val="single" w:sz="4" w:space="0" w:color="auto"/>
            </w:tcBorders>
          </w:tcPr>
          <w:p w14:paraId="543BCEA5" w14:textId="77777777" w:rsidR="008034FD" w:rsidRDefault="0086609F">
            <w:pPr>
              <w:spacing w:after="120"/>
              <w:jc w:val="lowKashida"/>
              <w:rPr>
                <w:sz w:val="18"/>
                <w:szCs w:val="18"/>
                <w:lang w:eastAsia="en-US"/>
              </w:rPr>
            </w:pPr>
            <w:r w:rsidRPr="001E28E0">
              <w:rPr>
                <w:sz w:val="18"/>
                <w:szCs w:val="18"/>
                <w:lang w:eastAsia="en-US"/>
              </w:rPr>
              <w:t xml:space="preserve">La PNA constitue le cadre de référence du Mali en matière d’assainissement. Elle couvre les principaux domaines du secteur, notamment la gestion des déchets solides, des eaux usées et excréta, des déchets spéciaux, des eaux pluviales ainsi que l’éducation à l’hygiène. </w:t>
            </w:r>
          </w:p>
          <w:p w14:paraId="3CE285E9" w14:textId="5937FEEE" w:rsidR="008034FD" w:rsidRDefault="0086609F">
            <w:pPr>
              <w:spacing w:after="120"/>
              <w:jc w:val="lowKashida"/>
              <w:rPr>
                <w:sz w:val="18"/>
                <w:szCs w:val="18"/>
                <w:lang w:eastAsia="en-US"/>
              </w:rPr>
            </w:pPr>
            <w:r w:rsidRPr="001E28E0">
              <w:rPr>
                <w:sz w:val="18"/>
                <w:szCs w:val="18"/>
                <w:lang w:eastAsia="en-US"/>
              </w:rPr>
              <w:t xml:space="preserve">La PNA vise à améliorer durablement l’accès des populations aux services d’assainissement au niveau local, à travers une meilleure structuration du secteur, l’harmonisation des interventions des différents acteurs publics et privés, ainsi que le renforcement des financements consacrés à l’assainissement. </w:t>
            </w:r>
          </w:p>
          <w:p w14:paraId="5EBC4EB3" w14:textId="096683FF" w:rsidR="00881385" w:rsidRPr="001E28E0" w:rsidRDefault="0086609F">
            <w:pPr>
              <w:spacing w:after="120"/>
              <w:jc w:val="lowKashida"/>
              <w:rPr>
                <w:sz w:val="18"/>
                <w:szCs w:val="18"/>
                <w:lang w:eastAsia="en-US"/>
              </w:rPr>
            </w:pPr>
            <w:r w:rsidRPr="001E28E0">
              <w:rPr>
                <w:sz w:val="18"/>
                <w:szCs w:val="18"/>
                <w:lang w:eastAsia="en-US"/>
              </w:rPr>
              <w:t xml:space="preserve">Elle contribue également à la réduction des risques sanitaires et environnementaux liés à la mauvaise gestion des déchets et des eaux pluviales, tout en participant indirectement à la lutte contre la pauvreté, à l’amélioration de la santé </w:t>
            </w:r>
            <w:r w:rsidRPr="001E28E0">
              <w:rPr>
                <w:sz w:val="18"/>
                <w:szCs w:val="18"/>
                <w:lang w:eastAsia="en-US"/>
              </w:rPr>
              <w:lastRenderedPageBreak/>
              <w:t>publique et à la promotion de l’égalité des sexes.</w:t>
            </w:r>
          </w:p>
        </w:tc>
        <w:tc>
          <w:tcPr>
            <w:tcW w:w="1572" w:type="pct"/>
            <w:tcBorders>
              <w:top w:val="single" w:sz="4" w:space="0" w:color="FFFFFF" w:themeColor="background1"/>
              <w:bottom w:val="single" w:sz="4" w:space="0" w:color="auto"/>
            </w:tcBorders>
          </w:tcPr>
          <w:p w14:paraId="06E5D09C" w14:textId="30C3D4C0" w:rsidR="00AA18F7" w:rsidRPr="001E28E0" w:rsidRDefault="00AA18F7" w:rsidP="008A3661">
            <w:pPr>
              <w:pStyle w:val="Paragraphedeliste"/>
              <w:numPr>
                <w:ilvl w:val="0"/>
                <w:numId w:val="22"/>
              </w:numPr>
              <w:spacing w:after="120"/>
              <w:ind w:left="170" w:hanging="170"/>
              <w:jc w:val="lowKashida"/>
              <w:rPr>
                <w:sz w:val="18"/>
                <w:szCs w:val="18"/>
              </w:rPr>
            </w:pPr>
            <w:r w:rsidRPr="001E28E0">
              <w:rPr>
                <w:sz w:val="18"/>
                <w:szCs w:val="18"/>
              </w:rPr>
              <w:lastRenderedPageBreak/>
              <w:t>Gestion des eaux pluviales et amélioration des dispositifs d’évacuation</w:t>
            </w:r>
            <w:r w:rsidR="00B17E46" w:rsidRPr="001E28E0">
              <w:rPr>
                <w:sz w:val="18"/>
                <w:szCs w:val="18"/>
              </w:rPr>
              <w:t> </w:t>
            </w:r>
            <w:r w:rsidRPr="001E28E0">
              <w:rPr>
                <w:sz w:val="18"/>
                <w:szCs w:val="18"/>
              </w:rPr>
              <w:t xml:space="preserve">; </w:t>
            </w:r>
          </w:p>
          <w:p w14:paraId="3980AC8A" w14:textId="77777777" w:rsidR="00AA18F7" w:rsidRPr="001E28E0" w:rsidRDefault="00AA18F7" w:rsidP="008A3661">
            <w:pPr>
              <w:pStyle w:val="Paragraphedeliste"/>
              <w:numPr>
                <w:ilvl w:val="0"/>
                <w:numId w:val="22"/>
              </w:numPr>
              <w:spacing w:after="120"/>
              <w:ind w:left="170" w:hanging="170"/>
              <w:jc w:val="lowKashida"/>
              <w:rPr>
                <w:sz w:val="18"/>
                <w:szCs w:val="18"/>
              </w:rPr>
            </w:pPr>
            <w:r w:rsidRPr="001E28E0">
              <w:rPr>
                <w:sz w:val="18"/>
                <w:szCs w:val="18"/>
              </w:rPr>
              <w:t xml:space="preserve">Prévention des risques environnementaux et sanitaires liés à la mauvaise gestion des déchets et des eaux usées ; </w:t>
            </w:r>
          </w:p>
          <w:p w14:paraId="186808FF" w14:textId="77777777" w:rsidR="00AA18F7" w:rsidRPr="001E28E0" w:rsidRDefault="00AA18F7" w:rsidP="008A3661">
            <w:pPr>
              <w:pStyle w:val="Paragraphedeliste"/>
              <w:numPr>
                <w:ilvl w:val="0"/>
                <w:numId w:val="22"/>
              </w:numPr>
              <w:spacing w:after="120"/>
              <w:ind w:left="170" w:hanging="170"/>
              <w:jc w:val="lowKashida"/>
              <w:rPr>
                <w:sz w:val="18"/>
                <w:szCs w:val="18"/>
              </w:rPr>
            </w:pPr>
            <w:r w:rsidRPr="001E28E0">
              <w:rPr>
                <w:sz w:val="18"/>
                <w:szCs w:val="18"/>
              </w:rPr>
              <w:t xml:space="preserve">Protection des ressources en eau et de l’environnement ; </w:t>
            </w:r>
          </w:p>
          <w:p w14:paraId="6A2DD076" w14:textId="77777777" w:rsidR="00AA18F7" w:rsidRPr="001E28E0" w:rsidRDefault="00AA18F7" w:rsidP="008A3661">
            <w:pPr>
              <w:pStyle w:val="Paragraphedeliste"/>
              <w:numPr>
                <w:ilvl w:val="0"/>
                <w:numId w:val="22"/>
              </w:numPr>
              <w:spacing w:after="120"/>
              <w:ind w:left="170" w:hanging="170"/>
              <w:jc w:val="lowKashida"/>
              <w:rPr>
                <w:sz w:val="18"/>
                <w:szCs w:val="18"/>
              </w:rPr>
            </w:pPr>
            <w:r w:rsidRPr="001E28E0">
              <w:rPr>
                <w:sz w:val="18"/>
                <w:szCs w:val="18"/>
              </w:rPr>
              <w:t xml:space="preserve">Promotion de solutions d’assainissement durables, adaptées et financièrement soutenables ; </w:t>
            </w:r>
          </w:p>
          <w:p w14:paraId="7AA3370D" w14:textId="77777777" w:rsidR="00AA18F7" w:rsidRPr="001E28E0" w:rsidRDefault="00AA18F7" w:rsidP="008A3661">
            <w:pPr>
              <w:pStyle w:val="Paragraphedeliste"/>
              <w:numPr>
                <w:ilvl w:val="0"/>
                <w:numId w:val="22"/>
              </w:numPr>
              <w:spacing w:after="120"/>
              <w:ind w:left="170" w:hanging="170"/>
              <w:jc w:val="lowKashida"/>
              <w:rPr>
                <w:sz w:val="18"/>
                <w:szCs w:val="18"/>
              </w:rPr>
            </w:pPr>
            <w:r w:rsidRPr="001E28E0">
              <w:rPr>
                <w:sz w:val="18"/>
                <w:szCs w:val="18"/>
              </w:rPr>
              <w:t xml:space="preserve">Renforcement de la durabilité et de l’entretien des infrastructures d’assainissement ; </w:t>
            </w:r>
          </w:p>
          <w:p w14:paraId="6283D50C" w14:textId="77777777" w:rsidR="00AA18F7" w:rsidRPr="001E28E0" w:rsidRDefault="00AA18F7" w:rsidP="008A3661">
            <w:pPr>
              <w:pStyle w:val="Paragraphedeliste"/>
              <w:numPr>
                <w:ilvl w:val="0"/>
                <w:numId w:val="22"/>
              </w:numPr>
              <w:spacing w:after="120"/>
              <w:ind w:left="170" w:hanging="170"/>
              <w:jc w:val="lowKashida"/>
              <w:rPr>
                <w:sz w:val="18"/>
                <w:szCs w:val="18"/>
              </w:rPr>
            </w:pPr>
            <w:r w:rsidRPr="001E28E0">
              <w:rPr>
                <w:sz w:val="18"/>
                <w:szCs w:val="18"/>
              </w:rPr>
              <w:t xml:space="preserve">Intégration de l’assainissement dans les projets d’alimentation en eau potable ; </w:t>
            </w:r>
          </w:p>
          <w:p w14:paraId="769119C7" w14:textId="77777777" w:rsidR="00AA18F7" w:rsidRPr="001E28E0" w:rsidRDefault="00AA18F7" w:rsidP="008A3661">
            <w:pPr>
              <w:pStyle w:val="Paragraphedeliste"/>
              <w:numPr>
                <w:ilvl w:val="0"/>
                <w:numId w:val="22"/>
              </w:numPr>
              <w:spacing w:after="120"/>
              <w:ind w:left="170" w:hanging="170"/>
              <w:jc w:val="lowKashida"/>
              <w:rPr>
                <w:sz w:val="18"/>
                <w:szCs w:val="18"/>
              </w:rPr>
            </w:pPr>
            <w:r w:rsidRPr="001E28E0">
              <w:rPr>
                <w:sz w:val="18"/>
                <w:szCs w:val="18"/>
              </w:rPr>
              <w:t xml:space="preserve">Réduction des inégalités territoriales dans l’accès aux services d’assainissement ; </w:t>
            </w:r>
          </w:p>
          <w:p w14:paraId="3796E121" w14:textId="77777777" w:rsidR="00AA18F7" w:rsidRPr="001E28E0" w:rsidRDefault="00AA18F7" w:rsidP="008A3661">
            <w:pPr>
              <w:pStyle w:val="Paragraphedeliste"/>
              <w:numPr>
                <w:ilvl w:val="0"/>
                <w:numId w:val="22"/>
              </w:numPr>
              <w:spacing w:after="120"/>
              <w:ind w:left="170" w:hanging="170"/>
              <w:jc w:val="lowKashida"/>
              <w:rPr>
                <w:sz w:val="18"/>
                <w:szCs w:val="18"/>
              </w:rPr>
            </w:pPr>
            <w:r w:rsidRPr="001E28E0">
              <w:rPr>
                <w:sz w:val="18"/>
                <w:szCs w:val="18"/>
              </w:rPr>
              <w:t xml:space="preserve">Renforcement de l’éducation à l’hygiène et de la sensibilisation ; </w:t>
            </w:r>
          </w:p>
          <w:p w14:paraId="0F49108D" w14:textId="685EA065" w:rsidR="00881385" w:rsidRPr="001E28E0" w:rsidRDefault="00AA18F7" w:rsidP="008A3661">
            <w:pPr>
              <w:pStyle w:val="Paragraphedeliste"/>
              <w:numPr>
                <w:ilvl w:val="0"/>
                <w:numId w:val="22"/>
              </w:numPr>
              <w:spacing w:after="120"/>
              <w:ind w:left="170" w:hanging="170"/>
              <w:jc w:val="lowKashida"/>
              <w:rPr>
                <w:sz w:val="18"/>
                <w:szCs w:val="18"/>
              </w:rPr>
            </w:pPr>
            <w:r w:rsidRPr="001E28E0">
              <w:rPr>
                <w:sz w:val="18"/>
                <w:szCs w:val="18"/>
              </w:rPr>
              <w:t>Renforcement des capacités des collectivités territoriales et des acteurs du secteur ; Renforcement de la coordination et du suivi-évaluation du secteur de l’assainissement</w:t>
            </w:r>
            <w:r w:rsidR="00881385" w:rsidRPr="001E28E0">
              <w:rPr>
                <w:sz w:val="18"/>
                <w:szCs w:val="18"/>
              </w:rPr>
              <w:t>.</w:t>
            </w:r>
          </w:p>
          <w:p w14:paraId="010CA082" w14:textId="77777777" w:rsidR="00881385" w:rsidRPr="001E28E0" w:rsidRDefault="00881385" w:rsidP="00AA18F7">
            <w:pPr>
              <w:spacing w:after="120"/>
              <w:ind w:left="170" w:hanging="170"/>
              <w:jc w:val="lowKashida"/>
              <w:rPr>
                <w:sz w:val="18"/>
                <w:szCs w:val="18"/>
              </w:rPr>
            </w:pPr>
          </w:p>
        </w:tc>
        <w:tc>
          <w:tcPr>
            <w:tcW w:w="1250" w:type="pct"/>
            <w:tcBorders>
              <w:top w:val="single" w:sz="4" w:space="0" w:color="FFFFFF" w:themeColor="background1"/>
              <w:bottom w:val="single" w:sz="4" w:space="0" w:color="auto"/>
            </w:tcBorders>
          </w:tcPr>
          <w:p w14:paraId="2F87655E" w14:textId="77777777" w:rsidR="008F613A" w:rsidRPr="001E28E0" w:rsidRDefault="008F613A" w:rsidP="008A3661">
            <w:pPr>
              <w:pStyle w:val="Paragraphedeliste"/>
              <w:numPr>
                <w:ilvl w:val="0"/>
                <w:numId w:val="22"/>
              </w:numPr>
              <w:spacing w:after="120"/>
              <w:ind w:left="170" w:hanging="170"/>
              <w:jc w:val="lowKashida"/>
              <w:rPr>
                <w:sz w:val="18"/>
                <w:szCs w:val="18"/>
              </w:rPr>
            </w:pPr>
            <w:r w:rsidRPr="001E28E0">
              <w:rPr>
                <w:sz w:val="18"/>
                <w:szCs w:val="18"/>
              </w:rPr>
              <w:t>Accès des ménages à un service d’assainissement liquide adéquat : 20 % en 2006, 50 % en 2015 et 80 % en 2025 ;</w:t>
            </w:r>
          </w:p>
          <w:p w14:paraId="784883FD" w14:textId="77777777" w:rsidR="008F613A" w:rsidRPr="001E28E0" w:rsidRDefault="008F613A" w:rsidP="008A3661">
            <w:pPr>
              <w:pStyle w:val="Paragraphedeliste"/>
              <w:numPr>
                <w:ilvl w:val="0"/>
                <w:numId w:val="22"/>
              </w:numPr>
              <w:spacing w:after="120"/>
              <w:ind w:left="170" w:hanging="170"/>
              <w:jc w:val="lowKashida"/>
              <w:rPr>
                <w:sz w:val="18"/>
                <w:szCs w:val="18"/>
              </w:rPr>
            </w:pPr>
            <w:r w:rsidRPr="001E28E0">
              <w:rPr>
                <w:sz w:val="18"/>
                <w:szCs w:val="18"/>
              </w:rPr>
              <w:t>Accès à l’assainissement liquide par zone : milieu rural 8 % en 2006, 30 % en 2015, 50 % en 2025 ; milieu semi-urbain 15 %, 50 %, 80 % ; milieu urbain 30 %, 60 %, 90 % ;</w:t>
            </w:r>
          </w:p>
          <w:p w14:paraId="10FC6DA2" w14:textId="77777777" w:rsidR="008F613A" w:rsidRPr="001E28E0" w:rsidRDefault="008F613A" w:rsidP="008A3661">
            <w:pPr>
              <w:pStyle w:val="Paragraphedeliste"/>
              <w:numPr>
                <w:ilvl w:val="0"/>
                <w:numId w:val="22"/>
              </w:numPr>
              <w:spacing w:after="120"/>
              <w:ind w:left="170" w:hanging="170"/>
              <w:jc w:val="lowKashida"/>
              <w:rPr>
                <w:sz w:val="18"/>
                <w:szCs w:val="18"/>
              </w:rPr>
            </w:pPr>
            <w:r w:rsidRPr="001E28E0">
              <w:rPr>
                <w:sz w:val="18"/>
                <w:szCs w:val="18"/>
              </w:rPr>
              <w:t>Équipement des lieux publics : 50 % au plus tard en 2015, généralisation avant 2025 ;</w:t>
            </w:r>
          </w:p>
          <w:p w14:paraId="3F06A8E8" w14:textId="4B127E34" w:rsidR="008F613A" w:rsidRPr="001E28E0" w:rsidRDefault="008F613A" w:rsidP="008A3661">
            <w:pPr>
              <w:pStyle w:val="Paragraphedeliste"/>
              <w:numPr>
                <w:ilvl w:val="0"/>
                <w:numId w:val="22"/>
              </w:numPr>
              <w:spacing w:after="120"/>
              <w:ind w:left="170" w:hanging="170"/>
              <w:jc w:val="lowKashida"/>
              <w:rPr>
                <w:sz w:val="18"/>
                <w:szCs w:val="18"/>
              </w:rPr>
            </w:pPr>
            <w:r w:rsidRPr="001E28E0">
              <w:rPr>
                <w:sz w:val="18"/>
                <w:szCs w:val="18"/>
              </w:rPr>
              <w:t>Collecte des ordures ménagères</w:t>
            </w:r>
            <w:r w:rsidR="0018610C" w:rsidRPr="001E28E0">
              <w:rPr>
                <w:sz w:val="18"/>
                <w:szCs w:val="18"/>
              </w:rPr>
              <w:t> :</w:t>
            </w:r>
            <w:r w:rsidRPr="001E28E0">
              <w:rPr>
                <w:sz w:val="18"/>
                <w:szCs w:val="18"/>
              </w:rPr>
              <w:t xml:space="preserve"> 80 % des ménages des centres urbains et 50 % des ménages des centres semi-urbains avant 2015 ;</w:t>
            </w:r>
          </w:p>
          <w:p w14:paraId="7D8AA9F0" w14:textId="77777777" w:rsidR="008F613A" w:rsidRPr="001E28E0" w:rsidRDefault="008F613A" w:rsidP="008A3661">
            <w:pPr>
              <w:pStyle w:val="Paragraphedeliste"/>
              <w:numPr>
                <w:ilvl w:val="0"/>
                <w:numId w:val="22"/>
              </w:numPr>
              <w:spacing w:after="120"/>
              <w:ind w:left="170" w:hanging="170"/>
              <w:jc w:val="lowKashida"/>
              <w:rPr>
                <w:sz w:val="18"/>
                <w:szCs w:val="18"/>
              </w:rPr>
            </w:pPr>
            <w:r w:rsidRPr="001E28E0">
              <w:rPr>
                <w:sz w:val="18"/>
                <w:szCs w:val="18"/>
              </w:rPr>
              <w:t>Dépôts et traitement des déchets solides : sites aménagés dans 50 % des villes de plus de 50 000 habitants avant 2015, puis 100 % avant 2025 ;</w:t>
            </w:r>
          </w:p>
          <w:p w14:paraId="4BA65E56" w14:textId="57B21EB5" w:rsidR="008F613A" w:rsidRPr="001E28E0" w:rsidRDefault="008F613A" w:rsidP="008A3661">
            <w:pPr>
              <w:pStyle w:val="Paragraphedeliste"/>
              <w:numPr>
                <w:ilvl w:val="0"/>
                <w:numId w:val="22"/>
              </w:numPr>
              <w:spacing w:after="120"/>
              <w:ind w:left="170" w:hanging="170"/>
              <w:jc w:val="lowKashida"/>
              <w:rPr>
                <w:sz w:val="18"/>
                <w:szCs w:val="18"/>
              </w:rPr>
            </w:pPr>
            <w:r w:rsidRPr="001E28E0">
              <w:rPr>
                <w:sz w:val="18"/>
                <w:szCs w:val="18"/>
              </w:rPr>
              <w:t>Gestion des eaux pluviales : 100</w:t>
            </w:r>
            <w:r w:rsidR="0018610C" w:rsidRPr="001E28E0">
              <w:rPr>
                <w:sz w:val="18"/>
                <w:szCs w:val="18"/>
              </w:rPr>
              <w:t> </w:t>
            </w:r>
            <w:r w:rsidRPr="001E28E0">
              <w:rPr>
                <w:sz w:val="18"/>
                <w:szCs w:val="18"/>
              </w:rPr>
              <w:t>% des villes de plus de 50</w:t>
            </w:r>
            <w:r w:rsidR="0018610C" w:rsidRPr="001E28E0">
              <w:rPr>
                <w:sz w:val="18"/>
                <w:szCs w:val="18"/>
              </w:rPr>
              <w:t> </w:t>
            </w:r>
            <w:r w:rsidRPr="001E28E0">
              <w:rPr>
                <w:sz w:val="18"/>
                <w:szCs w:val="18"/>
              </w:rPr>
              <w:t>000 habitants avec un PSA incluant un volet eaux pluviales avant 2010 ;</w:t>
            </w:r>
          </w:p>
          <w:p w14:paraId="487DF6B6" w14:textId="77777777" w:rsidR="008F613A" w:rsidRPr="001E28E0" w:rsidRDefault="008F613A" w:rsidP="008A3661">
            <w:pPr>
              <w:pStyle w:val="Paragraphedeliste"/>
              <w:numPr>
                <w:ilvl w:val="0"/>
                <w:numId w:val="22"/>
              </w:numPr>
              <w:spacing w:after="120"/>
              <w:ind w:left="170" w:hanging="170"/>
              <w:jc w:val="lowKashida"/>
              <w:rPr>
                <w:sz w:val="18"/>
                <w:szCs w:val="18"/>
              </w:rPr>
            </w:pPr>
            <w:r w:rsidRPr="001E28E0">
              <w:rPr>
                <w:sz w:val="18"/>
                <w:szCs w:val="18"/>
              </w:rPr>
              <w:lastRenderedPageBreak/>
              <w:t>Campagnes IEC : 100 000 ménages touchés par an ;</w:t>
            </w:r>
          </w:p>
          <w:p w14:paraId="5C763FF1" w14:textId="26F480FE" w:rsidR="00881385" w:rsidRPr="001E28E0" w:rsidRDefault="008F613A" w:rsidP="008A3661">
            <w:pPr>
              <w:pStyle w:val="Paragraphedeliste"/>
              <w:numPr>
                <w:ilvl w:val="0"/>
                <w:numId w:val="22"/>
              </w:numPr>
              <w:spacing w:after="120"/>
              <w:ind w:left="170" w:hanging="170"/>
              <w:jc w:val="lowKashida"/>
              <w:rPr>
                <w:sz w:val="18"/>
                <w:szCs w:val="18"/>
              </w:rPr>
            </w:pPr>
            <w:r w:rsidRPr="001E28E0">
              <w:rPr>
                <w:sz w:val="18"/>
                <w:szCs w:val="18"/>
              </w:rPr>
              <w:t>Projets d’eau potable intégrant assainissement et hygiène : 75</w:t>
            </w:r>
            <w:r w:rsidR="0018610C" w:rsidRPr="001E28E0">
              <w:rPr>
                <w:sz w:val="18"/>
                <w:szCs w:val="18"/>
              </w:rPr>
              <w:t> </w:t>
            </w:r>
            <w:r w:rsidRPr="001E28E0">
              <w:rPr>
                <w:sz w:val="18"/>
                <w:szCs w:val="18"/>
              </w:rPr>
              <w:t>% en 2010 et 100 % en 2015.</w:t>
            </w:r>
          </w:p>
        </w:tc>
      </w:tr>
      <w:tr w:rsidR="00881385" w:rsidRPr="005D3733" w14:paraId="71B02A5E" w14:textId="77777777">
        <w:tc>
          <w:tcPr>
            <w:tcW w:w="979" w:type="pct"/>
            <w:tcBorders>
              <w:top w:val="single" w:sz="4" w:space="0" w:color="auto"/>
              <w:bottom w:val="single" w:sz="4" w:space="0" w:color="auto"/>
            </w:tcBorders>
          </w:tcPr>
          <w:p w14:paraId="37EDC7CC" w14:textId="3816A86A" w:rsidR="00702EAF" w:rsidRPr="001E28E0" w:rsidRDefault="00702EAF">
            <w:pPr>
              <w:jc w:val="both"/>
              <w:rPr>
                <w:b/>
                <w:bCs/>
                <w:sz w:val="18"/>
                <w:szCs w:val="18"/>
                <w:lang w:eastAsia="en-US"/>
              </w:rPr>
            </w:pPr>
            <w:r w:rsidRPr="001E28E0">
              <w:rPr>
                <w:b/>
                <w:bCs/>
                <w:sz w:val="18"/>
                <w:szCs w:val="18"/>
                <w:lang w:eastAsia="en-US"/>
              </w:rPr>
              <w:lastRenderedPageBreak/>
              <w:t>Politique Nationale de Protection de l'Environnement (PNPE)</w:t>
            </w:r>
          </w:p>
          <w:p w14:paraId="4CF17419" w14:textId="2D657D23" w:rsidR="00881385" w:rsidRPr="001E28E0" w:rsidRDefault="000C2E50">
            <w:pPr>
              <w:jc w:val="both"/>
              <w:rPr>
                <w:b/>
                <w:bCs/>
                <w:sz w:val="18"/>
                <w:szCs w:val="18"/>
                <w:lang w:eastAsia="en-US"/>
              </w:rPr>
            </w:pPr>
            <w:r w:rsidRPr="001E28E0">
              <w:rPr>
                <w:i/>
                <w:iCs/>
                <w:color w:val="1F3864" w:themeColor="accent5" w:themeShade="80"/>
                <w:sz w:val="18"/>
                <w:szCs w:val="18"/>
                <w:lang w:eastAsia="en-US"/>
              </w:rPr>
              <w:t>Ministre de l'Environnement de l'Assainissement et du Développement Durable (MEADD)</w:t>
            </w:r>
          </w:p>
        </w:tc>
        <w:tc>
          <w:tcPr>
            <w:tcW w:w="1199" w:type="pct"/>
            <w:tcBorders>
              <w:top w:val="single" w:sz="4" w:space="0" w:color="auto"/>
              <w:bottom w:val="single" w:sz="4" w:space="0" w:color="auto"/>
            </w:tcBorders>
          </w:tcPr>
          <w:p w14:paraId="77C8973E" w14:textId="77777777" w:rsidR="00395A8D" w:rsidRDefault="00BB48D4" w:rsidP="00395A8D">
            <w:pPr>
              <w:spacing w:after="120"/>
              <w:jc w:val="lowKashida"/>
              <w:rPr>
                <w:sz w:val="18"/>
                <w:szCs w:val="18"/>
                <w:lang w:eastAsia="en-US"/>
              </w:rPr>
            </w:pPr>
            <w:r w:rsidRPr="001E28E0">
              <w:rPr>
                <w:sz w:val="18"/>
                <w:szCs w:val="18"/>
                <w:lang w:eastAsia="en-US"/>
              </w:rPr>
              <w:t xml:space="preserve">La PNPE constitue le cadre de référence du Mali en matière de gestion durable des ressources naturelles et de protection de l’environnement. Elle vise à garantir un environnement sain et à assurer l’intégration des considérations environnementales dans les politiques, programmes et activités de développement. </w:t>
            </w:r>
          </w:p>
          <w:p w14:paraId="468F03C4" w14:textId="7790598E" w:rsidR="00395A8D" w:rsidRDefault="00BB48D4" w:rsidP="008034FD">
            <w:pPr>
              <w:spacing w:after="120"/>
              <w:jc w:val="lowKashida"/>
              <w:rPr>
                <w:sz w:val="18"/>
                <w:szCs w:val="18"/>
                <w:lang w:eastAsia="en-US"/>
              </w:rPr>
            </w:pPr>
            <w:r w:rsidRPr="001E28E0">
              <w:rPr>
                <w:sz w:val="18"/>
                <w:szCs w:val="18"/>
                <w:lang w:eastAsia="en-US"/>
              </w:rPr>
              <w:t xml:space="preserve">La PNPE repose notamment sur les principes de prévention, de précaution, de participation des acteurs et du pollueur-payeur. Elle accorde une attention particulière à la lutte contre la désertification, à la gestion durable des ressources naturelles, à la prévention des pollutions et à l’amélioration du cadre de vie des populations en milieu rural et urbain. </w:t>
            </w:r>
          </w:p>
          <w:p w14:paraId="65FFD0DA" w14:textId="1CBAD521" w:rsidR="00881385" w:rsidRPr="001E28E0" w:rsidRDefault="00BB48D4">
            <w:pPr>
              <w:jc w:val="lowKashida"/>
              <w:rPr>
                <w:sz w:val="18"/>
                <w:szCs w:val="18"/>
                <w:lang w:eastAsia="en-US"/>
              </w:rPr>
            </w:pPr>
            <w:r w:rsidRPr="001E28E0">
              <w:rPr>
                <w:sz w:val="18"/>
                <w:szCs w:val="18"/>
                <w:lang w:eastAsia="en-US"/>
              </w:rPr>
              <w:t>La politique met également l’accent sur le renforcement des capacités institutionnelles, la décentralisation de la gestion environnementale, le suivi environnemental et le développement de mécanismes de coordination et de financement en faveur de la protection de l’environnement</w:t>
            </w:r>
            <w:r w:rsidR="00881385" w:rsidRPr="001E28E0">
              <w:rPr>
                <w:sz w:val="18"/>
                <w:szCs w:val="18"/>
                <w:lang w:eastAsia="en-US"/>
              </w:rPr>
              <w:t>.</w:t>
            </w:r>
          </w:p>
        </w:tc>
        <w:tc>
          <w:tcPr>
            <w:tcW w:w="1572" w:type="pct"/>
            <w:tcBorders>
              <w:top w:val="single" w:sz="4" w:space="0" w:color="auto"/>
              <w:bottom w:val="single" w:sz="4" w:space="0" w:color="auto"/>
            </w:tcBorders>
          </w:tcPr>
          <w:p w14:paraId="517FB4CC" w14:textId="77777777" w:rsidR="00DF7E5A" w:rsidRPr="001E28E0" w:rsidRDefault="00DF7E5A" w:rsidP="008A3661">
            <w:pPr>
              <w:pStyle w:val="Paragraphedeliste"/>
              <w:numPr>
                <w:ilvl w:val="0"/>
                <w:numId w:val="22"/>
              </w:numPr>
              <w:spacing w:after="120"/>
              <w:ind w:left="170" w:hanging="170"/>
              <w:jc w:val="lowKashida"/>
              <w:rPr>
                <w:sz w:val="18"/>
                <w:szCs w:val="18"/>
              </w:rPr>
            </w:pPr>
            <w:r w:rsidRPr="001E28E0">
              <w:rPr>
                <w:sz w:val="18"/>
                <w:szCs w:val="18"/>
              </w:rPr>
              <w:t xml:space="preserve">Réduction des effets de la dégradation des ressources, de la désertification et de la sécheresse ; </w:t>
            </w:r>
          </w:p>
          <w:p w14:paraId="2B47EA40" w14:textId="77777777" w:rsidR="00DF7E5A" w:rsidRPr="001E28E0" w:rsidRDefault="00DF7E5A" w:rsidP="008A3661">
            <w:pPr>
              <w:pStyle w:val="Paragraphedeliste"/>
              <w:numPr>
                <w:ilvl w:val="0"/>
                <w:numId w:val="22"/>
              </w:numPr>
              <w:spacing w:after="120"/>
              <w:ind w:left="170" w:hanging="170"/>
              <w:jc w:val="lowKashida"/>
              <w:rPr>
                <w:sz w:val="18"/>
                <w:szCs w:val="18"/>
              </w:rPr>
            </w:pPr>
            <w:r w:rsidRPr="001E28E0">
              <w:rPr>
                <w:sz w:val="18"/>
                <w:szCs w:val="18"/>
              </w:rPr>
              <w:t xml:space="preserve">Gestion durable, décentralisée et participative des ressources naturelles ; </w:t>
            </w:r>
          </w:p>
          <w:p w14:paraId="00F2618F" w14:textId="77777777" w:rsidR="00DF7E5A" w:rsidRPr="001E28E0" w:rsidRDefault="00DF7E5A" w:rsidP="008A3661">
            <w:pPr>
              <w:pStyle w:val="Paragraphedeliste"/>
              <w:numPr>
                <w:ilvl w:val="0"/>
                <w:numId w:val="22"/>
              </w:numPr>
              <w:spacing w:after="120"/>
              <w:ind w:left="170" w:hanging="170"/>
              <w:jc w:val="lowKashida"/>
              <w:rPr>
                <w:sz w:val="18"/>
                <w:szCs w:val="18"/>
              </w:rPr>
            </w:pPr>
            <w:r w:rsidRPr="001E28E0">
              <w:rPr>
                <w:sz w:val="18"/>
                <w:szCs w:val="18"/>
              </w:rPr>
              <w:t xml:space="preserve">Promotion de systèmes de production durables et respectueux de l’environnement ; </w:t>
            </w:r>
          </w:p>
          <w:p w14:paraId="6D956949" w14:textId="77777777" w:rsidR="00DF7E5A" w:rsidRPr="001E28E0" w:rsidRDefault="00DF7E5A" w:rsidP="008A3661">
            <w:pPr>
              <w:pStyle w:val="Paragraphedeliste"/>
              <w:numPr>
                <w:ilvl w:val="0"/>
                <w:numId w:val="22"/>
              </w:numPr>
              <w:spacing w:after="120"/>
              <w:ind w:left="170" w:hanging="170"/>
              <w:jc w:val="lowKashida"/>
              <w:rPr>
                <w:sz w:val="18"/>
                <w:szCs w:val="18"/>
              </w:rPr>
            </w:pPr>
            <w:r w:rsidRPr="001E28E0">
              <w:rPr>
                <w:sz w:val="18"/>
                <w:szCs w:val="18"/>
              </w:rPr>
              <w:t xml:space="preserve">Renforcement de la lutte contre les pollutions et les nuisances environnementales ; </w:t>
            </w:r>
          </w:p>
          <w:p w14:paraId="17F51A85" w14:textId="77777777" w:rsidR="00DF7E5A" w:rsidRPr="001E28E0" w:rsidRDefault="00DF7E5A" w:rsidP="008A3661">
            <w:pPr>
              <w:pStyle w:val="Paragraphedeliste"/>
              <w:numPr>
                <w:ilvl w:val="0"/>
                <w:numId w:val="22"/>
              </w:numPr>
              <w:spacing w:after="120"/>
              <w:ind w:left="170" w:hanging="170"/>
              <w:jc w:val="lowKashida"/>
              <w:rPr>
                <w:sz w:val="18"/>
                <w:szCs w:val="18"/>
              </w:rPr>
            </w:pPr>
            <w:r w:rsidRPr="001E28E0">
              <w:rPr>
                <w:sz w:val="18"/>
                <w:szCs w:val="18"/>
              </w:rPr>
              <w:t xml:space="preserve">Restauration et récupération des zones et sites dégradés ; </w:t>
            </w:r>
          </w:p>
          <w:p w14:paraId="31072F38" w14:textId="23DF71EE" w:rsidR="00DF7E5A" w:rsidRPr="001E28E0" w:rsidRDefault="00DF7E5A" w:rsidP="008A3661">
            <w:pPr>
              <w:pStyle w:val="Paragraphedeliste"/>
              <w:numPr>
                <w:ilvl w:val="0"/>
                <w:numId w:val="22"/>
              </w:numPr>
              <w:spacing w:after="120"/>
              <w:ind w:left="170" w:hanging="170"/>
              <w:jc w:val="lowKashida"/>
              <w:rPr>
                <w:sz w:val="18"/>
                <w:szCs w:val="18"/>
              </w:rPr>
            </w:pPr>
            <w:r w:rsidRPr="001E28E0">
              <w:rPr>
                <w:sz w:val="18"/>
                <w:szCs w:val="18"/>
              </w:rPr>
              <w:t xml:space="preserve">Mise en place d’un système de suivi et de surveillance continue de l’environnement ; </w:t>
            </w:r>
          </w:p>
          <w:p w14:paraId="7BAB3515" w14:textId="77777777" w:rsidR="00DF7E5A" w:rsidRPr="001E28E0" w:rsidRDefault="00DF7E5A" w:rsidP="008A3661">
            <w:pPr>
              <w:pStyle w:val="Paragraphedeliste"/>
              <w:numPr>
                <w:ilvl w:val="0"/>
                <w:numId w:val="22"/>
              </w:numPr>
              <w:spacing w:after="120"/>
              <w:ind w:left="170" w:hanging="170"/>
              <w:jc w:val="lowKashida"/>
              <w:rPr>
                <w:sz w:val="18"/>
                <w:szCs w:val="18"/>
              </w:rPr>
            </w:pPr>
            <w:r w:rsidRPr="001E28E0">
              <w:rPr>
                <w:sz w:val="18"/>
                <w:szCs w:val="18"/>
              </w:rPr>
              <w:t xml:space="preserve">Renforcement des capacités des acteurs en matière de protection de l’environnement ; </w:t>
            </w:r>
          </w:p>
          <w:p w14:paraId="63812E4F" w14:textId="48816975" w:rsidR="00881385" w:rsidRPr="001E28E0" w:rsidRDefault="00DF7E5A" w:rsidP="008A3661">
            <w:pPr>
              <w:pStyle w:val="Paragraphedeliste"/>
              <w:numPr>
                <w:ilvl w:val="0"/>
                <w:numId w:val="22"/>
              </w:numPr>
              <w:spacing w:after="120"/>
              <w:ind w:left="170" w:hanging="170"/>
              <w:jc w:val="lowKashida"/>
              <w:rPr>
                <w:sz w:val="18"/>
                <w:szCs w:val="18"/>
              </w:rPr>
            </w:pPr>
            <w:r w:rsidRPr="001E28E0">
              <w:rPr>
                <w:sz w:val="18"/>
                <w:szCs w:val="18"/>
              </w:rPr>
              <w:t>Promotion d’une approche multisectorielle de la gestion environnementale.</w:t>
            </w:r>
          </w:p>
        </w:tc>
        <w:tc>
          <w:tcPr>
            <w:tcW w:w="1250" w:type="pct"/>
            <w:tcBorders>
              <w:top w:val="single" w:sz="4" w:space="0" w:color="auto"/>
              <w:bottom w:val="single" w:sz="4" w:space="0" w:color="auto"/>
            </w:tcBorders>
          </w:tcPr>
          <w:p w14:paraId="6DDA7B11" w14:textId="047ABDEB" w:rsidR="00881385" w:rsidRPr="001E28E0" w:rsidRDefault="00881385">
            <w:pPr>
              <w:spacing w:after="120"/>
              <w:jc w:val="lowKashida"/>
              <w:rPr>
                <w:sz w:val="18"/>
                <w:szCs w:val="18"/>
              </w:rPr>
            </w:pPr>
          </w:p>
        </w:tc>
      </w:tr>
    </w:tbl>
    <w:p w14:paraId="504E8120" w14:textId="230607C0" w:rsidR="003A3376" w:rsidRPr="00BE1939" w:rsidRDefault="005C694D" w:rsidP="005C694D">
      <w:pPr>
        <w:pStyle w:val="NormalWeb"/>
        <w:spacing w:before="120" w:beforeAutospacing="0" w:after="240" w:afterAutospacing="0"/>
        <w:jc w:val="both"/>
        <w:rPr>
          <w:lang w:eastAsia="en-US"/>
        </w:rPr>
      </w:pPr>
      <w:r w:rsidRPr="00AB25CB">
        <w:rPr>
          <w:rFonts w:ascii="Calibri" w:eastAsia="Calibri" w:hAnsi="Calibri" w:cs="Calibri"/>
        </w:rPr>
        <w:t xml:space="preserve">L’analyse des politiques et stratégies examinées met en évidence un cadre sectoriel principalement orienté vers l’amélioration de la gestion des déchets, la réduction des pollutions et nuisances environnementales, ainsi que le renforcement de la protection de l’environnement et du cadre de vie des populations. Les orientations identifiées portent notamment sur la gestion des déchets solides et liquides, le développement des infrastructures de collecte et de traitement, la gestion des eaux pluviales et la réduction des risques </w:t>
      </w:r>
      <w:r w:rsidRPr="00AB25CB">
        <w:rPr>
          <w:rFonts w:ascii="Calibri" w:eastAsia="Calibri" w:hAnsi="Calibri" w:cs="Calibri"/>
        </w:rPr>
        <w:lastRenderedPageBreak/>
        <w:t>sanitaires, environnementaux et d’inondation, ainsi que le renforcement des dispositifs de suivi environnemental, des capacités des acteurs et de la gouvernance environnementale et territoriale. Plusieurs de ces instruments intègrent par ailleurs des cibles quantitatives relatives à la collecte et au traitement des déchets ainsi qu’à l’amélioration des services d’assainissement.</w:t>
      </w:r>
      <w:r>
        <w:rPr>
          <w:rFonts w:ascii="Calibri" w:eastAsia="Calibri" w:hAnsi="Calibri" w:cs="Calibri"/>
        </w:rPr>
        <w:t xml:space="preserve"> </w:t>
      </w:r>
      <w:r w:rsidRPr="00AB25CB">
        <w:rPr>
          <w:rFonts w:ascii="Calibri" w:eastAsia="Calibri" w:hAnsi="Calibri" w:cs="Calibri"/>
        </w:rPr>
        <w:t xml:space="preserve">La CDN 3.0 devra ainsi renforcer les efforts engagés dans le secteur des déchets, notamment à travers l’amélioration des systèmes de gestion et de traitement des déchets, le renforcement des infrastructures et dispositifs de gestion des eaux pluviales, ainsi que la prévention des pollutions et des </w:t>
      </w:r>
      <w:r>
        <w:rPr>
          <w:rFonts w:ascii="Calibri" w:eastAsia="Calibri" w:hAnsi="Calibri" w:cs="Calibri"/>
        </w:rPr>
        <w:t>risques</w:t>
      </w:r>
      <w:r w:rsidRPr="00AB25CB">
        <w:rPr>
          <w:rFonts w:ascii="Calibri" w:eastAsia="Calibri" w:hAnsi="Calibri" w:cs="Calibri"/>
        </w:rPr>
        <w:t xml:space="preserve"> sanitaires et environnementales. Elle devra également traduire ces orientations en mesures opérationnelles, quantifiées et suivables dans le cadre du dispositif de suivi de la CDN 3.0.</w:t>
      </w:r>
      <w:r w:rsidRPr="00BE1939">
        <w:rPr>
          <w:lang w:eastAsia="en-US"/>
        </w:rPr>
        <w:t xml:space="preserve"> </w:t>
      </w:r>
    </w:p>
    <w:tbl>
      <w:tblPr>
        <w:tblStyle w:val="Grilledutableau"/>
        <w:tblW w:w="0" w:type="auto"/>
        <w:shd w:val="clear" w:color="auto" w:fill="DEEAF6" w:themeFill="accent1" w:themeFillTint="33"/>
        <w:tblLook w:val="04A0" w:firstRow="1" w:lastRow="0" w:firstColumn="1" w:lastColumn="0" w:noHBand="0" w:noVBand="1"/>
      </w:tblPr>
      <w:tblGrid>
        <w:gridCol w:w="13018"/>
      </w:tblGrid>
      <w:tr w:rsidR="005C694D" w14:paraId="54890959" w14:textId="77777777" w:rsidTr="005C694D">
        <w:tc>
          <w:tcPr>
            <w:tcW w:w="13018" w:type="dxa"/>
            <w:shd w:val="clear" w:color="auto" w:fill="DEEAF6" w:themeFill="accent1" w:themeFillTint="33"/>
          </w:tcPr>
          <w:p w14:paraId="2FAC76B0" w14:textId="77777777" w:rsidR="00CF15E6" w:rsidRPr="00CF15E6" w:rsidRDefault="00CF15E6" w:rsidP="00CF15E6">
            <w:pPr>
              <w:spacing w:before="120" w:after="120"/>
              <w:rPr>
                <w:lang w:eastAsia="en-US"/>
              </w:rPr>
            </w:pPr>
            <w:r w:rsidRPr="00CF15E6">
              <w:rPr>
                <w:lang w:eastAsia="en-US"/>
              </w:rPr>
              <w:t>Sur la base de la revue sectorielle conduite, les éléments suivants devront être intégrés dans la CDN 3.0 :</w:t>
            </w:r>
          </w:p>
          <w:p w14:paraId="06520A25" w14:textId="77777777" w:rsidR="00CF15E6" w:rsidRPr="00CF15E6" w:rsidRDefault="00CF15E6" w:rsidP="008A3661">
            <w:pPr>
              <w:numPr>
                <w:ilvl w:val="0"/>
                <w:numId w:val="33"/>
              </w:numPr>
              <w:spacing w:before="120" w:after="120"/>
              <w:rPr>
                <w:lang w:eastAsia="en-US"/>
              </w:rPr>
            </w:pPr>
            <w:r w:rsidRPr="00CF15E6">
              <w:rPr>
                <w:b/>
                <w:bCs/>
                <w:lang w:eastAsia="en-US"/>
              </w:rPr>
              <w:t xml:space="preserve">Gestion durable des déchets et réduction des pollutions : </w:t>
            </w:r>
            <w:r w:rsidRPr="00CF15E6">
              <w:rPr>
                <w:lang w:eastAsia="en-US"/>
              </w:rPr>
              <w:t xml:space="preserve">amélioration des systèmes de collecte, de traitement et de valorisation des déchets solides et liquides afin de limiter les pollutions et les risques sanitaires ; </w:t>
            </w:r>
          </w:p>
          <w:p w14:paraId="145BD681" w14:textId="77777777" w:rsidR="00CF15E6" w:rsidRPr="00CF15E6" w:rsidRDefault="00CF15E6" w:rsidP="008A3661">
            <w:pPr>
              <w:numPr>
                <w:ilvl w:val="0"/>
                <w:numId w:val="33"/>
              </w:numPr>
              <w:spacing w:before="120" w:after="120"/>
              <w:rPr>
                <w:lang w:eastAsia="en-US"/>
              </w:rPr>
            </w:pPr>
            <w:r w:rsidRPr="00CF15E6">
              <w:rPr>
                <w:b/>
                <w:bCs/>
                <w:lang w:eastAsia="en-US"/>
              </w:rPr>
              <w:t xml:space="preserve">Renforcement de la gestion des eaux pluviales et des infrastructures de drainage : </w:t>
            </w:r>
            <w:r w:rsidRPr="00CF15E6">
              <w:rPr>
                <w:lang w:eastAsia="en-US"/>
              </w:rPr>
              <w:t xml:space="preserve">amélioration des dispositifs d’évacuation des eaux de ruissellement pour réduire les risques d’inondation, notamment en milieu urbain ; </w:t>
            </w:r>
          </w:p>
          <w:p w14:paraId="2240DB05" w14:textId="77777777" w:rsidR="00CF15E6" w:rsidRPr="00CF15E6" w:rsidRDefault="00CF15E6" w:rsidP="008A3661">
            <w:pPr>
              <w:numPr>
                <w:ilvl w:val="0"/>
                <w:numId w:val="33"/>
              </w:numPr>
              <w:spacing w:before="120" w:after="120"/>
              <w:rPr>
                <w:lang w:eastAsia="en-US"/>
              </w:rPr>
            </w:pPr>
            <w:r w:rsidRPr="00CF15E6">
              <w:rPr>
                <w:b/>
                <w:bCs/>
                <w:lang w:eastAsia="en-US"/>
              </w:rPr>
              <w:t xml:space="preserve">Renforcement des infrastructures environnementales : </w:t>
            </w:r>
            <w:r w:rsidRPr="00CF15E6">
              <w:rPr>
                <w:lang w:eastAsia="en-US"/>
              </w:rPr>
              <w:t xml:space="preserve">développement et modernisation des infrastructures de gestion des déchets et d’assainissement afin d’améliorer durablement le cadre de vie des populations ; </w:t>
            </w:r>
          </w:p>
          <w:p w14:paraId="54301B02" w14:textId="40DFD3FB" w:rsidR="005C694D" w:rsidRPr="00CF15E6" w:rsidRDefault="00CF15E6" w:rsidP="008A3661">
            <w:pPr>
              <w:numPr>
                <w:ilvl w:val="0"/>
                <w:numId w:val="33"/>
              </w:numPr>
              <w:spacing w:before="120" w:after="120"/>
              <w:rPr>
                <w:lang w:eastAsia="en-US"/>
              </w:rPr>
            </w:pPr>
            <w:r w:rsidRPr="00CF15E6">
              <w:rPr>
                <w:b/>
                <w:bCs/>
                <w:lang w:eastAsia="en-US"/>
              </w:rPr>
              <w:t xml:space="preserve">Renforcement de la gouvernance et des capacités des acteurs : </w:t>
            </w:r>
            <w:r w:rsidRPr="00CF15E6">
              <w:rPr>
                <w:lang w:eastAsia="en-US"/>
              </w:rPr>
              <w:t>amélioration des capacités des collectivités territoriales, des services techniques et des acteurs du secteur en matière de gestion environnementale.</w:t>
            </w:r>
          </w:p>
        </w:tc>
      </w:tr>
    </w:tbl>
    <w:p w14:paraId="022CD619" w14:textId="33451A87" w:rsidR="004878DF" w:rsidRPr="00730988" w:rsidRDefault="004878DF" w:rsidP="003A3376">
      <w:pPr>
        <w:spacing w:before="120" w:after="120"/>
        <w:rPr>
          <w:b/>
          <w:i/>
          <w:u w:val="single"/>
          <w:lang w:eastAsia="en-US"/>
        </w:rPr>
      </w:pPr>
      <w:r w:rsidRPr="00730988">
        <w:rPr>
          <w:b/>
          <w:i/>
          <w:u w:val="single"/>
          <w:lang w:eastAsia="en-US"/>
        </w:rPr>
        <w:t>Les nouveaux secteurs</w:t>
      </w:r>
      <w:r w:rsidR="001F22CB" w:rsidRPr="00730988">
        <w:rPr>
          <w:b/>
          <w:i/>
          <w:u w:val="single"/>
          <w:lang w:eastAsia="en-US"/>
        </w:rPr>
        <w:t xml:space="preserve"> et domaines</w:t>
      </w:r>
      <w:r w:rsidRPr="00730988">
        <w:rPr>
          <w:b/>
          <w:i/>
          <w:u w:val="single"/>
          <w:lang w:eastAsia="en-US"/>
        </w:rPr>
        <w:t xml:space="preserve"> intégrés dans la CDN 3.0</w:t>
      </w:r>
    </w:p>
    <w:p w14:paraId="6815E2A1" w14:textId="423769B8" w:rsidR="003B2947" w:rsidRDefault="003B2947" w:rsidP="00812F26">
      <w:pPr>
        <w:pStyle w:val="Titre3"/>
        <w:numPr>
          <w:ilvl w:val="2"/>
          <w:numId w:val="21"/>
        </w:numPr>
        <w:spacing w:before="240"/>
      </w:pPr>
      <w:bookmarkStart w:id="26" w:name="_Toc234853861"/>
      <w:r>
        <w:t>Eau</w:t>
      </w:r>
      <w:bookmarkEnd w:id="26"/>
    </w:p>
    <w:p w14:paraId="42E48A07" w14:textId="1D419998" w:rsidR="004129FB" w:rsidRPr="00776974" w:rsidRDefault="009F0377" w:rsidP="00776974">
      <w:pPr>
        <w:pStyle w:val="NormalWeb"/>
        <w:spacing w:before="120" w:beforeAutospacing="0" w:after="120" w:afterAutospacing="0"/>
        <w:jc w:val="both"/>
        <w:rPr>
          <w:rFonts w:ascii="Calibri" w:eastAsia="Calibri" w:hAnsi="Calibri" w:cs="Calibri"/>
        </w:rPr>
      </w:pPr>
      <w:r w:rsidRPr="009F0377">
        <w:rPr>
          <w:rFonts w:ascii="Calibri" w:eastAsia="Calibri" w:hAnsi="Calibri" w:cs="Calibri"/>
        </w:rPr>
        <w:t xml:space="preserve">Le secteur de l'eau représente l'un des domaines les plus </w:t>
      </w:r>
      <w:r w:rsidR="00312415">
        <w:rPr>
          <w:rFonts w:ascii="Calibri" w:eastAsia="Calibri" w:hAnsi="Calibri" w:cs="Calibri"/>
        </w:rPr>
        <w:t>affectés par les impacts du</w:t>
      </w:r>
      <w:r w:rsidRPr="009F0377">
        <w:rPr>
          <w:rFonts w:ascii="Calibri" w:eastAsia="Calibri" w:hAnsi="Calibri" w:cs="Calibri"/>
        </w:rPr>
        <w:t xml:space="preserve"> changement climatique, en raison de la forte variabilité des précipitations, de la fréquence des sécheresses, des risques d'inondation, ainsi que de la pression croissante exercée sur les ressources en eau. La disponibilité et la gestion durable des ressources en eau déterminent ainsi la résilience des populations, des systèmes de production et des écosystèmes face aux aléas climatiques. Dans cette optique, diverses politiques et stratégies ont été mises en place pour améliorer la gestion du secteur, favoriser la gestion intégrée des ressources en eau et renforcer la sécurité de l'accès à l'eau. Les principales orientations issues de ces documents stratégiques ainsi que les éventuelles cibles quantitatives associées sont présentées dans le tableau ci-après.</w:t>
      </w:r>
    </w:p>
    <w:p w14:paraId="187FEAB9" w14:textId="4916CBC7" w:rsidR="00B56F5B" w:rsidRDefault="00B56F5B" w:rsidP="00B56F5B">
      <w:pPr>
        <w:pStyle w:val="Lgende"/>
        <w:keepNext/>
      </w:pPr>
      <w:bookmarkStart w:id="27" w:name="_Toc234853934"/>
      <w:r>
        <w:lastRenderedPageBreak/>
        <w:t xml:space="preserve">Tableau </w:t>
      </w:r>
      <w:r>
        <w:fldChar w:fldCharType="begin"/>
      </w:r>
      <w:r>
        <w:instrText xml:space="preserve"> SEQ Tableau \* ARABIC </w:instrText>
      </w:r>
      <w:r>
        <w:fldChar w:fldCharType="separate"/>
      </w:r>
      <w:r w:rsidR="0018772E">
        <w:rPr>
          <w:noProof/>
        </w:rPr>
        <w:t>10</w:t>
      </w:r>
      <w:r>
        <w:fldChar w:fldCharType="end"/>
      </w:r>
      <w:r>
        <w:t xml:space="preserve"> : </w:t>
      </w:r>
      <w:r w:rsidRPr="002C4DEB">
        <w:t>Politiques et stratégies du secteur de l’eau au Mali en lien avec l’adaptation</w:t>
      </w:r>
      <w:bookmarkEnd w:id="27"/>
    </w:p>
    <w:tbl>
      <w:tblPr>
        <w:tblStyle w:val="Grilledutablea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3239"/>
        <w:gridCol w:w="4090"/>
        <w:gridCol w:w="3252"/>
      </w:tblGrid>
      <w:tr w:rsidR="00912614" w:rsidRPr="00B56F5B" w14:paraId="355E2B8A" w14:textId="77777777" w:rsidTr="00B56F5B">
        <w:trPr>
          <w:trHeight w:val="423"/>
          <w:tblHeader/>
        </w:trPr>
        <w:tc>
          <w:tcPr>
            <w:tcW w:w="933" w:type="pct"/>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1314C69A" w14:textId="77777777" w:rsidR="00912614" w:rsidRPr="00B56F5B" w:rsidRDefault="00CF15E6" w:rsidP="004129FB">
            <w:pPr>
              <w:jc w:val="center"/>
              <w:rPr>
                <w:b/>
                <w:color w:val="FFFFFF" w:themeColor="background1"/>
                <w:sz w:val="18"/>
                <w:szCs w:val="18"/>
                <w:lang w:eastAsia="en-US"/>
              </w:rPr>
            </w:pPr>
            <w:r w:rsidRPr="00B56F5B">
              <w:rPr>
                <w:b/>
                <w:color w:val="FFFFFF" w:themeColor="background1"/>
                <w:sz w:val="18"/>
                <w:szCs w:val="18"/>
                <w:lang w:eastAsia="en-US"/>
              </w:rPr>
              <w:t>P</w:t>
            </w:r>
            <w:r w:rsidR="00912614" w:rsidRPr="00B56F5B">
              <w:rPr>
                <w:b/>
                <w:color w:val="FFFFFF" w:themeColor="background1"/>
                <w:sz w:val="18"/>
                <w:szCs w:val="18"/>
                <w:lang w:eastAsia="en-US"/>
              </w:rPr>
              <w:t>olitique / stratégie</w:t>
            </w:r>
          </w:p>
        </w:tc>
        <w:tc>
          <w:tcPr>
            <w:tcW w:w="1245" w:type="pct"/>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1F13AB62" w14:textId="77777777" w:rsidR="00912614" w:rsidRPr="00B56F5B" w:rsidRDefault="00912614">
            <w:pPr>
              <w:jc w:val="center"/>
              <w:rPr>
                <w:b/>
                <w:color w:val="FFFFFF" w:themeColor="background1"/>
                <w:sz w:val="18"/>
                <w:szCs w:val="18"/>
                <w:lang w:eastAsia="en-US"/>
              </w:rPr>
            </w:pPr>
            <w:r w:rsidRPr="00B56F5B">
              <w:rPr>
                <w:b/>
                <w:color w:val="FFFFFF" w:themeColor="background1"/>
                <w:sz w:val="18"/>
                <w:szCs w:val="18"/>
                <w:lang w:eastAsia="en-US"/>
              </w:rPr>
              <w:t>Description</w:t>
            </w:r>
          </w:p>
        </w:tc>
        <w:tc>
          <w:tcPr>
            <w:tcW w:w="1572" w:type="pct"/>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50A2933C" w14:textId="77777777" w:rsidR="00912614" w:rsidRPr="00B56F5B" w:rsidRDefault="00912614">
            <w:pPr>
              <w:jc w:val="center"/>
              <w:rPr>
                <w:b/>
                <w:color w:val="FFFFFF" w:themeColor="background1"/>
                <w:sz w:val="18"/>
                <w:szCs w:val="18"/>
                <w:lang w:eastAsia="en-US"/>
              </w:rPr>
            </w:pPr>
            <w:r w:rsidRPr="00B56F5B">
              <w:rPr>
                <w:b/>
                <w:color w:val="FFFFFF" w:themeColor="background1"/>
                <w:sz w:val="18"/>
                <w:szCs w:val="18"/>
                <w:lang w:eastAsia="en-US"/>
              </w:rPr>
              <w:t>Principales orientations climatiques</w:t>
            </w:r>
          </w:p>
        </w:tc>
        <w:tc>
          <w:tcPr>
            <w:tcW w:w="1250" w:type="pct"/>
            <w:tcBorders>
              <w:top w:val="single" w:sz="4" w:space="0" w:color="auto"/>
              <w:left w:val="single" w:sz="4" w:space="0" w:color="auto"/>
              <w:bottom w:val="single" w:sz="4" w:space="0" w:color="auto"/>
              <w:right w:val="single" w:sz="4" w:space="0" w:color="auto"/>
            </w:tcBorders>
            <w:shd w:val="clear" w:color="auto" w:fill="1F4E79" w:themeFill="accent1" w:themeFillShade="80"/>
            <w:vAlign w:val="center"/>
          </w:tcPr>
          <w:p w14:paraId="07F74D53" w14:textId="77777777" w:rsidR="00912614" w:rsidRPr="00B56F5B" w:rsidRDefault="00912614">
            <w:pPr>
              <w:jc w:val="center"/>
              <w:rPr>
                <w:b/>
                <w:color w:val="FFFFFF" w:themeColor="background1"/>
                <w:sz w:val="18"/>
                <w:szCs w:val="18"/>
                <w:lang w:eastAsia="en-US"/>
              </w:rPr>
            </w:pPr>
            <w:r w:rsidRPr="00B56F5B">
              <w:rPr>
                <w:b/>
                <w:color w:val="FFFFFF" w:themeColor="background1"/>
                <w:sz w:val="18"/>
                <w:szCs w:val="18"/>
                <w:lang w:eastAsia="en-US"/>
              </w:rPr>
              <w:t>Cibles quantitatives</w:t>
            </w:r>
          </w:p>
        </w:tc>
      </w:tr>
      <w:tr w:rsidR="00912614" w:rsidRPr="00B56F5B" w14:paraId="507A3B37" w14:textId="77777777" w:rsidTr="00E31CCC">
        <w:tc>
          <w:tcPr>
            <w:tcW w:w="933" w:type="pct"/>
            <w:tcBorders>
              <w:top w:val="single" w:sz="4" w:space="0" w:color="auto"/>
            </w:tcBorders>
          </w:tcPr>
          <w:p w14:paraId="78E342B2" w14:textId="77777777" w:rsidR="00912614" w:rsidRPr="00B56F5B" w:rsidRDefault="00912614">
            <w:pPr>
              <w:jc w:val="both"/>
              <w:rPr>
                <w:sz w:val="18"/>
                <w:szCs w:val="18"/>
                <w:lang w:eastAsia="en-US"/>
              </w:rPr>
            </w:pPr>
            <w:r w:rsidRPr="00B56F5B">
              <w:rPr>
                <w:sz w:val="18"/>
                <w:szCs w:val="18"/>
                <w:lang w:eastAsia="en-US"/>
              </w:rPr>
              <w:t xml:space="preserve">Politique Nationale de l’Eau (PNE) </w:t>
            </w:r>
          </w:p>
          <w:p w14:paraId="4182B1F5" w14:textId="77777777" w:rsidR="00912614" w:rsidRPr="00B56F5B" w:rsidRDefault="00912614">
            <w:pPr>
              <w:jc w:val="both"/>
              <w:rPr>
                <w:i/>
                <w:color w:val="1F3864" w:themeColor="accent5" w:themeShade="80"/>
                <w:sz w:val="18"/>
                <w:szCs w:val="18"/>
                <w:lang w:eastAsia="en-US"/>
              </w:rPr>
            </w:pPr>
            <w:r w:rsidRPr="00B56F5B">
              <w:rPr>
                <w:i/>
                <w:color w:val="1F3864" w:themeColor="accent5" w:themeShade="80"/>
                <w:sz w:val="18"/>
                <w:szCs w:val="18"/>
                <w:lang w:eastAsia="en-US"/>
              </w:rPr>
              <w:t>Ministère des Mines, de l’Énergie et de l’Eau, 2006</w:t>
            </w:r>
          </w:p>
        </w:tc>
        <w:tc>
          <w:tcPr>
            <w:tcW w:w="1245" w:type="pct"/>
            <w:tcBorders>
              <w:top w:val="single" w:sz="4" w:space="0" w:color="auto"/>
            </w:tcBorders>
          </w:tcPr>
          <w:p w14:paraId="63CA354D" w14:textId="77777777" w:rsidR="00B56F5B" w:rsidRDefault="00912614" w:rsidP="00B56F5B">
            <w:pPr>
              <w:spacing w:after="120"/>
              <w:jc w:val="both"/>
              <w:rPr>
                <w:sz w:val="18"/>
                <w:szCs w:val="18"/>
                <w:lang w:eastAsia="en-US"/>
              </w:rPr>
            </w:pPr>
            <w:r w:rsidRPr="00B56F5B">
              <w:rPr>
                <w:sz w:val="18"/>
                <w:szCs w:val="18"/>
                <w:lang w:eastAsia="en-US"/>
              </w:rPr>
              <w:t xml:space="preserve">La PNE vise à contribuer à la lutte contre la pauvreté et au développement durable en apportant des solutions adaptées aux problématiques liées à l’eau. </w:t>
            </w:r>
          </w:p>
          <w:p w14:paraId="4DF1D141" w14:textId="7A56821B" w:rsidR="00912614" w:rsidRPr="00B56F5B" w:rsidRDefault="00912614" w:rsidP="00B56F5B">
            <w:pPr>
              <w:spacing w:after="120"/>
              <w:jc w:val="both"/>
              <w:rPr>
                <w:sz w:val="18"/>
                <w:szCs w:val="18"/>
                <w:lang w:eastAsia="en-US"/>
              </w:rPr>
            </w:pPr>
            <w:r w:rsidRPr="00B56F5B">
              <w:rPr>
                <w:sz w:val="18"/>
                <w:szCs w:val="18"/>
                <w:lang w:eastAsia="en-US"/>
              </w:rPr>
              <w:t>Elle cherche notamment à assurer l’accès à l’eau en quantité et en qualité, à sécuriser les activités agro-sylvo-pastorales face aux aléas climatiques, à protéger les ressources en eau et les populations contre les risques et pollutions, ainsi qu’à promouvoir la coopération pour la gestion des eaux transfrontalières.</w:t>
            </w:r>
          </w:p>
          <w:p w14:paraId="50F58EDE" w14:textId="77777777" w:rsidR="00912614" w:rsidRPr="00B56F5B" w:rsidRDefault="00912614">
            <w:pPr>
              <w:jc w:val="both"/>
              <w:rPr>
                <w:sz w:val="18"/>
                <w:szCs w:val="18"/>
                <w:lang w:eastAsia="en-US"/>
              </w:rPr>
            </w:pPr>
            <w:r w:rsidRPr="00B56F5B">
              <w:rPr>
                <w:sz w:val="18"/>
                <w:szCs w:val="18"/>
                <w:lang w:eastAsia="en-US"/>
              </w:rPr>
              <w:t>Sa mise en œuvre repose sur plusieurs principes, notamment l’équité dans l’accès à l’eau, la gestion intégrée des ressources en eau par bassin hydrographique, l’utilisation durable des ressources, la protection des usagers et des écosystèmes, ainsi que la participation des acteurs à tous les niveaux de gestion.</w:t>
            </w:r>
          </w:p>
        </w:tc>
        <w:tc>
          <w:tcPr>
            <w:tcW w:w="1572" w:type="pct"/>
            <w:tcBorders>
              <w:top w:val="single" w:sz="4" w:space="0" w:color="auto"/>
            </w:tcBorders>
          </w:tcPr>
          <w:p w14:paraId="7776B5D5" w14:textId="139C5F17" w:rsidR="00912614" w:rsidRPr="00B56F5B" w:rsidRDefault="00912614">
            <w:pPr>
              <w:spacing w:after="120"/>
              <w:jc w:val="lowKashida"/>
              <w:rPr>
                <w:sz w:val="18"/>
                <w:szCs w:val="18"/>
              </w:rPr>
            </w:pPr>
            <w:r w:rsidRPr="00B56F5B">
              <w:rPr>
                <w:sz w:val="18"/>
                <w:szCs w:val="18"/>
              </w:rPr>
              <w:t xml:space="preserve">La </w:t>
            </w:r>
            <w:r w:rsidR="00E31050">
              <w:rPr>
                <w:sz w:val="18"/>
                <w:szCs w:val="18"/>
              </w:rPr>
              <w:t>P</w:t>
            </w:r>
            <w:r w:rsidRPr="00B56F5B">
              <w:rPr>
                <w:sz w:val="18"/>
                <w:szCs w:val="18"/>
              </w:rPr>
              <w:t>NE</w:t>
            </w:r>
            <w:r w:rsidR="00E31050">
              <w:rPr>
                <w:sz w:val="18"/>
                <w:szCs w:val="18"/>
              </w:rPr>
              <w:t xml:space="preserve"> </w:t>
            </w:r>
            <w:r w:rsidRPr="00B56F5B">
              <w:rPr>
                <w:sz w:val="18"/>
                <w:szCs w:val="18"/>
              </w:rPr>
              <w:t>inclut 11 orientations stratégiques, dont plusieurs sont directement liées à l’adaptation au changement climatique :</w:t>
            </w:r>
          </w:p>
          <w:p w14:paraId="202AAEC2" w14:textId="77777777" w:rsidR="00912614" w:rsidRPr="00B56F5B" w:rsidRDefault="00912614" w:rsidP="008A3661">
            <w:pPr>
              <w:pStyle w:val="Paragraphedeliste"/>
              <w:numPr>
                <w:ilvl w:val="0"/>
                <w:numId w:val="22"/>
              </w:numPr>
              <w:spacing w:after="120"/>
              <w:ind w:left="170" w:hanging="170"/>
              <w:jc w:val="lowKashida"/>
              <w:rPr>
                <w:sz w:val="18"/>
                <w:szCs w:val="18"/>
              </w:rPr>
            </w:pPr>
            <w:r w:rsidRPr="00B56F5B">
              <w:rPr>
                <w:sz w:val="18"/>
                <w:szCs w:val="18"/>
              </w:rPr>
              <w:t>Mettre en œuvre la gestion intégrée des ressources en eau (GIRE), notamment retenir l’approche par bassin hydrographique ou système d’aquifère comme cadre approprié pour la planification, la mobilisation, la gestion et la protection des ressources en eau ;</w:t>
            </w:r>
          </w:p>
          <w:p w14:paraId="207EFE0D" w14:textId="77777777" w:rsidR="00912614" w:rsidRPr="00B56F5B" w:rsidRDefault="00912614" w:rsidP="008A3661">
            <w:pPr>
              <w:pStyle w:val="Paragraphedeliste"/>
              <w:numPr>
                <w:ilvl w:val="0"/>
                <w:numId w:val="22"/>
              </w:numPr>
              <w:spacing w:after="120"/>
              <w:ind w:left="170" w:hanging="170"/>
              <w:jc w:val="lowKashida"/>
              <w:rPr>
                <w:sz w:val="18"/>
                <w:szCs w:val="18"/>
              </w:rPr>
            </w:pPr>
            <w:r w:rsidRPr="00B56F5B">
              <w:rPr>
                <w:sz w:val="18"/>
                <w:szCs w:val="18"/>
              </w:rPr>
              <w:t>Mettre en œuvre la stratégie d’assainissement et les mesures de protection des ressources en eau ;</w:t>
            </w:r>
          </w:p>
          <w:p w14:paraId="42E50DB1" w14:textId="77777777" w:rsidR="00912614" w:rsidRPr="00B56F5B" w:rsidRDefault="00912614" w:rsidP="008A3661">
            <w:pPr>
              <w:pStyle w:val="Paragraphedeliste"/>
              <w:numPr>
                <w:ilvl w:val="0"/>
                <w:numId w:val="22"/>
              </w:numPr>
              <w:spacing w:after="120"/>
              <w:ind w:left="170" w:hanging="170"/>
              <w:jc w:val="lowKashida"/>
              <w:rPr>
                <w:sz w:val="18"/>
                <w:szCs w:val="18"/>
              </w:rPr>
            </w:pPr>
            <w:r w:rsidRPr="00B56F5B">
              <w:rPr>
                <w:sz w:val="18"/>
                <w:szCs w:val="18"/>
              </w:rPr>
              <w:t>Mettre en place un système national d’information sur l’eau (SNIEau) ;</w:t>
            </w:r>
          </w:p>
          <w:p w14:paraId="684B1863" w14:textId="77777777" w:rsidR="00912614" w:rsidRPr="00B56F5B" w:rsidRDefault="00912614" w:rsidP="008A3661">
            <w:pPr>
              <w:pStyle w:val="Paragraphedeliste"/>
              <w:numPr>
                <w:ilvl w:val="0"/>
                <w:numId w:val="22"/>
              </w:numPr>
              <w:spacing w:after="120"/>
              <w:ind w:left="170" w:hanging="170"/>
              <w:jc w:val="lowKashida"/>
              <w:rPr>
                <w:sz w:val="18"/>
                <w:szCs w:val="18"/>
              </w:rPr>
            </w:pPr>
            <w:r w:rsidRPr="00B56F5B">
              <w:rPr>
                <w:sz w:val="18"/>
                <w:szCs w:val="18"/>
              </w:rPr>
              <w:t>Donner la priorité à la réhabilitation, à la consolidation des infrastructures hydrauliques dans le souci de rentabiliser ou de valoriser les investissements réalisés ;</w:t>
            </w:r>
          </w:p>
          <w:p w14:paraId="23F38D0C" w14:textId="77777777" w:rsidR="00912614" w:rsidRPr="00B56F5B" w:rsidRDefault="00912614" w:rsidP="008A3661">
            <w:pPr>
              <w:pStyle w:val="Paragraphedeliste"/>
              <w:numPr>
                <w:ilvl w:val="0"/>
                <w:numId w:val="22"/>
              </w:numPr>
              <w:spacing w:after="120"/>
              <w:ind w:left="170" w:hanging="170"/>
              <w:jc w:val="lowKashida"/>
              <w:rPr>
                <w:sz w:val="18"/>
                <w:szCs w:val="18"/>
              </w:rPr>
            </w:pPr>
            <w:r w:rsidRPr="00B56F5B">
              <w:rPr>
                <w:sz w:val="18"/>
                <w:szCs w:val="18"/>
              </w:rPr>
              <w:t>Rechercher le moindre coût de maintenance et la durabilité des systèmes et ouvrages (AEP, assainissement, barrages, réseaux de surveillance, etc.) ;</w:t>
            </w:r>
          </w:p>
          <w:p w14:paraId="5176BB3B" w14:textId="77777777" w:rsidR="00912614" w:rsidRPr="00B56F5B" w:rsidRDefault="00912614" w:rsidP="008A3661">
            <w:pPr>
              <w:pStyle w:val="Paragraphedeliste"/>
              <w:numPr>
                <w:ilvl w:val="0"/>
                <w:numId w:val="22"/>
              </w:numPr>
              <w:spacing w:after="120"/>
              <w:ind w:left="170" w:hanging="170"/>
              <w:jc w:val="lowKashida"/>
              <w:rPr>
                <w:sz w:val="18"/>
                <w:szCs w:val="18"/>
              </w:rPr>
            </w:pPr>
            <w:r w:rsidRPr="00B56F5B">
              <w:rPr>
                <w:sz w:val="18"/>
                <w:szCs w:val="18"/>
              </w:rPr>
              <w:t>Réduire les risques liés à l’eau par une meilleure connaissance de ces risques et la mise en œuvre des mesures préventives et améliorer la gestion des situations de crise ;</w:t>
            </w:r>
          </w:p>
          <w:p w14:paraId="52F9B746" w14:textId="70F8A994" w:rsidR="00912614" w:rsidRPr="00B56F5B" w:rsidRDefault="00912614" w:rsidP="008A3661">
            <w:pPr>
              <w:pStyle w:val="Paragraphedeliste"/>
              <w:numPr>
                <w:ilvl w:val="0"/>
                <w:numId w:val="22"/>
              </w:numPr>
              <w:spacing w:after="120"/>
              <w:ind w:left="170" w:hanging="170"/>
              <w:jc w:val="lowKashida"/>
              <w:rPr>
                <w:sz w:val="18"/>
                <w:szCs w:val="18"/>
              </w:rPr>
            </w:pPr>
            <w:r w:rsidRPr="00B56F5B">
              <w:rPr>
                <w:sz w:val="18"/>
                <w:szCs w:val="18"/>
              </w:rPr>
              <w:t>Renforcer les capacités de connaissance, de suivi et d’évaluation du point de vue quantitatif et qualitatif des ressources en eau et de leurs usages</w:t>
            </w:r>
            <w:r w:rsidR="00E31050">
              <w:rPr>
                <w:sz w:val="18"/>
                <w:szCs w:val="18"/>
              </w:rPr>
              <w:t> </w:t>
            </w:r>
            <w:r w:rsidRPr="00B56F5B">
              <w:rPr>
                <w:sz w:val="18"/>
                <w:szCs w:val="18"/>
              </w:rPr>
              <w:t>;</w:t>
            </w:r>
          </w:p>
          <w:p w14:paraId="50F8E766" w14:textId="77777777" w:rsidR="00912614" w:rsidRPr="00B56F5B" w:rsidRDefault="00912614" w:rsidP="008A3661">
            <w:pPr>
              <w:pStyle w:val="Paragraphedeliste"/>
              <w:numPr>
                <w:ilvl w:val="0"/>
                <w:numId w:val="22"/>
              </w:numPr>
              <w:spacing w:after="120"/>
              <w:ind w:left="170" w:hanging="170"/>
              <w:jc w:val="lowKashida"/>
              <w:rPr>
                <w:sz w:val="18"/>
                <w:szCs w:val="18"/>
              </w:rPr>
            </w:pPr>
            <w:r w:rsidRPr="00B56F5B">
              <w:rPr>
                <w:sz w:val="18"/>
                <w:szCs w:val="18"/>
              </w:rPr>
              <w:t>Favoriser la concertation entre les pays pour les questions liées à la gestion des eaux internationales.</w:t>
            </w:r>
          </w:p>
        </w:tc>
        <w:tc>
          <w:tcPr>
            <w:tcW w:w="1250" w:type="pct"/>
            <w:tcBorders>
              <w:top w:val="single" w:sz="4" w:space="0" w:color="auto"/>
            </w:tcBorders>
          </w:tcPr>
          <w:p w14:paraId="77D20E44" w14:textId="77777777" w:rsidR="00912614" w:rsidRPr="00B56F5B" w:rsidRDefault="00912614">
            <w:pPr>
              <w:spacing w:after="120"/>
              <w:jc w:val="both"/>
              <w:rPr>
                <w:sz w:val="18"/>
                <w:szCs w:val="18"/>
                <w:lang w:eastAsia="en-US"/>
              </w:rPr>
            </w:pPr>
            <w:r w:rsidRPr="00B56F5B">
              <w:rPr>
                <w:sz w:val="18"/>
                <w:szCs w:val="18"/>
                <w:lang w:eastAsia="en-US"/>
              </w:rPr>
              <w:t>La PNE n’identifie pas de cibles quantitatives.</w:t>
            </w:r>
          </w:p>
        </w:tc>
      </w:tr>
      <w:tr w:rsidR="005719BF" w:rsidRPr="00B56F5B" w14:paraId="220229D2" w14:textId="77777777">
        <w:tc>
          <w:tcPr>
            <w:tcW w:w="933" w:type="pct"/>
          </w:tcPr>
          <w:p w14:paraId="23EA842A" w14:textId="49B8B955" w:rsidR="005719BF" w:rsidRPr="00B56F5B" w:rsidRDefault="005719BF" w:rsidP="00880CFE">
            <w:pPr>
              <w:jc w:val="both"/>
              <w:rPr>
                <w:sz w:val="18"/>
                <w:szCs w:val="18"/>
                <w:lang w:eastAsia="en-US"/>
              </w:rPr>
            </w:pPr>
            <w:r w:rsidRPr="00B56F5B">
              <w:rPr>
                <w:sz w:val="18"/>
                <w:szCs w:val="18"/>
                <w:lang w:eastAsia="en-US"/>
              </w:rPr>
              <w:t>Plan d’Action National de Gestion</w:t>
            </w:r>
            <w:r w:rsidR="00880CFE" w:rsidRPr="00B56F5B">
              <w:rPr>
                <w:sz w:val="18"/>
                <w:szCs w:val="18"/>
                <w:lang w:eastAsia="en-US"/>
              </w:rPr>
              <w:t xml:space="preserve"> </w:t>
            </w:r>
            <w:r w:rsidRPr="00B56F5B">
              <w:rPr>
                <w:sz w:val="18"/>
                <w:szCs w:val="18"/>
                <w:lang w:eastAsia="en-US"/>
              </w:rPr>
              <w:t>Intégrée des Ressources en Eau</w:t>
            </w:r>
            <w:r w:rsidR="004E1535" w:rsidRPr="00B56F5B">
              <w:rPr>
                <w:sz w:val="18"/>
                <w:szCs w:val="18"/>
                <w:lang w:eastAsia="en-US"/>
              </w:rPr>
              <w:t xml:space="preserve"> (PAGIRE)</w:t>
            </w:r>
          </w:p>
          <w:p w14:paraId="17959E9C" w14:textId="730A236C" w:rsidR="00880CFE" w:rsidRPr="00B56F5B" w:rsidRDefault="00880CFE" w:rsidP="00880CFE">
            <w:pPr>
              <w:jc w:val="both"/>
              <w:rPr>
                <w:i/>
                <w:color w:val="1F3864" w:themeColor="accent5" w:themeShade="80"/>
                <w:sz w:val="18"/>
                <w:szCs w:val="18"/>
                <w:lang w:eastAsia="en-US"/>
              </w:rPr>
            </w:pPr>
            <w:r w:rsidRPr="00B56F5B">
              <w:rPr>
                <w:i/>
                <w:color w:val="1F3864" w:themeColor="accent5" w:themeShade="80"/>
                <w:sz w:val="18"/>
                <w:szCs w:val="18"/>
                <w:lang w:eastAsia="en-US"/>
              </w:rPr>
              <w:t>Ministère de l’Énergie, des Mines et de l’Eau, 2007</w:t>
            </w:r>
          </w:p>
          <w:p w14:paraId="355CE4B6" w14:textId="147A1B76" w:rsidR="005719BF" w:rsidRPr="00B56F5B" w:rsidRDefault="005719BF" w:rsidP="005719BF">
            <w:pPr>
              <w:jc w:val="both"/>
              <w:rPr>
                <w:sz w:val="18"/>
                <w:szCs w:val="18"/>
                <w:lang w:eastAsia="en-US"/>
              </w:rPr>
            </w:pPr>
          </w:p>
        </w:tc>
        <w:tc>
          <w:tcPr>
            <w:tcW w:w="1245" w:type="pct"/>
          </w:tcPr>
          <w:p w14:paraId="413C7E9D" w14:textId="77777777" w:rsidR="00B56F5B" w:rsidRDefault="00E471EC" w:rsidP="00B56F5B">
            <w:pPr>
              <w:spacing w:after="120"/>
              <w:jc w:val="both"/>
              <w:rPr>
                <w:sz w:val="18"/>
                <w:szCs w:val="18"/>
                <w:lang w:eastAsia="en-US"/>
              </w:rPr>
            </w:pPr>
            <w:r w:rsidRPr="00B56F5B">
              <w:rPr>
                <w:sz w:val="18"/>
                <w:szCs w:val="18"/>
                <w:lang w:eastAsia="en-US"/>
              </w:rPr>
              <w:t xml:space="preserve">Le PAGIRE constitue le cadre opérationnel de mise en œuvre de la politique nationale de gestion durable des ressources en eau au Mali, fondée sur l’approche de la Gestion Intégrée des Ressources en Eau (GIRE). </w:t>
            </w:r>
          </w:p>
          <w:p w14:paraId="2CEB4B67" w14:textId="77777777" w:rsidR="00B56F5B" w:rsidRDefault="00E471EC" w:rsidP="00B56F5B">
            <w:pPr>
              <w:spacing w:after="120"/>
              <w:jc w:val="both"/>
              <w:rPr>
                <w:sz w:val="18"/>
                <w:szCs w:val="18"/>
                <w:lang w:eastAsia="en-US"/>
              </w:rPr>
            </w:pPr>
            <w:r w:rsidRPr="00B56F5B">
              <w:rPr>
                <w:sz w:val="18"/>
                <w:szCs w:val="18"/>
                <w:lang w:eastAsia="en-US"/>
              </w:rPr>
              <w:lastRenderedPageBreak/>
              <w:t xml:space="preserve">Il vise à contribuer au développement durable et à la lutte contre la pauvreté à travers une gestion coordonnée et durable des ressources en eau, conciliant les besoins socio-économiques, la préservation des écosystèmes et les besoins des générations futures. </w:t>
            </w:r>
          </w:p>
          <w:p w14:paraId="47BEF4DB" w14:textId="5C9A779B" w:rsidR="005719BF" w:rsidRPr="00B56F5B" w:rsidRDefault="00E471EC" w:rsidP="00E471EC">
            <w:pPr>
              <w:jc w:val="both"/>
              <w:rPr>
                <w:sz w:val="18"/>
                <w:szCs w:val="18"/>
                <w:lang w:eastAsia="en-US"/>
              </w:rPr>
            </w:pPr>
            <w:r w:rsidRPr="00B56F5B">
              <w:rPr>
                <w:sz w:val="18"/>
                <w:szCs w:val="18"/>
                <w:lang w:eastAsia="en-US"/>
              </w:rPr>
              <w:t>Le plan prévoit notamment le renforcement de la gouvernance de l’eau, du cadre institutionnel, des capacités des acteurs, des systèmes d’information sur l’eau ainsi que des dispositifs de suivi et de protection des écosystèmes fragiles.</w:t>
            </w:r>
          </w:p>
        </w:tc>
        <w:tc>
          <w:tcPr>
            <w:tcW w:w="1572" w:type="pct"/>
          </w:tcPr>
          <w:p w14:paraId="75386EEA" w14:textId="77777777" w:rsidR="00105F11" w:rsidRPr="00B56F5B" w:rsidRDefault="00105F11" w:rsidP="008A3661">
            <w:pPr>
              <w:pStyle w:val="Paragraphedeliste"/>
              <w:numPr>
                <w:ilvl w:val="0"/>
                <w:numId w:val="22"/>
              </w:numPr>
              <w:spacing w:after="120"/>
              <w:ind w:left="170" w:hanging="170"/>
              <w:jc w:val="lowKashida"/>
              <w:rPr>
                <w:sz w:val="18"/>
                <w:szCs w:val="18"/>
              </w:rPr>
            </w:pPr>
            <w:r w:rsidRPr="00B56F5B">
              <w:rPr>
                <w:sz w:val="18"/>
                <w:szCs w:val="18"/>
              </w:rPr>
              <w:lastRenderedPageBreak/>
              <w:t>Mettre en œuvre la gestion intégrée des ressources en eau (GIRE), notamment à travers l’approche par bassin hydrographique ou système aquifère pour la planification, la mobilisation, la gestion et la protection des ressources en eau ;</w:t>
            </w:r>
          </w:p>
          <w:p w14:paraId="1103EB44" w14:textId="77777777" w:rsidR="00105F11" w:rsidRPr="00B56F5B" w:rsidRDefault="00105F11" w:rsidP="008A3661">
            <w:pPr>
              <w:pStyle w:val="Paragraphedeliste"/>
              <w:numPr>
                <w:ilvl w:val="0"/>
                <w:numId w:val="22"/>
              </w:numPr>
              <w:spacing w:after="120"/>
              <w:ind w:left="170" w:hanging="170"/>
              <w:jc w:val="lowKashida"/>
              <w:rPr>
                <w:sz w:val="18"/>
                <w:szCs w:val="18"/>
              </w:rPr>
            </w:pPr>
            <w:r w:rsidRPr="00B56F5B">
              <w:rPr>
                <w:sz w:val="18"/>
                <w:szCs w:val="18"/>
              </w:rPr>
              <w:lastRenderedPageBreak/>
              <w:t>Mettre en œuvre la stratégie d’assainissement et les mesures de protection des ressources en eau ;</w:t>
            </w:r>
          </w:p>
          <w:p w14:paraId="5E6544AD" w14:textId="77777777" w:rsidR="00105F11" w:rsidRPr="00B56F5B" w:rsidRDefault="00105F11" w:rsidP="008A3661">
            <w:pPr>
              <w:pStyle w:val="Paragraphedeliste"/>
              <w:numPr>
                <w:ilvl w:val="0"/>
                <w:numId w:val="22"/>
              </w:numPr>
              <w:spacing w:after="120"/>
              <w:ind w:left="170" w:hanging="170"/>
              <w:jc w:val="lowKashida"/>
              <w:rPr>
                <w:sz w:val="18"/>
                <w:szCs w:val="18"/>
              </w:rPr>
            </w:pPr>
            <w:r w:rsidRPr="00B56F5B">
              <w:rPr>
                <w:sz w:val="18"/>
                <w:szCs w:val="18"/>
              </w:rPr>
              <w:t>Mettre en place un système national d’information sur l’eau (SNI Eau) ;</w:t>
            </w:r>
          </w:p>
          <w:p w14:paraId="6E088ACB" w14:textId="77777777" w:rsidR="00105F11" w:rsidRPr="00B56F5B" w:rsidRDefault="00105F11" w:rsidP="008A3661">
            <w:pPr>
              <w:pStyle w:val="Paragraphedeliste"/>
              <w:numPr>
                <w:ilvl w:val="0"/>
                <w:numId w:val="22"/>
              </w:numPr>
              <w:spacing w:after="120"/>
              <w:ind w:left="170" w:hanging="170"/>
              <w:jc w:val="lowKashida"/>
              <w:rPr>
                <w:sz w:val="18"/>
                <w:szCs w:val="18"/>
              </w:rPr>
            </w:pPr>
            <w:r w:rsidRPr="00B56F5B">
              <w:rPr>
                <w:sz w:val="18"/>
                <w:szCs w:val="18"/>
              </w:rPr>
              <w:t>Réduire les risques liés à l’eau par une meilleure connaissance de ces risques, la mise en œuvre de mesures préventives et l’amélioration de la gestion des situations de crise ;</w:t>
            </w:r>
          </w:p>
          <w:p w14:paraId="58C187CE" w14:textId="77777777" w:rsidR="00105F11" w:rsidRPr="00B56F5B" w:rsidRDefault="00105F11" w:rsidP="008A3661">
            <w:pPr>
              <w:pStyle w:val="Paragraphedeliste"/>
              <w:numPr>
                <w:ilvl w:val="0"/>
                <w:numId w:val="22"/>
              </w:numPr>
              <w:spacing w:after="120"/>
              <w:ind w:left="170" w:hanging="170"/>
              <w:jc w:val="lowKashida"/>
              <w:rPr>
                <w:sz w:val="18"/>
                <w:szCs w:val="18"/>
              </w:rPr>
            </w:pPr>
            <w:r w:rsidRPr="00B56F5B">
              <w:rPr>
                <w:sz w:val="18"/>
                <w:szCs w:val="18"/>
              </w:rPr>
              <w:t>Renforcer les capacités de connaissance, de suivi et d’évaluation quantitative et qualitative des ressources en eau et de leurs usages ;</w:t>
            </w:r>
          </w:p>
          <w:p w14:paraId="1383BFA2" w14:textId="77777777" w:rsidR="00105F11" w:rsidRPr="00B56F5B" w:rsidRDefault="00105F11" w:rsidP="008A3661">
            <w:pPr>
              <w:pStyle w:val="Paragraphedeliste"/>
              <w:numPr>
                <w:ilvl w:val="0"/>
                <w:numId w:val="22"/>
              </w:numPr>
              <w:spacing w:after="120"/>
              <w:ind w:left="170" w:hanging="170"/>
              <w:jc w:val="lowKashida"/>
              <w:rPr>
                <w:sz w:val="18"/>
                <w:szCs w:val="18"/>
              </w:rPr>
            </w:pPr>
            <w:r w:rsidRPr="00B56F5B">
              <w:rPr>
                <w:sz w:val="18"/>
                <w:szCs w:val="18"/>
              </w:rPr>
              <w:t>Donner la priorité à la réhabilitation et à la consolidation des infrastructures hydrauliques ;</w:t>
            </w:r>
          </w:p>
          <w:p w14:paraId="03C44E21" w14:textId="405B5C81" w:rsidR="005719BF" w:rsidRPr="00B56F5B" w:rsidRDefault="00105F11" w:rsidP="008A3661">
            <w:pPr>
              <w:pStyle w:val="Paragraphedeliste"/>
              <w:numPr>
                <w:ilvl w:val="0"/>
                <w:numId w:val="22"/>
              </w:numPr>
              <w:spacing w:after="120"/>
              <w:ind w:left="170" w:hanging="170"/>
              <w:jc w:val="lowKashida"/>
              <w:rPr>
                <w:sz w:val="18"/>
                <w:szCs w:val="18"/>
              </w:rPr>
            </w:pPr>
            <w:r w:rsidRPr="00B56F5B">
              <w:rPr>
                <w:sz w:val="18"/>
                <w:szCs w:val="18"/>
              </w:rPr>
              <w:t>Rechercher la durabilité des systèmes et ouvrages hydrauliques.</w:t>
            </w:r>
          </w:p>
        </w:tc>
        <w:tc>
          <w:tcPr>
            <w:tcW w:w="1250" w:type="pct"/>
          </w:tcPr>
          <w:p w14:paraId="64B179F2" w14:textId="5E4D4F3E" w:rsidR="0045769E" w:rsidRPr="00B56F5B" w:rsidRDefault="0045769E" w:rsidP="008A3661">
            <w:pPr>
              <w:pStyle w:val="Paragraphedeliste"/>
              <w:numPr>
                <w:ilvl w:val="0"/>
                <w:numId w:val="22"/>
              </w:numPr>
              <w:spacing w:after="120"/>
              <w:ind w:left="170" w:hanging="170"/>
              <w:jc w:val="lowKashida"/>
              <w:rPr>
                <w:sz w:val="18"/>
                <w:szCs w:val="18"/>
              </w:rPr>
            </w:pPr>
            <w:r w:rsidRPr="00B56F5B">
              <w:rPr>
                <w:b/>
                <w:sz w:val="18"/>
                <w:szCs w:val="18"/>
              </w:rPr>
              <w:lastRenderedPageBreak/>
              <w:t>Vision eau 2025 :</w:t>
            </w:r>
            <w:r w:rsidRPr="00B56F5B">
              <w:rPr>
                <w:sz w:val="18"/>
                <w:szCs w:val="18"/>
              </w:rPr>
              <w:t xml:space="preserve"> assurer 80 % des besoins en eau potable des populations, de l’agriculture et des industries à l’horizon 2025 ; </w:t>
            </w:r>
          </w:p>
          <w:p w14:paraId="07A01B99" w14:textId="4101A49A" w:rsidR="0045769E" w:rsidRPr="00B56F5B" w:rsidRDefault="0045769E" w:rsidP="008A3661">
            <w:pPr>
              <w:pStyle w:val="Paragraphedeliste"/>
              <w:numPr>
                <w:ilvl w:val="0"/>
                <w:numId w:val="22"/>
              </w:numPr>
              <w:spacing w:after="120"/>
              <w:ind w:left="170" w:hanging="170"/>
              <w:jc w:val="lowKashida"/>
              <w:rPr>
                <w:sz w:val="18"/>
                <w:szCs w:val="18"/>
              </w:rPr>
            </w:pPr>
            <w:r w:rsidRPr="00B56F5B">
              <w:rPr>
                <w:b/>
                <w:sz w:val="18"/>
                <w:szCs w:val="18"/>
              </w:rPr>
              <w:lastRenderedPageBreak/>
              <w:t>Accès à l’eau potable en milieu rural :</w:t>
            </w:r>
            <w:r w:rsidRPr="00B56F5B">
              <w:rPr>
                <w:sz w:val="18"/>
                <w:szCs w:val="18"/>
              </w:rPr>
              <w:t xml:space="preserve"> passer de 64,4 % en 2005 à 68,4 % en 2007 puis 73,2 % en 2011 ;</w:t>
            </w:r>
          </w:p>
          <w:p w14:paraId="244F7887" w14:textId="3D464F38" w:rsidR="0045769E" w:rsidRPr="00B56F5B" w:rsidRDefault="0045769E" w:rsidP="008A3661">
            <w:pPr>
              <w:pStyle w:val="Paragraphedeliste"/>
              <w:numPr>
                <w:ilvl w:val="0"/>
                <w:numId w:val="22"/>
              </w:numPr>
              <w:spacing w:after="120"/>
              <w:ind w:left="170" w:hanging="170"/>
              <w:jc w:val="lowKashida"/>
              <w:rPr>
                <w:sz w:val="18"/>
                <w:szCs w:val="18"/>
              </w:rPr>
            </w:pPr>
            <w:r w:rsidRPr="00B56F5B">
              <w:rPr>
                <w:b/>
                <w:sz w:val="18"/>
                <w:szCs w:val="18"/>
              </w:rPr>
              <w:t>Accès à l’eau potable en milieu urbain :</w:t>
            </w:r>
            <w:r w:rsidRPr="00B56F5B">
              <w:rPr>
                <w:sz w:val="18"/>
                <w:szCs w:val="18"/>
              </w:rPr>
              <w:t xml:space="preserve"> passer de 70,2 % en 2005 à 74,2 % en 2007 puis 79,3 % en 2011 ;</w:t>
            </w:r>
          </w:p>
          <w:p w14:paraId="1CF5EFED" w14:textId="17CF9283" w:rsidR="005719BF" w:rsidRPr="00B56F5B" w:rsidRDefault="0045769E" w:rsidP="008A3661">
            <w:pPr>
              <w:pStyle w:val="Paragraphedeliste"/>
              <w:numPr>
                <w:ilvl w:val="0"/>
                <w:numId w:val="22"/>
              </w:numPr>
              <w:spacing w:after="120"/>
              <w:ind w:left="170" w:hanging="170"/>
              <w:jc w:val="lowKashida"/>
              <w:rPr>
                <w:sz w:val="18"/>
                <w:szCs w:val="18"/>
                <w:lang w:eastAsia="en-US"/>
              </w:rPr>
            </w:pPr>
            <w:r w:rsidRPr="00B56F5B">
              <w:rPr>
                <w:b/>
                <w:sz w:val="18"/>
                <w:szCs w:val="18"/>
              </w:rPr>
              <w:t>Assainissement :</w:t>
            </w:r>
            <w:r w:rsidRPr="00B56F5B">
              <w:rPr>
                <w:sz w:val="18"/>
                <w:szCs w:val="18"/>
              </w:rPr>
              <w:t xml:space="preserve"> faire évoluer le taux de couverture de 4,4 % en 2004 à 20 % en 2010.</w:t>
            </w:r>
          </w:p>
        </w:tc>
      </w:tr>
    </w:tbl>
    <w:p w14:paraId="5744B7E7" w14:textId="7730A657" w:rsidR="00E809CB" w:rsidRPr="00E809CB" w:rsidRDefault="00E809CB" w:rsidP="00B56F5B">
      <w:pPr>
        <w:pStyle w:val="NormalWeb"/>
        <w:spacing w:before="240" w:beforeAutospacing="0" w:after="120" w:afterAutospacing="0"/>
        <w:jc w:val="both"/>
        <w:rPr>
          <w:rFonts w:ascii="Calibri" w:eastAsia="Calibri" w:hAnsi="Calibri" w:cs="Calibri"/>
        </w:rPr>
      </w:pPr>
      <w:r w:rsidRPr="00E809CB">
        <w:rPr>
          <w:rFonts w:ascii="Calibri" w:eastAsia="Calibri" w:hAnsi="Calibri" w:cs="Calibri"/>
        </w:rPr>
        <w:lastRenderedPageBreak/>
        <w:t>L’examen des politiques et stratégies analysées met en évidence une attention particulière accordée à la gestion durable des ressources en eau, à l’amélioration de l’accès à l’eau potable et à l’assainissement, ainsi qu’au renforcement de la résilience face aux effets des changements climatiques. Les orientations identifiées portent notamment sur la mise en œuvre de la gestion intégrée des ressources en eau (GIRE), le renforcement des systèmes d’information et de suivi des ressources hydriques, la protection des ressources et des écosystèmes associés, ainsi que l’amélioration des infrastructures hydrauliques et des dispositifs de prévention et de gestion des sécheresses, des inondations et des crises hydriques. Les documents examinés intègrent également certaines cibles quantitatives relatives à l’accès à l’eau potable et à l’assainissement.</w:t>
      </w:r>
    </w:p>
    <w:p w14:paraId="4308DD1B" w14:textId="34A9C74D" w:rsidR="00312415" w:rsidRDefault="00E809CB" w:rsidP="00863A4A">
      <w:pPr>
        <w:pStyle w:val="NormalWeb"/>
        <w:spacing w:before="0" w:beforeAutospacing="0" w:after="120" w:afterAutospacing="0"/>
        <w:jc w:val="both"/>
        <w:rPr>
          <w:rFonts w:ascii="Calibri" w:eastAsia="Calibri" w:hAnsi="Calibri" w:cs="Calibri"/>
        </w:rPr>
      </w:pPr>
      <w:r w:rsidRPr="00E809CB">
        <w:rPr>
          <w:rFonts w:ascii="Calibri" w:eastAsia="Calibri" w:hAnsi="Calibri" w:cs="Calibri"/>
        </w:rPr>
        <w:t>La CDN 3.0 devra ainsi renforcer les efforts engagés dans le secteur de l’eau, notamment en matière de résilience des infrastructures hydrauliques, de suivi des ressources hydriques et de gestion des effets de la variabilité climatique sur les ressources en eau. Elle devra également traduire ces orientations en mesures opérationnelles, quantifiées et suivables dans le cadre du dispositif de suivi de la CDN 3.0</w:t>
      </w:r>
      <w:r w:rsidR="00312415" w:rsidRPr="00754F7D">
        <w:rPr>
          <w:rFonts w:ascii="Calibri" w:eastAsia="Calibri" w:hAnsi="Calibri" w:cs="Calibri"/>
        </w:rPr>
        <w:t>.</w:t>
      </w:r>
    </w:p>
    <w:tbl>
      <w:tblPr>
        <w:tblStyle w:val="Grilledutableau"/>
        <w:tblW w:w="0" w:type="auto"/>
        <w:shd w:val="clear" w:color="auto" w:fill="DEEAF6" w:themeFill="accent1" w:themeFillTint="33"/>
        <w:tblLook w:val="04A0" w:firstRow="1" w:lastRow="0" w:firstColumn="1" w:lastColumn="0" w:noHBand="0" w:noVBand="1"/>
      </w:tblPr>
      <w:tblGrid>
        <w:gridCol w:w="13018"/>
      </w:tblGrid>
      <w:tr w:rsidR="00D36DC2" w14:paraId="1900A463" w14:textId="77777777" w:rsidTr="00D36DC2">
        <w:tc>
          <w:tcPr>
            <w:tcW w:w="13018" w:type="dxa"/>
            <w:shd w:val="clear" w:color="auto" w:fill="DEEAF6" w:themeFill="accent1" w:themeFillTint="33"/>
          </w:tcPr>
          <w:p w14:paraId="52150D37" w14:textId="77777777" w:rsidR="00D36DC2" w:rsidRPr="00DF2634" w:rsidRDefault="00D36DC2" w:rsidP="00D36DC2">
            <w:pPr>
              <w:spacing w:before="120" w:after="120"/>
              <w:contextualSpacing/>
              <w:jc w:val="both"/>
              <w:rPr>
                <w:color w:val="000000" w:themeColor="text1"/>
                <w:sz w:val="24"/>
                <w:szCs w:val="24"/>
              </w:rPr>
            </w:pPr>
            <w:r w:rsidRPr="006B16A6">
              <w:rPr>
                <w:color w:val="000000" w:themeColor="text1"/>
                <w:sz w:val="24"/>
                <w:szCs w:val="24"/>
              </w:rPr>
              <w:t>Sur la base de la revue sectorielle conduite, les éléments suivants devront être intégrés dans la CDN 3.0</w:t>
            </w:r>
            <w:r>
              <w:rPr>
                <w:color w:val="000000" w:themeColor="text1"/>
                <w:sz w:val="24"/>
                <w:szCs w:val="24"/>
              </w:rPr>
              <w:t xml:space="preserve"> </w:t>
            </w:r>
            <w:r w:rsidRPr="00DF2634">
              <w:rPr>
                <w:color w:val="000000" w:themeColor="text1"/>
                <w:sz w:val="24"/>
                <w:szCs w:val="24"/>
              </w:rPr>
              <w:t>:</w:t>
            </w:r>
          </w:p>
          <w:p w14:paraId="0CA8DE3C" w14:textId="77777777" w:rsidR="00D36DC2" w:rsidRPr="00C8160C" w:rsidRDefault="00D36DC2" w:rsidP="00D36DC2">
            <w:pPr>
              <w:pStyle w:val="Paragraphedeliste"/>
              <w:numPr>
                <w:ilvl w:val="0"/>
                <w:numId w:val="33"/>
              </w:numPr>
              <w:spacing w:before="120" w:after="120"/>
              <w:jc w:val="both"/>
              <w:rPr>
                <w:color w:val="000000" w:themeColor="text1"/>
                <w:sz w:val="24"/>
                <w:szCs w:val="24"/>
              </w:rPr>
            </w:pPr>
            <w:r w:rsidRPr="00C8160C">
              <w:rPr>
                <w:b/>
                <w:bCs/>
                <w:color w:val="000000" w:themeColor="text1"/>
                <w:sz w:val="24"/>
                <w:szCs w:val="24"/>
              </w:rPr>
              <w:t xml:space="preserve">Gestion intégrée des ressources en eau par bassin hydrographique : </w:t>
            </w:r>
            <w:r w:rsidRPr="00C8160C">
              <w:rPr>
                <w:color w:val="000000" w:themeColor="text1"/>
                <w:sz w:val="24"/>
                <w:szCs w:val="24"/>
              </w:rPr>
              <w:t>consolidation de l'approche GIRE, renforcement des dispositifs de planification, de mobilisation et de protection des ressources en eau, en continuité avec la PNE et le PAGIRE ;</w:t>
            </w:r>
          </w:p>
          <w:p w14:paraId="456262D0" w14:textId="77777777" w:rsidR="00D36DC2" w:rsidRPr="00C8160C" w:rsidRDefault="00D36DC2" w:rsidP="00D36DC2">
            <w:pPr>
              <w:pStyle w:val="Paragraphedeliste"/>
              <w:numPr>
                <w:ilvl w:val="0"/>
                <w:numId w:val="33"/>
              </w:numPr>
              <w:spacing w:before="120" w:after="120"/>
              <w:jc w:val="both"/>
              <w:rPr>
                <w:color w:val="000000" w:themeColor="text1"/>
                <w:sz w:val="24"/>
                <w:szCs w:val="24"/>
              </w:rPr>
            </w:pPr>
            <w:r w:rsidRPr="00C8160C">
              <w:rPr>
                <w:b/>
                <w:bCs/>
                <w:color w:val="000000" w:themeColor="text1"/>
                <w:sz w:val="24"/>
                <w:szCs w:val="24"/>
              </w:rPr>
              <w:lastRenderedPageBreak/>
              <w:t xml:space="preserve">Sécurisation de l'accès à l'eau potable et à l'assainissement : </w:t>
            </w:r>
            <w:r w:rsidRPr="00C8160C">
              <w:rPr>
                <w:color w:val="000000" w:themeColor="text1"/>
                <w:sz w:val="24"/>
                <w:szCs w:val="24"/>
              </w:rPr>
              <w:t>développement des infrastructures hydrauliques en milieu rural et urbain, amélioration de l'efficience des réseaux, extension de la couverture en assainissement, avec une attention particulière aux populations vulnérables ;</w:t>
            </w:r>
          </w:p>
          <w:p w14:paraId="6A75962F" w14:textId="77777777" w:rsidR="00D36DC2" w:rsidRDefault="00D36DC2" w:rsidP="00D36DC2">
            <w:pPr>
              <w:pStyle w:val="Paragraphedeliste"/>
              <w:numPr>
                <w:ilvl w:val="0"/>
                <w:numId w:val="33"/>
              </w:numPr>
              <w:spacing w:before="120" w:after="120"/>
              <w:jc w:val="both"/>
              <w:rPr>
                <w:color w:val="000000" w:themeColor="text1"/>
                <w:sz w:val="24"/>
                <w:szCs w:val="24"/>
              </w:rPr>
            </w:pPr>
            <w:r w:rsidRPr="00C8160C">
              <w:rPr>
                <w:b/>
                <w:bCs/>
                <w:color w:val="000000" w:themeColor="text1"/>
                <w:sz w:val="24"/>
                <w:szCs w:val="24"/>
              </w:rPr>
              <w:t xml:space="preserve">Réduction des risques liés à l'eau : </w:t>
            </w:r>
            <w:r w:rsidRPr="00C8160C">
              <w:rPr>
                <w:color w:val="000000" w:themeColor="text1"/>
                <w:sz w:val="24"/>
                <w:szCs w:val="24"/>
              </w:rPr>
              <w:t>renforcement de la connaissance des risques, mise en œuvre de mesures préventives, et amélioration de la gestion des situations de crise (sécheresses, inondations) ;</w:t>
            </w:r>
          </w:p>
          <w:p w14:paraId="309B500D" w14:textId="1DDEFEF3" w:rsidR="00966475" w:rsidRPr="00C8160C" w:rsidRDefault="00966475" w:rsidP="00D36DC2">
            <w:pPr>
              <w:pStyle w:val="Paragraphedeliste"/>
              <w:numPr>
                <w:ilvl w:val="0"/>
                <w:numId w:val="33"/>
              </w:numPr>
              <w:spacing w:before="120" w:after="120"/>
              <w:jc w:val="both"/>
              <w:rPr>
                <w:color w:val="000000" w:themeColor="text1"/>
                <w:sz w:val="24"/>
                <w:szCs w:val="24"/>
              </w:rPr>
            </w:pPr>
            <w:r w:rsidRPr="00735F49">
              <w:rPr>
                <w:b/>
                <w:bCs/>
                <w:color w:val="000000" w:themeColor="text1"/>
                <w:sz w:val="24"/>
                <w:szCs w:val="24"/>
              </w:rPr>
              <w:t>Renforcement de la résilience des services d’eau potable, d’assainissement et d’hygiène (WASH) :</w:t>
            </w:r>
            <w:r w:rsidRPr="00966475">
              <w:rPr>
                <w:color w:val="000000" w:themeColor="text1"/>
                <w:sz w:val="24"/>
                <w:szCs w:val="24"/>
              </w:rPr>
              <w:t xml:space="preserve"> amélioration de la continuité des services face aux aléas climatiques, renforcement des services WASH dans les établissements scolaires et les structures de santé, promotion du nexus eau-énergie, renforcement de la surveillance de la qualité de l’eau et intégration des dimensions de genre et d’équité</w:t>
            </w:r>
            <w:r>
              <w:rPr>
                <w:color w:val="000000" w:themeColor="text1"/>
                <w:sz w:val="24"/>
                <w:szCs w:val="24"/>
              </w:rPr>
              <w:t> ;</w:t>
            </w:r>
          </w:p>
          <w:p w14:paraId="3C0F73FF" w14:textId="77777777" w:rsidR="00D36DC2" w:rsidRPr="00C8160C" w:rsidRDefault="00D36DC2" w:rsidP="00D36DC2">
            <w:pPr>
              <w:pStyle w:val="Paragraphedeliste"/>
              <w:numPr>
                <w:ilvl w:val="0"/>
                <w:numId w:val="33"/>
              </w:numPr>
              <w:spacing w:before="120" w:after="120"/>
              <w:jc w:val="both"/>
              <w:rPr>
                <w:color w:val="000000" w:themeColor="text1"/>
                <w:sz w:val="24"/>
                <w:szCs w:val="24"/>
              </w:rPr>
            </w:pPr>
            <w:r w:rsidRPr="00C8160C">
              <w:rPr>
                <w:b/>
                <w:bCs/>
                <w:color w:val="000000" w:themeColor="text1"/>
                <w:sz w:val="24"/>
                <w:szCs w:val="24"/>
              </w:rPr>
              <w:t xml:space="preserve">Protection des écosystèmes aquatiques : </w:t>
            </w:r>
            <w:r w:rsidRPr="00C8160C">
              <w:rPr>
                <w:color w:val="000000" w:themeColor="text1"/>
                <w:sz w:val="24"/>
                <w:szCs w:val="24"/>
              </w:rPr>
              <w:t>restauration et préservation des zones humides, lutte contre la pollution des ressources en eau, gestion durable des écosystèmes fragiles ;</w:t>
            </w:r>
          </w:p>
          <w:p w14:paraId="37E1DF32" w14:textId="77777777" w:rsidR="00D36DC2" w:rsidRPr="00C8160C" w:rsidRDefault="00D36DC2" w:rsidP="00D36DC2">
            <w:pPr>
              <w:pStyle w:val="Paragraphedeliste"/>
              <w:numPr>
                <w:ilvl w:val="0"/>
                <w:numId w:val="33"/>
              </w:numPr>
              <w:spacing w:before="120" w:after="120"/>
              <w:jc w:val="both"/>
              <w:rPr>
                <w:color w:val="000000" w:themeColor="text1"/>
                <w:sz w:val="24"/>
                <w:szCs w:val="24"/>
              </w:rPr>
            </w:pPr>
            <w:r w:rsidRPr="00C8160C">
              <w:rPr>
                <w:b/>
                <w:bCs/>
                <w:color w:val="000000" w:themeColor="text1"/>
                <w:sz w:val="24"/>
                <w:szCs w:val="24"/>
              </w:rPr>
              <w:t xml:space="preserve">Système national d'information sur l'eau : </w:t>
            </w:r>
            <w:r w:rsidRPr="00C8160C">
              <w:rPr>
                <w:color w:val="000000" w:themeColor="text1"/>
                <w:sz w:val="24"/>
                <w:szCs w:val="24"/>
              </w:rPr>
              <w:t>renforcement des capacités de connaissance, de suivi et d'évaluation quantitative et qualitative des ressources en eau et de leurs usages ;</w:t>
            </w:r>
          </w:p>
          <w:p w14:paraId="380AFFB5" w14:textId="1A176ED9" w:rsidR="00D36DC2" w:rsidRPr="00D36DC2" w:rsidRDefault="00D36DC2" w:rsidP="00D36DC2">
            <w:pPr>
              <w:pStyle w:val="Paragraphedeliste"/>
              <w:numPr>
                <w:ilvl w:val="0"/>
                <w:numId w:val="33"/>
              </w:numPr>
              <w:spacing w:before="120" w:after="120"/>
              <w:jc w:val="both"/>
              <w:rPr>
                <w:color w:val="000000" w:themeColor="text1"/>
                <w:sz w:val="24"/>
                <w:szCs w:val="24"/>
              </w:rPr>
            </w:pPr>
            <w:r w:rsidRPr="00C8160C">
              <w:rPr>
                <w:b/>
                <w:bCs/>
                <w:color w:val="000000" w:themeColor="text1"/>
                <w:sz w:val="24"/>
                <w:szCs w:val="24"/>
              </w:rPr>
              <w:t xml:space="preserve">Coopération transfrontalière : </w:t>
            </w:r>
            <w:r w:rsidRPr="00C8160C">
              <w:rPr>
                <w:color w:val="000000" w:themeColor="text1"/>
                <w:sz w:val="24"/>
                <w:szCs w:val="24"/>
              </w:rPr>
              <w:t>renforcement de la concertation avec les pays voisins pour la gestion des eaux internationales (bassins du Niger et du Sénégal).</w:t>
            </w:r>
          </w:p>
        </w:tc>
      </w:tr>
    </w:tbl>
    <w:p w14:paraId="24A1B197" w14:textId="24478DC1" w:rsidR="00FC34F7" w:rsidRDefault="00FC34F7" w:rsidP="00812F26">
      <w:pPr>
        <w:pStyle w:val="Titre3"/>
        <w:numPr>
          <w:ilvl w:val="2"/>
          <w:numId w:val="21"/>
        </w:numPr>
        <w:spacing w:before="240"/>
      </w:pPr>
      <w:bookmarkStart w:id="28" w:name="_Toc234853862"/>
      <w:r>
        <w:lastRenderedPageBreak/>
        <w:t>Biodiversité</w:t>
      </w:r>
      <w:bookmarkEnd w:id="28"/>
    </w:p>
    <w:p w14:paraId="27067972" w14:textId="706DB8F0" w:rsidR="00ED5DBA" w:rsidRPr="009F0377" w:rsidRDefault="00207826" w:rsidP="001233BC">
      <w:pPr>
        <w:pStyle w:val="NormalWeb"/>
        <w:spacing w:before="0" w:beforeAutospacing="0"/>
        <w:jc w:val="both"/>
        <w:rPr>
          <w:rFonts w:ascii="Calibri" w:eastAsia="Calibri" w:hAnsi="Calibri" w:cs="Calibri"/>
        </w:rPr>
      </w:pPr>
      <w:r w:rsidRPr="00207826">
        <w:rPr>
          <w:rFonts w:ascii="Calibri" w:eastAsia="Calibri" w:hAnsi="Calibri" w:cs="Calibri"/>
        </w:rPr>
        <w:t>La biodiversité et les ressources naturelles figurent parmi les secteurs les plus vulnérables aux effets du changement climatique, en raison de la dégradation des écosystèmes, de la désertification, de la pression croissante exercée sur les ressources naturelles et de la perte progressive des habitats et des espèces. La préservation des écosystèmes et l’utilisation durable des ressources naturelles jouent ainsi un rôle essentiel dans le renforcement de la résilience des populations, des systèmes de production et des territoires face aux aléas climatiques. Dans cette perspective, plusieurs politiques et stratégies ont été élaborées afin de promouvoir la conservation de la biodiversité, la gestion durable des ressources forestières, fauniques et halieutiques ainsi que la protection des écosystèmes. Les principales orientations issues de ces documents stratégiques ainsi que les éventuelles cibles quantitatives associées sont présentées dans le tableau ci-après.</w:t>
      </w:r>
    </w:p>
    <w:p w14:paraId="6E94A8C0" w14:textId="3227F790" w:rsidR="000C78AA" w:rsidRDefault="000C78AA" w:rsidP="000C78AA">
      <w:pPr>
        <w:pStyle w:val="Lgende"/>
        <w:keepNext/>
      </w:pPr>
      <w:bookmarkStart w:id="29" w:name="_Toc234853935"/>
      <w:r>
        <w:lastRenderedPageBreak/>
        <w:t xml:space="preserve">Tableau </w:t>
      </w:r>
      <w:r>
        <w:fldChar w:fldCharType="begin"/>
      </w:r>
      <w:r>
        <w:instrText xml:space="preserve"> SEQ Tableau \* ARABIC </w:instrText>
      </w:r>
      <w:r>
        <w:fldChar w:fldCharType="separate"/>
      </w:r>
      <w:r w:rsidR="0018772E">
        <w:rPr>
          <w:noProof/>
        </w:rPr>
        <w:t>11</w:t>
      </w:r>
      <w:r>
        <w:fldChar w:fldCharType="end"/>
      </w:r>
      <w:r>
        <w:t xml:space="preserve"> : </w:t>
      </w:r>
      <w:r w:rsidRPr="00745F49">
        <w:t>Politiques et stratégies du secteur de la biodiversité au Mali en lien avec l’adaptation</w:t>
      </w:r>
      <w:bookmarkEnd w:id="29"/>
      <w:r w:rsidRPr="00745F49">
        <w:t xml:space="preserve"> </w:t>
      </w:r>
    </w:p>
    <w:tbl>
      <w:tblPr>
        <w:tblStyle w:val="Grilledutablea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260"/>
        <w:gridCol w:w="3666"/>
        <w:gridCol w:w="3252"/>
      </w:tblGrid>
      <w:tr w:rsidR="00ED5DBA" w:rsidRPr="000C78AA" w14:paraId="14F7284F" w14:textId="77777777" w:rsidTr="00A5279A">
        <w:trPr>
          <w:trHeight w:val="558"/>
          <w:tblHeader/>
        </w:trPr>
        <w:tc>
          <w:tcPr>
            <w:tcW w:w="108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1351430C" w14:textId="77777777" w:rsidR="00ED5DBA" w:rsidRPr="000C78AA" w:rsidRDefault="00ED5DBA" w:rsidP="00776974">
            <w:pPr>
              <w:jc w:val="center"/>
              <w:rPr>
                <w:b/>
                <w:color w:val="FFFFFF" w:themeColor="background1"/>
                <w:sz w:val="18"/>
                <w:szCs w:val="18"/>
                <w:lang w:eastAsia="en-US"/>
              </w:rPr>
            </w:pPr>
            <w:r w:rsidRPr="000C78AA">
              <w:rPr>
                <w:b/>
                <w:color w:val="FFFFFF" w:themeColor="background1"/>
                <w:sz w:val="18"/>
                <w:szCs w:val="18"/>
                <w:lang w:eastAsia="en-US"/>
              </w:rPr>
              <w:t>Politique / stratégie</w:t>
            </w:r>
          </w:p>
        </w:tc>
        <w:tc>
          <w:tcPr>
            <w:tcW w:w="12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2F85D4D0" w14:textId="77777777" w:rsidR="00ED5DBA" w:rsidRPr="000C78AA" w:rsidRDefault="00ED5DBA">
            <w:pPr>
              <w:jc w:val="center"/>
              <w:rPr>
                <w:b/>
                <w:color w:val="FFFFFF" w:themeColor="background1"/>
                <w:sz w:val="18"/>
                <w:szCs w:val="18"/>
                <w:lang w:eastAsia="en-US"/>
              </w:rPr>
            </w:pPr>
            <w:r w:rsidRPr="000C78AA">
              <w:rPr>
                <w:b/>
                <w:color w:val="FFFFFF" w:themeColor="background1"/>
                <w:sz w:val="18"/>
                <w:szCs w:val="18"/>
                <w:lang w:eastAsia="en-US"/>
              </w:rPr>
              <w:t>Description</w:t>
            </w:r>
          </w:p>
        </w:tc>
        <w:tc>
          <w:tcPr>
            <w:tcW w:w="140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3C4204E8" w14:textId="77777777" w:rsidR="00ED5DBA" w:rsidRPr="000C78AA" w:rsidRDefault="00ED5DBA">
            <w:pPr>
              <w:jc w:val="center"/>
              <w:rPr>
                <w:b/>
                <w:color w:val="FFFFFF" w:themeColor="background1"/>
                <w:sz w:val="18"/>
                <w:szCs w:val="18"/>
                <w:lang w:eastAsia="en-US"/>
              </w:rPr>
            </w:pPr>
            <w:r w:rsidRPr="000C78AA">
              <w:rPr>
                <w:b/>
                <w:color w:val="FFFFFF" w:themeColor="background1"/>
                <w:sz w:val="18"/>
                <w:szCs w:val="18"/>
                <w:lang w:eastAsia="en-US"/>
              </w:rPr>
              <w:t>Principales orientations climatiques</w:t>
            </w:r>
          </w:p>
        </w:tc>
        <w:tc>
          <w:tcPr>
            <w:tcW w:w="12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4BC30DD9" w14:textId="77777777" w:rsidR="00ED5DBA" w:rsidRPr="000C78AA" w:rsidRDefault="00ED5DBA">
            <w:pPr>
              <w:jc w:val="center"/>
              <w:rPr>
                <w:b/>
                <w:color w:val="FFFFFF" w:themeColor="background1"/>
                <w:sz w:val="18"/>
                <w:szCs w:val="18"/>
                <w:lang w:eastAsia="en-US"/>
              </w:rPr>
            </w:pPr>
            <w:r w:rsidRPr="000C78AA">
              <w:rPr>
                <w:b/>
                <w:color w:val="FFFFFF" w:themeColor="background1"/>
                <w:sz w:val="18"/>
                <w:szCs w:val="18"/>
                <w:lang w:eastAsia="en-US"/>
              </w:rPr>
              <w:t>Cibles quantitatives</w:t>
            </w:r>
          </w:p>
        </w:tc>
      </w:tr>
      <w:tr w:rsidR="00ED5DBA" w:rsidRPr="000C78AA" w14:paraId="45B85A03" w14:textId="77777777" w:rsidTr="00A5279A">
        <w:tc>
          <w:tcPr>
            <w:tcW w:w="1088" w:type="pct"/>
          </w:tcPr>
          <w:p w14:paraId="3C004540" w14:textId="2B80B2F2" w:rsidR="00E76B32" w:rsidRPr="000C78AA" w:rsidRDefault="00E76B32" w:rsidP="005B09C7">
            <w:pPr>
              <w:jc w:val="both"/>
              <w:rPr>
                <w:b/>
                <w:sz w:val="18"/>
                <w:szCs w:val="18"/>
                <w:lang w:eastAsia="en-US"/>
              </w:rPr>
            </w:pPr>
            <w:r w:rsidRPr="000C78AA">
              <w:rPr>
                <w:b/>
                <w:sz w:val="18"/>
                <w:szCs w:val="18"/>
                <w:lang w:eastAsia="en-US"/>
              </w:rPr>
              <w:t>Politique Nationale</w:t>
            </w:r>
            <w:r w:rsidR="005B09C7" w:rsidRPr="000C78AA">
              <w:rPr>
                <w:b/>
                <w:sz w:val="18"/>
                <w:szCs w:val="18"/>
                <w:lang w:eastAsia="en-US"/>
              </w:rPr>
              <w:t xml:space="preserve"> </w:t>
            </w:r>
            <w:r w:rsidRPr="000C78AA">
              <w:rPr>
                <w:b/>
                <w:sz w:val="18"/>
                <w:szCs w:val="18"/>
                <w:lang w:eastAsia="en-US"/>
              </w:rPr>
              <w:t xml:space="preserve">Forestière </w:t>
            </w:r>
          </w:p>
          <w:p w14:paraId="5EB3F2A5" w14:textId="54F7C354" w:rsidR="00ED5DBA" w:rsidRPr="000C78AA" w:rsidRDefault="005B09C7" w:rsidP="005B09C7">
            <w:pPr>
              <w:jc w:val="both"/>
              <w:rPr>
                <w:i/>
                <w:color w:val="1F3864" w:themeColor="accent5" w:themeShade="80"/>
                <w:sz w:val="18"/>
                <w:szCs w:val="18"/>
                <w:lang w:eastAsia="en-US"/>
              </w:rPr>
            </w:pPr>
            <w:r w:rsidRPr="000C78AA">
              <w:rPr>
                <w:i/>
                <w:color w:val="1F3864" w:themeColor="accent5" w:themeShade="80"/>
                <w:sz w:val="18"/>
                <w:szCs w:val="18"/>
                <w:lang w:eastAsia="en-US"/>
              </w:rPr>
              <w:t>Ministère du Développement Rural et de l'Environnement</w:t>
            </w:r>
            <w:r w:rsidR="00ED5DBA" w:rsidRPr="000C78AA">
              <w:rPr>
                <w:i/>
                <w:color w:val="1F3864" w:themeColor="accent5" w:themeShade="80"/>
                <w:sz w:val="18"/>
                <w:szCs w:val="18"/>
                <w:lang w:eastAsia="en-US"/>
              </w:rPr>
              <w:t xml:space="preserve">, </w:t>
            </w:r>
            <w:r w:rsidRPr="000C78AA">
              <w:rPr>
                <w:i/>
                <w:color w:val="1F3864" w:themeColor="accent5" w:themeShade="80"/>
                <w:sz w:val="18"/>
                <w:szCs w:val="18"/>
                <w:lang w:eastAsia="en-US"/>
              </w:rPr>
              <w:t>1995</w:t>
            </w:r>
          </w:p>
        </w:tc>
        <w:tc>
          <w:tcPr>
            <w:tcW w:w="1253" w:type="pct"/>
          </w:tcPr>
          <w:p w14:paraId="69F2D904" w14:textId="77777777" w:rsidR="00A5279A" w:rsidRDefault="00285052" w:rsidP="00A5279A">
            <w:pPr>
              <w:spacing w:after="120"/>
              <w:jc w:val="both"/>
              <w:rPr>
                <w:sz w:val="18"/>
                <w:szCs w:val="18"/>
                <w:lang w:eastAsia="en-US"/>
              </w:rPr>
            </w:pPr>
            <w:r w:rsidRPr="000C78AA">
              <w:rPr>
                <w:sz w:val="18"/>
                <w:szCs w:val="18"/>
                <w:lang w:eastAsia="en-US"/>
              </w:rPr>
              <w:t xml:space="preserve">La Politique Nationale Forestière vise à promouvoir une gestion décentralisée et participative des ressources forestières, fauniques et halieutiques, en rupture avec l’ancien modèle centralisé de gestion des ressources naturelles. </w:t>
            </w:r>
          </w:p>
          <w:p w14:paraId="5509F090" w14:textId="77777777" w:rsidR="00A5279A" w:rsidRDefault="00285052" w:rsidP="00A5279A">
            <w:pPr>
              <w:spacing w:after="120"/>
              <w:jc w:val="both"/>
              <w:rPr>
                <w:sz w:val="18"/>
                <w:szCs w:val="18"/>
                <w:lang w:eastAsia="en-US"/>
              </w:rPr>
            </w:pPr>
            <w:r w:rsidRPr="000C78AA">
              <w:rPr>
                <w:sz w:val="18"/>
                <w:szCs w:val="18"/>
                <w:lang w:eastAsia="en-US"/>
              </w:rPr>
              <w:t xml:space="preserve">Elle repose sur trois dimensions complémentaires : </w:t>
            </w:r>
            <w:r w:rsidRPr="000C78AA">
              <w:rPr>
                <w:b/>
                <w:sz w:val="18"/>
                <w:szCs w:val="18"/>
                <w:lang w:eastAsia="en-US"/>
              </w:rPr>
              <w:t>sociale</w:t>
            </w:r>
            <w:r w:rsidRPr="000C78AA">
              <w:rPr>
                <w:sz w:val="18"/>
                <w:szCs w:val="18"/>
                <w:lang w:eastAsia="en-US"/>
              </w:rPr>
              <w:t xml:space="preserve">, à travers l’implication des communautés locales ; </w:t>
            </w:r>
            <w:r w:rsidRPr="000C78AA">
              <w:rPr>
                <w:b/>
                <w:sz w:val="18"/>
                <w:szCs w:val="18"/>
                <w:lang w:eastAsia="en-US"/>
              </w:rPr>
              <w:t>économique</w:t>
            </w:r>
            <w:r w:rsidRPr="000C78AA">
              <w:rPr>
                <w:sz w:val="18"/>
                <w:szCs w:val="18"/>
                <w:lang w:eastAsia="en-US"/>
              </w:rPr>
              <w:t xml:space="preserve">, par le développement et la structuration des filières ; et </w:t>
            </w:r>
            <w:r w:rsidRPr="000C78AA">
              <w:rPr>
                <w:b/>
                <w:sz w:val="18"/>
                <w:szCs w:val="18"/>
                <w:lang w:eastAsia="en-US"/>
              </w:rPr>
              <w:t>écologique</w:t>
            </w:r>
            <w:r w:rsidRPr="000C78AA">
              <w:rPr>
                <w:sz w:val="18"/>
                <w:szCs w:val="18"/>
                <w:lang w:eastAsia="en-US"/>
              </w:rPr>
              <w:t xml:space="preserve">, à travers la conservation de la biodiversité et la restauration des écosystèmes dégradés. </w:t>
            </w:r>
          </w:p>
          <w:p w14:paraId="538F9A09" w14:textId="247C710E" w:rsidR="00ED5DBA" w:rsidRPr="000C78AA" w:rsidRDefault="00285052" w:rsidP="00A5279A">
            <w:pPr>
              <w:spacing w:after="120"/>
              <w:jc w:val="both"/>
              <w:rPr>
                <w:sz w:val="18"/>
                <w:szCs w:val="18"/>
                <w:lang w:eastAsia="en-US"/>
              </w:rPr>
            </w:pPr>
            <w:r w:rsidRPr="000C78AA">
              <w:rPr>
                <w:sz w:val="18"/>
                <w:szCs w:val="18"/>
                <w:lang w:eastAsia="en-US"/>
              </w:rPr>
              <w:t>Elle s’appuie également sur le processus de décentralisation et sur le renforcement des capacités des acteurs locaux et des opérateurs du secteur.</w:t>
            </w:r>
          </w:p>
        </w:tc>
        <w:tc>
          <w:tcPr>
            <w:tcW w:w="1409" w:type="pct"/>
          </w:tcPr>
          <w:p w14:paraId="4284ED63" w14:textId="5D479F03" w:rsidR="00D116FB" w:rsidRPr="000C78AA" w:rsidRDefault="00836C19" w:rsidP="008A3661">
            <w:pPr>
              <w:pStyle w:val="Paragraphedeliste"/>
              <w:numPr>
                <w:ilvl w:val="0"/>
                <w:numId w:val="22"/>
              </w:numPr>
              <w:spacing w:after="120"/>
              <w:ind w:left="170" w:hanging="170"/>
              <w:jc w:val="lowKashida"/>
              <w:rPr>
                <w:sz w:val="18"/>
                <w:szCs w:val="18"/>
              </w:rPr>
            </w:pPr>
            <w:r w:rsidRPr="000C78AA">
              <w:rPr>
                <w:sz w:val="18"/>
                <w:szCs w:val="18"/>
              </w:rPr>
              <w:t>G</w:t>
            </w:r>
            <w:r w:rsidR="00D116FB" w:rsidRPr="000C78AA">
              <w:rPr>
                <w:sz w:val="18"/>
                <w:szCs w:val="18"/>
              </w:rPr>
              <w:t>estion durable, décentralisée et participative des ressources forestières, fauniques et halieutiques ;</w:t>
            </w:r>
          </w:p>
          <w:p w14:paraId="0093C151" w14:textId="3AF839A0" w:rsidR="00D116FB" w:rsidRPr="000C78AA" w:rsidRDefault="00836C19" w:rsidP="008A3661">
            <w:pPr>
              <w:pStyle w:val="Paragraphedeliste"/>
              <w:numPr>
                <w:ilvl w:val="0"/>
                <w:numId w:val="22"/>
              </w:numPr>
              <w:spacing w:after="120"/>
              <w:ind w:left="170" w:hanging="170"/>
              <w:jc w:val="lowKashida"/>
              <w:rPr>
                <w:sz w:val="18"/>
                <w:szCs w:val="18"/>
              </w:rPr>
            </w:pPr>
            <w:r w:rsidRPr="000C78AA">
              <w:rPr>
                <w:sz w:val="18"/>
                <w:szCs w:val="18"/>
              </w:rPr>
              <w:t>I</w:t>
            </w:r>
            <w:r w:rsidR="00D116FB" w:rsidRPr="000C78AA">
              <w:rPr>
                <w:sz w:val="18"/>
                <w:szCs w:val="18"/>
              </w:rPr>
              <w:t>mplication accrue des collectivités territoriales et des communautés locales dans la gestion des ressources naturelles</w:t>
            </w:r>
            <w:r w:rsidRPr="000C78AA">
              <w:rPr>
                <w:sz w:val="18"/>
                <w:szCs w:val="18"/>
              </w:rPr>
              <w:t> </w:t>
            </w:r>
            <w:r w:rsidR="00D116FB" w:rsidRPr="000C78AA">
              <w:rPr>
                <w:sz w:val="18"/>
                <w:szCs w:val="18"/>
              </w:rPr>
              <w:t>;</w:t>
            </w:r>
          </w:p>
          <w:p w14:paraId="3F6BE571" w14:textId="0587D5C7" w:rsidR="00D116FB" w:rsidRPr="000C78AA" w:rsidRDefault="00836C19" w:rsidP="008A3661">
            <w:pPr>
              <w:pStyle w:val="Paragraphedeliste"/>
              <w:numPr>
                <w:ilvl w:val="0"/>
                <w:numId w:val="22"/>
              </w:numPr>
              <w:spacing w:after="120"/>
              <w:ind w:left="170" w:hanging="170"/>
              <w:jc w:val="lowKashida"/>
              <w:rPr>
                <w:sz w:val="18"/>
                <w:szCs w:val="18"/>
              </w:rPr>
            </w:pPr>
            <w:r w:rsidRPr="000C78AA">
              <w:rPr>
                <w:sz w:val="18"/>
                <w:szCs w:val="18"/>
              </w:rPr>
              <w:t>C</w:t>
            </w:r>
            <w:r w:rsidR="00D116FB" w:rsidRPr="000C78AA">
              <w:rPr>
                <w:sz w:val="18"/>
                <w:szCs w:val="18"/>
              </w:rPr>
              <w:t>onservation de la biodiversité, restauration des écosystèmes dégradés et lutte contre la désertification ;</w:t>
            </w:r>
          </w:p>
          <w:p w14:paraId="294DEF8D" w14:textId="523F5C63" w:rsidR="00D116FB" w:rsidRPr="000C78AA" w:rsidRDefault="00836C19" w:rsidP="008A3661">
            <w:pPr>
              <w:pStyle w:val="Paragraphedeliste"/>
              <w:numPr>
                <w:ilvl w:val="0"/>
                <w:numId w:val="22"/>
              </w:numPr>
              <w:spacing w:after="120"/>
              <w:ind w:left="170" w:hanging="170"/>
              <w:jc w:val="lowKashida"/>
              <w:rPr>
                <w:sz w:val="18"/>
                <w:szCs w:val="18"/>
              </w:rPr>
            </w:pPr>
            <w:r w:rsidRPr="000C78AA">
              <w:rPr>
                <w:sz w:val="18"/>
                <w:szCs w:val="18"/>
              </w:rPr>
              <w:t>D</w:t>
            </w:r>
            <w:r w:rsidR="00D116FB" w:rsidRPr="000C78AA">
              <w:rPr>
                <w:sz w:val="18"/>
                <w:szCs w:val="18"/>
              </w:rPr>
              <w:t>éveloppement des filières forestières, fauniques et halieutiques dans une perspective de valorisation durable des ressources ;</w:t>
            </w:r>
          </w:p>
          <w:p w14:paraId="46C6D697" w14:textId="101E9128" w:rsidR="00ED5DBA" w:rsidRPr="000C78AA" w:rsidRDefault="00836C19" w:rsidP="008A3661">
            <w:pPr>
              <w:pStyle w:val="Paragraphedeliste"/>
              <w:numPr>
                <w:ilvl w:val="0"/>
                <w:numId w:val="22"/>
              </w:numPr>
              <w:spacing w:after="120"/>
              <w:ind w:left="170" w:hanging="170"/>
              <w:jc w:val="lowKashida"/>
              <w:rPr>
                <w:sz w:val="18"/>
                <w:szCs w:val="18"/>
              </w:rPr>
            </w:pPr>
            <w:r w:rsidRPr="000C78AA">
              <w:rPr>
                <w:sz w:val="18"/>
                <w:szCs w:val="18"/>
              </w:rPr>
              <w:t>R</w:t>
            </w:r>
            <w:r w:rsidR="00D116FB" w:rsidRPr="000C78AA">
              <w:rPr>
                <w:sz w:val="18"/>
                <w:szCs w:val="18"/>
              </w:rPr>
              <w:t>enforcement des capacités des acteurs, de la recherche, de l’appui-conseil et des dispositifs de suivi-évaluation.</w:t>
            </w:r>
          </w:p>
        </w:tc>
        <w:tc>
          <w:tcPr>
            <w:tcW w:w="1250" w:type="pct"/>
          </w:tcPr>
          <w:p w14:paraId="5523491A" w14:textId="1A2B798A" w:rsidR="00ED5DBA" w:rsidRPr="000C78AA" w:rsidRDefault="00ED5DBA">
            <w:pPr>
              <w:spacing w:after="120"/>
              <w:jc w:val="both"/>
              <w:rPr>
                <w:sz w:val="18"/>
                <w:szCs w:val="18"/>
                <w:lang w:eastAsia="en-US"/>
              </w:rPr>
            </w:pPr>
          </w:p>
        </w:tc>
      </w:tr>
      <w:tr w:rsidR="00476879" w:rsidRPr="000C78AA" w14:paraId="5B7B5C3A" w14:textId="77777777" w:rsidTr="00A5279A">
        <w:tc>
          <w:tcPr>
            <w:tcW w:w="1088" w:type="pct"/>
          </w:tcPr>
          <w:p w14:paraId="3401CEEC" w14:textId="03C84110" w:rsidR="00476879" w:rsidRPr="000C78AA" w:rsidRDefault="00476879" w:rsidP="00476879">
            <w:pPr>
              <w:jc w:val="both"/>
              <w:rPr>
                <w:b/>
                <w:sz w:val="18"/>
                <w:szCs w:val="18"/>
                <w:lang w:eastAsia="en-US"/>
              </w:rPr>
            </w:pPr>
            <w:r w:rsidRPr="000C78AA">
              <w:rPr>
                <w:b/>
                <w:sz w:val="18"/>
                <w:szCs w:val="18"/>
                <w:lang w:eastAsia="en-US"/>
              </w:rPr>
              <w:t xml:space="preserve">Stratégie Nationale et Plan d’Actions pour la Diversité Biologique </w:t>
            </w:r>
          </w:p>
          <w:p w14:paraId="092EF018" w14:textId="7D9AEDAC" w:rsidR="00476879" w:rsidRPr="000C78AA" w:rsidRDefault="00780920" w:rsidP="00476879">
            <w:pPr>
              <w:jc w:val="both"/>
              <w:rPr>
                <w:b/>
                <w:sz w:val="18"/>
                <w:szCs w:val="18"/>
                <w:lang w:eastAsia="en-US"/>
              </w:rPr>
            </w:pPr>
            <w:r w:rsidRPr="000C78AA">
              <w:rPr>
                <w:sz w:val="18"/>
                <w:szCs w:val="18"/>
              </w:rPr>
              <w:t>Ministère de l’Environnement de l’Eau et de l’Assainissement, 2014</w:t>
            </w:r>
          </w:p>
        </w:tc>
        <w:tc>
          <w:tcPr>
            <w:tcW w:w="1253" w:type="pct"/>
          </w:tcPr>
          <w:p w14:paraId="3528D550" w14:textId="77777777" w:rsidR="00A5279A" w:rsidRDefault="00D616DF" w:rsidP="00A5279A">
            <w:pPr>
              <w:spacing w:after="120"/>
              <w:jc w:val="both"/>
              <w:rPr>
                <w:sz w:val="18"/>
                <w:szCs w:val="18"/>
                <w:lang w:eastAsia="en-US"/>
              </w:rPr>
            </w:pPr>
            <w:r w:rsidRPr="000C78AA">
              <w:rPr>
                <w:sz w:val="18"/>
                <w:szCs w:val="18"/>
                <w:lang w:eastAsia="en-US"/>
              </w:rPr>
              <w:t xml:space="preserve">Elle vise à renforcer la conservation et l’utilisation durable de la biodiversité en alignant le cadre national sur les objectifs du Plan stratégique 2011-2020 de la Convention sur la diversité biologique. </w:t>
            </w:r>
          </w:p>
          <w:p w14:paraId="68BD7D8B" w14:textId="17EE89CA" w:rsidR="00476879" w:rsidRPr="000C78AA" w:rsidRDefault="00D616DF" w:rsidP="00A5279A">
            <w:pPr>
              <w:spacing w:after="120"/>
              <w:jc w:val="both"/>
              <w:rPr>
                <w:sz w:val="18"/>
                <w:szCs w:val="18"/>
                <w:lang w:eastAsia="en-US"/>
              </w:rPr>
            </w:pPr>
            <w:r w:rsidRPr="000C78AA">
              <w:rPr>
                <w:sz w:val="18"/>
                <w:szCs w:val="18"/>
                <w:lang w:eastAsia="en-US"/>
              </w:rPr>
              <w:t>Elle intègre notamment les enjeux liés aux changements climatiques, au genre, à la réduction de la pauvreté, aux droits des communautés locales et aux dimensions transfrontalières, et définit une vision de long terme ainsi que des objectifs nationaux portant sur l’intégration de la biodiversité dans les politiques sectorielles, la préservation des habitats naturels, la gestion durable des ressources naturelles et la conservation des écosystèmes.</w:t>
            </w:r>
          </w:p>
        </w:tc>
        <w:tc>
          <w:tcPr>
            <w:tcW w:w="1409" w:type="pct"/>
          </w:tcPr>
          <w:p w14:paraId="06695A8D" w14:textId="77777777" w:rsidR="00020CF1" w:rsidRPr="000C78AA" w:rsidRDefault="00020CF1" w:rsidP="008A3661">
            <w:pPr>
              <w:pStyle w:val="Paragraphedeliste"/>
              <w:numPr>
                <w:ilvl w:val="0"/>
                <w:numId w:val="22"/>
              </w:numPr>
              <w:spacing w:after="120"/>
              <w:ind w:left="170" w:hanging="170"/>
              <w:jc w:val="lowKashida"/>
              <w:rPr>
                <w:sz w:val="18"/>
                <w:szCs w:val="18"/>
              </w:rPr>
            </w:pPr>
            <w:r w:rsidRPr="000C78AA">
              <w:rPr>
                <w:sz w:val="18"/>
                <w:szCs w:val="18"/>
              </w:rPr>
              <w:t>Réduire les pressions directes exercées sur la diversité biologique et encourager l’utilisation durable</w:t>
            </w:r>
            <w:r w:rsidR="00B53EF6" w:rsidRPr="000C78AA">
              <w:rPr>
                <w:sz w:val="18"/>
                <w:szCs w:val="18"/>
              </w:rPr>
              <w:t xml:space="preserve"> ; </w:t>
            </w:r>
          </w:p>
          <w:p w14:paraId="34F16BEF" w14:textId="77777777" w:rsidR="00B53EF6" w:rsidRPr="000C78AA" w:rsidRDefault="00B53EF6" w:rsidP="008A3661">
            <w:pPr>
              <w:pStyle w:val="Paragraphedeliste"/>
              <w:numPr>
                <w:ilvl w:val="0"/>
                <w:numId w:val="22"/>
              </w:numPr>
              <w:spacing w:after="120"/>
              <w:ind w:left="170" w:hanging="170"/>
              <w:jc w:val="lowKashida"/>
              <w:rPr>
                <w:sz w:val="18"/>
                <w:szCs w:val="18"/>
              </w:rPr>
            </w:pPr>
            <w:r w:rsidRPr="000C78AA">
              <w:rPr>
                <w:sz w:val="18"/>
                <w:szCs w:val="18"/>
              </w:rPr>
              <w:t>Améliorer l’état de la diversité biologique en sauvegardant les écosystèmes, les espèces et la diversité génétique ;</w:t>
            </w:r>
          </w:p>
          <w:p w14:paraId="19F48C14" w14:textId="77777777" w:rsidR="00B53EF6" w:rsidRPr="000C78AA" w:rsidRDefault="00B53EF6" w:rsidP="008A3661">
            <w:pPr>
              <w:pStyle w:val="Paragraphedeliste"/>
              <w:numPr>
                <w:ilvl w:val="0"/>
                <w:numId w:val="22"/>
              </w:numPr>
              <w:spacing w:after="120"/>
              <w:ind w:left="170" w:hanging="170"/>
              <w:jc w:val="lowKashida"/>
              <w:rPr>
                <w:sz w:val="18"/>
                <w:szCs w:val="18"/>
              </w:rPr>
            </w:pPr>
            <w:r w:rsidRPr="000C78AA">
              <w:rPr>
                <w:sz w:val="18"/>
                <w:szCs w:val="18"/>
              </w:rPr>
              <w:t xml:space="preserve">Renforcer les avantages retirés pour tous de la diversité biologique et des services fournis par les écosystèmes ; </w:t>
            </w:r>
          </w:p>
          <w:p w14:paraId="48861982" w14:textId="6E3912F2" w:rsidR="00B53EF6" w:rsidRPr="000C78AA" w:rsidRDefault="00B53EF6" w:rsidP="008A3661">
            <w:pPr>
              <w:pStyle w:val="Paragraphedeliste"/>
              <w:numPr>
                <w:ilvl w:val="0"/>
                <w:numId w:val="22"/>
              </w:numPr>
              <w:spacing w:after="120"/>
              <w:ind w:left="170" w:hanging="170"/>
              <w:jc w:val="lowKashida"/>
              <w:rPr>
                <w:sz w:val="18"/>
                <w:szCs w:val="18"/>
              </w:rPr>
            </w:pPr>
            <w:r w:rsidRPr="000C78AA">
              <w:rPr>
                <w:sz w:val="18"/>
                <w:szCs w:val="18"/>
              </w:rPr>
              <w:t>Renforcer la mise en œuvre au moyen d’une planification participative, de la gestion des connaissances et du renforcement des capacités</w:t>
            </w:r>
            <w:r w:rsidR="00EC2C3F" w:rsidRPr="000C78AA">
              <w:rPr>
                <w:sz w:val="18"/>
                <w:szCs w:val="18"/>
              </w:rPr>
              <w:t>.</w:t>
            </w:r>
          </w:p>
        </w:tc>
        <w:tc>
          <w:tcPr>
            <w:tcW w:w="1250" w:type="pct"/>
          </w:tcPr>
          <w:p w14:paraId="74432E40" w14:textId="77777777" w:rsidR="00A20956" w:rsidRPr="000C78AA" w:rsidRDefault="00A20956" w:rsidP="008A3661">
            <w:pPr>
              <w:pStyle w:val="Paragraphedeliste"/>
              <w:numPr>
                <w:ilvl w:val="0"/>
                <w:numId w:val="22"/>
              </w:numPr>
              <w:spacing w:after="120"/>
              <w:ind w:left="170" w:hanging="170"/>
              <w:jc w:val="lowKashida"/>
              <w:rPr>
                <w:sz w:val="18"/>
                <w:szCs w:val="18"/>
              </w:rPr>
            </w:pPr>
            <w:r w:rsidRPr="000C78AA">
              <w:rPr>
                <w:sz w:val="18"/>
                <w:szCs w:val="18"/>
              </w:rPr>
              <w:t>Réduction de la moitié du rythme d'appauvrissement et de dégradation des habitats naturels d'ici 2020 ;</w:t>
            </w:r>
          </w:p>
          <w:p w14:paraId="675FC733" w14:textId="3C56D931" w:rsidR="00A20956" w:rsidRPr="000C78AA" w:rsidRDefault="00A20956" w:rsidP="008A3661">
            <w:pPr>
              <w:pStyle w:val="Paragraphedeliste"/>
              <w:numPr>
                <w:ilvl w:val="0"/>
                <w:numId w:val="22"/>
              </w:numPr>
              <w:spacing w:after="120"/>
              <w:ind w:left="170" w:hanging="170"/>
              <w:jc w:val="lowKashida"/>
              <w:rPr>
                <w:sz w:val="18"/>
                <w:szCs w:val="18"/>
              </w:rPr>
            </w:pPr>
            <w:r w:rsidRPr="000C78AA">
              <w:rPr>
                <w:sz w:val="18"/>
                <w:szCs w:val="18"/>
              </w:rPr>
              <w:t>Conservation d’au moins 15 % de la superficie totale du pays via un réseau d'aires protégées bien géré d'ici 2018 ;</w:t>
            </w:r>
          </w:p>
          <w:p w14:paraId="5B8D6C2A" w14:textId="758DB8FD" w:rsidR="00476879" w:rsidRPr="000C78AA" w:rsidRDefault="00F71022" w:rsidP="008A3661">
            <w:pPr>
              <w:pStyle w:val="Paragraphedeliste"/>
              <w:numPr>
                <w:ilvl w:val="0"/>
                <w:numId w:val="22"/>
              </w:numPr>
              <w:spacing w:after="120"/>
              <w:ind w:left="170" w:hanging="170"/>
              <w:jc w:val="lowKashida"/>
              <w:rPr>
                <w:sz w:val="18"/>
                <w:szCs w:val="18"/>
                <w:lang w:eastAsia="en-US"/>
              </w:rPr>
            </w:pPr>
            <w:r w:rsidRPr="000C78AA">
              <w:rPr>
                <w:sz w:val="18"/>
                <w:szCs w:val="18"/>
              </w:rPr>
              <w:t>Réduction de la pollution des eaux et des sols liée notamment aux engrais et pesticides à un niveau sans effet néfaste majeur d’ici 2020.</w:t>
            </w:r>
          </w:p>
        </w:tc>
      </w:tr>
      <w:tr w:rsidR="00ED5DBA" w:rsidRPr="000C78AA" w14:paraId="36D7254C" w14:textId="77777777" w:rsidTr="00A5279A">
        <w:tc>
          <w:tcPr>
            <w:tcW w:w="1088" w:type="pct"/>
          </w:tcPr>
          <w:p w14:paraId="1B1DBECE" w14:textId="77777777" w:rsidR="00ED5DBA" w:rsidRPr="000C78AA" w:rsidRDefault="00ED5DBA" w:rsidP="00ED5DBA">
            <w:pPr>
              <w:jc w:val="both"/>
              <w:rPr>
                <w:b/>
                <w:sz w:val="18"/>
                <w:szCs w:val="18"/>
                <w:lang w:eastAsia="en-US"/>
              </w:rPr>
            </w:pPr>
            <w:r w:rsidRPr="000C78AA">
              <w:rPr>
                <w:b/>
                <w:sz w:val="18"/>
                <w:szCs w:val="18"/>
                <w:lang w:eastAsia="en-US"/>
              </w:rPr>
              <w:lastRenderedPageBreak/>
              <w:t>Politique Nationale de Protection de l'Environnement (PNPE)</w:t>
            </w:r>
          </w:p>
          <w:p w14:paraId="18BD73D5" w14:textId="5F2DA9EB" w:rsidR="00ED5DBA" w:rsidRPr="000C78AA" w:rsidRDefault="00ED5DBA" w:rsidP="00ED5DBA">
            <w:pPr>
              <w:jc w:val="both"/>
              <w:rPr>
                <w:sz w:val="18"/>
                <w:szCs w:val="18"/>
                <w:lang w:eastAsia="en-US"/>
              </w:rPr>
            </w:pPr>
            <w:r w:rsidRPr="000C78AA">
              <w:rPr>
                <w:i/>
                <w:color w:val="1F3864" w:themeColor="accent5" w:themeShade="80"/>
                <w:sz w:val="18"/>
                <w:szCs w:val="18"/>
                <w:lang w:eastAsia="en-US"/>
              </w:rPr>
              <w:t>Ministre de l'Environnement de l'Assainissement et du Développement Durable (MEADD)</w:t>
            </w:r>
          </w:p>
        </w:tc>
        <w:tc>
          <w:tcPr>
            <w:tcW w:w="1253" w:type="pct"/>
          </w:tcPr>
          <w:p w14:paraId="1788C5AE" w14:textId="77777777" w:rsidR="00A5279A" w:rsidRDefault="00ED5DBA" w:rsidP="00A5279A">
            <w:pPr>
              <w:spacing w:after="120"/>
              <w:jc w:val="both"/>
              <w:rPr>
                <w:sz w:val="18"/>
                <w:szCs w:val="18"/>
                <w:lang w:eastAsia="en-US"/>
              </w:rPr>
            </w:pPr>
            <w:r w:rsidRPr="000C78AA">
              <w:rPr>
                <w:sz w:val="18"/>
                <w:szCs w:val="18"/>
                <w:lang w:eastAsia="en-US"/>
              </w:rPr>
              <w:t xml:space="preserve">La PNPE constitue le cadre de référence du Mali en matière de gestion durable des ressources naturelles et de protection de l’environnement. </w:t>
            </w:r>
          </w:p>
          <w:p w14:paraId="288514CF" w14:textId="77777777" w:rsidR="00A5279A" w:rsidRDefault="00ED5DBA" w:rsidP="00A5279A">
            <w:pPr>
              <w:spacing w:after="120"/>
              <w:jc w:val="both"/>
              <w:rPr>
                <w:sz w:val="18"/>
                <w:szCs w:val="18"/>
                <w:lang w:eastAsia="en-US"/>
              </w:rPr>
            </w:pPr>
            <w:r w:rsidRPr="000C78AA">
              <w:rPr>
                <w:sz w:val="18"/>
                <w:szCs w:val="18"/>
                <w:lang w:eastAsia="en-US"/>
              </w:rPr>
              <w:t xml:space="preserve">Elle vise à garantir un environnement sain et à assurer l’intégration des considérations environnementales dans les politiques, programmes et activités de développement. La PNPE repose notamment sur les principes de prévention, de précaution, de participation des acteurs et du pollueur-payeur. </w:t>
            </w:r>
          </w:p>
          <w:p w14:paraId="0DDC3004" w14:textId="532AB596" w:rsidR="00A5279A" w:rsidRDefault="00ED5DBA" w:rsidP="00A5279A">
            <w:pPr>
              <w:spacing w:after="120"/>
              <w:jc w:val="both"/>
              <w:rPr>
                <w:sz w:val="18"/>
                <w:szCs w:val="18"/>
                <w:lang w:eastAsia="en-US"/>
              </w:rPr>
            </w:pPr>
            <w:r w:rsidRPr="000C78AA">
              <w:rPr>
                <w:sz w:val="18"/>
                <w:szCs w:val="18"/>
                <w:lang w:eastAsia="en-US"/>
              </w:rPr>
              <w:t xml:space="preserve">Elle accorde une attention particulière à la lutte contre la désertification, à la gestion durable des ressources naturelles, à la prévention des pollutions et à l’amélioration du cadre de vie des populations en milieu rural et urbain. </w:t>
            </w:r>
          </w:p>
          <w:p w14:paraId="3711664E" w14:textId="614ACE60" w:rsidR="00ED5DBA" w:rsidRPr="000C78AA" w:rsidRDefault="00ED5DBA" w:rsidP="00A5279A">
            <w:pPr>
              <w:spacing w:after="120"/>
              <w:jc w:val="both"/>
              <w:rPr>
                <w:sz w:val="18"/>
                <w:szCs w:val="18"/>
                <w:lang w:eastAsia="en-US"/>
              </w:rPr>
            </w:pPr>
            <w:r w:rsidRPr="000C78AA">
              <w:rPr>
                <w:sz w:val="18"/>
                <w:szCs w:val="18"/>
                <w:lang w:eastAsia="en-US"/>
              </w:rPr>
              <w:t>La politique met également l’accent sur le renforcement des capacités institutionnelles, la décentralisation de la gestion environnementale, le suivi environnemental et le développement de mécanismes de coordination et de financement en faveur de la protection de l’environnement.</w:t>
            </w:r>
          </w:p>
        </w:tc>
        <w:tc>
          <w:tcPr>
            <w:tcW w:w="1409" w:type="pct"/>
          </w:tcPr>
          <w:p w14:paraId="747B8BB9" w14:textId="77777777" w:rsidR="00ED5DBA" w:rsidRPr="000C78AA" w:rsidRDefault="00ED5DBA" w:rsidP="008A3661">
            <w:pPr>
              <w:pStyle w:val="Paragraphedeliste"/>
              <w:numPr>
                <w:ilvl w:val="0"/>
                <w:numId w:val="22"/>
              </w:numPr>
              <w:spacing w:after="120"/>
              <w:ind w:left="170" w:hanging="170"/>
              <w:jc w:val="lowKashida"/>
              <w:rPr>
                <w:sz w:val="18"/>
                <w:szCs w:val="18"/>
              </w:rPr>
            </w:pPr>
            <w:r w:rsidRPr="000C78AA">
              <w:rPr>
                <w:sz w:val="18"/>
                <w:szCs w:val="18"/>
              </w:rPr>
              <w:t xml:space="preserve">Réduction des effets de la dégradation des ressources, de la désertification et de la sécheresse ; </w:t>
            </w:r>
          </w:p>
          <w:p w14:paraId="42AC2215" w14:textId="77777777" w:rsidR="00ED5DBA" w:rsidRPr="000C78AA" w:rsidRDefault="00ED5DBA" w:rsidP="008A3661">
            <w:pPr>
              <w:pStyle w:val="Paragraphedeliste"/>
              <w:numPr>
                <w:ilvl w:val="0"/>
                <w:numId w:val="22"/>
              </w:numPr>
              <w:spacing w:after="120"/>
              <w:ind w:left="170" w:hanging="170"/>
              <w:jc w:val="lowKashida"/>
              <w:rPr>
                <w:sz w:val="18"/>
                <w:szCs w:val="18"/>
              </w:rPr>
            </w:pPr>
            <w:r w:rsidRPr="000C78AA">
              <w:rPr>
                <w:sz w:val="18"/>
                <w:szCs w:val="18"/>
              </w:rPr>
              <w:t xml:space="preserve">Gestion durable, décentralisée et participative des ressources naturelles ; </w:t>
            </w:r>
          </w:p>
          <w:p w14:paraId="60A44C6E" w14:textId="77777777" w:rsidR="00ED5DBA" w:rsidRPr="000C78AA" w:rsidRDefault="00ED5DBA" w:rsidP="008A3661">
            <w:pPr>
              <w:pStyle w:val="Paragraphedeliste"/>
              <w:numPr>
                <w:ilvl w:val="0"/>
                <w:numId w:val="22"/>
              </w:numPr>
              <w:spacing w:after="120"/>
              <w:ind w:left="170" w:hanging="170"/>
              <w:jc w:val="lowKashida"/>
              <w:rPr>
                <w:sz w:val="18"/>
                <w:szCs w:val="18"/>
              </w:rPr>
            </w:pPr>
            <w:r w:rsidRPr="000C78AA">
              <w:rPr>
                <w:sz w:val="18"/>
                <w:szCs w:val="18"/>
              </w:rPr>
              <w:t xml:space="preserve">Promotion de systèmes de production durables et respectueux de l’environnement ; </w:t>
            </w:r>
          </w:p>
          <w:p w14:paraId="1A14F8C5" w14:textId="77777777" w:rsidR="00ED5DBA" w:rsidRPr="000C78AA" w:rsidRDefault="00ED5DBA" w:rsidP="008A3661">
            <w:pPr>
              <w:pStyle w:val="Paragraphedeliste"/>
              <w:numPr>
                <w:ilvl w:val="0"/>
                <w:numId w:val="22"/>
              </w:numPr>
              <w:spacing w:after="120"/>
              <w:ind w:left="170" w:hanging="170"/>
              <w:jc w:val="lowKashida"/>
              <w:rPr>
                <w:sz w:val="18"/>
                <w:szCs w:val="18"/>
              </w:rPr>
            </w:pPr>
            <w:r w:rsidRPr="000C78AA">
              <w:rPr>
                <w:sz w:val="18"/>
                <w:szCs w:val="18"/>
              </w:rPr>
              <w:t xml:space="preserve">Renforcement de la lutte contre les pollutions et les nuisances environnementales ; </w:t>
            </w:r>
          </w:p>
          <w:p w14:paraId="31986B1E" w14:textId="77777777" w:rsidR="00ED5DBA" w:rsidRPr="000C78AA" w:rsidRDefault="00ED5DBA" w:rsidP="008A3661">
            <w:pPr>
              <w:pStyle w:val="Paragraphedeliste"/>
              <w:numPr>
                <w:ilvl w:val="0"/>
                <w:numId w:val="22"/>
              </w:numPr>
              <w:spacing w:after="120"/>
              <w:ind w:left="170" w:hanging="170"/>
              <w:jc w:val="lowKashida"/>
              <w:rPr>
                <w:sz w:val="18"/>
                <w:szCs w:val="18"/>
              </w:rPr>
            </w:pPr>
            <w:r w:rsidRPr="000C78AA">
              <w:rPr>
                <w:sz w:val="18"/>
                <w:szCs w:val="18"/>
              </w:rPr>
              <w:t xml:space="preserve">Restauration et récupération des zones et sites dégradés ; </w:t>
            </w:r>
          </w:p>
          <w:p w14:paraId="3F5237AA" w14:textId="77777777" w:rsidR="00ED5DBA" w:rsidRPr="000C78AA" w:rsidRDefault="00ED5DBA" w:rsidP="008A3661">
            <w:pPr>
              <w:pStyle w:val="Paragraphedeliste"/>
              <w:numPr>
                <w:ilvl w:val="0"/>
                <w:numId w:val="22"/>
              </w:numPr>
              <w:spacing w:after="120"/>
              <w:ind w:left="170" w:hanging="170"/>
              <w:jc w:val="lowKashida"/>
              <w:rPr>
                <w:sz w:val="18"/>
                <w:szCs w:val="18"/>
              </w:rPr>
            </w:pPr>
            <w:r w:rsidRPr="000C78AA">
              <w:rPr>
                <w:sz w:val="18"/>
                <w:szCs w:val="18"/>
              </w:rPr>
              <w:t xml:space="preserve">Mise en place d’un système de suivi et de surveillance continue de l’environnement ; </w:t>
            </w:r>
          </w:p>
          <w:p w14:paraId="502E3F76" w14:textId="77777777" w:rsidR="00ED5DBA" w:rsidRPr="000C78AA" w:rsidRDefault="00ED5DBA" w:rsidP="008A3661">
            <w:pPr>
              <w:pStyle w:val="Paragraphedeliste"/>
              <w:numPr>
                <w:ilvl w:val="0"/>
                <w:numId w:val="22"/>
              </w:numPr>
              <w:spacing w:after="120"/>
              <w:ind w:left="170" w:hanging="170"/>
              <w:jc w:val="lowKashida"/>
              <w:rPr>
                <w:sz w:val="18"/>
                <w:szCs w:val="18"/>
              </w:rPr>
            </w:pPr>
            <w:r w:rsidRPr="000C78AA">
              <w:rPr>
                <w:sz w:val="18"/>
                <w:szCs w:val="18"/>
              </w:rPr>
              <w:t xml:space="preserve">Renforcement des capacités des acteurs en matière de protection de l’environnement ; </w:t>
            </w:r>
          </w:p>
          <w:p w14:paraId="7FAA2AE8" w14:textId="19456F61" w:rsidR="00ED5DBA" w:rsidRPr="000C78AA" w:rsidRDefault="00ED5DBA" w:rsidP="008A3661">
            <w:pPr>
              <w:pStyle w:val="Paragraphedeliste"/>
              <w:numPr>
                <w:ilvl w:val="0"/>
                <w:numId w:val="22"/>
              </w:numPr>
              <w:spacing w:after="120"/>
              <w:ind w:left="170" w:hanging="170"/>
              <w:jc w:val="lowKashida"/>
              <w:rPr>
                <w:sz w:val="18"/>
                <w:szCs w:val="18"/>
              </w:rPr>
            </w:pPr>
            <w:r w:rsidRPr="000C78AA">
              <w:rPr>
                <w:sz w:val="18"/>
                <w:szCs w:val="18"/>
              </w:rPr>
              <w:t>Promotion d’une approche multisectorielle de la gestion environnementale.</w:t>
            </w:r>
          </w:p>
        </w:tc>
        <w:tc>
          <w:tcPr>
            <w:tcW w:w="1250" w:type="pct"/>
          </w:tcPr>
          <w:p w14:paraId="2F49A1F6" w14:textId="17CEAA17" w:rsidR="00ED5DBA" w:rsidRPr="000C78AA" w:rsidRDefault="00ED5DBA" w:rsidP="008A3661">
            <w:pPr>
              <w:pStyle w:val="Paragraphedeliste"/>
              <w:numPr>
                <w:ilvl w:val="0"/>
                <w:numId w:val="22"/>
              </w:numPr>
              <w:spacing w:after="120"/>
              <w:ind w:left="170" w:hanging="170"/>
              <w:jc w:val="lowKashida"/>
              <w:rPr>
                <w:sz w:val="18"/>
                <w:szCs w:val="18"/>
                <w:lang w:eastAsia="en-US"/>
              </w:rPr>
            </w:pPr>
          </w:p>
        </w:tc>
      </w:tr>
    </w:tbl>
    <w:p w14:paraId="7C87506E" w14:textId="35F3F455" w:rsidR="00ED5DBA" w:rsidRDefault="00667228" w:rsidP="00DC2F10">
      <w:pPr>
        <w:pStyle w:val="NormalWeb"/>
        <w:spacing w:before="240" w:beforeAutospacing="0"/>
        <w:jc w:val="both"/>
        <w:rPr>
          <w:rFonts w:ascii="Calibri" w:eastAsia="Calibri" w:hAnsi="Calibri" w:cs="Calibri"/>
        </w:rPr>
      </w:pPr>
      <w:r w:rsidRPr="00667228">
        <w:rPr>
          <w:rFonts w:ascii="Calibri" w:eastAsia="Calibri" w:hAnsi="Calibri" w:cs="Calibri"/>
        </w:rPr>
        <w:t xml:space="preserve">L’examen des politiques et stratégies relatives à la biodiversité met en évidence un cadre principalement orienté vers la conservation durable des écosystèmes, la gestion participative des ressources naturelles et la lutte contre la dégradation environnementale. Les orientations identifiées portent notamment sur la préservation des habitats naturels, la restauration des écosystèmes dégradés, la lutte contre la désertification, ainsi que le renforcement de la gouvernance environnementale et des capacités des acteurs. Plusieurs de ces instruments mettent également l’accent sur l’intégration de la biodiversité dans les politiques sectorielles, la valorisation durable des ressources forestières, fauniques et halieutiques, ainsi que sur la participation des collectivités territoriales et des communautés locales à la gestion des ressources naturelles. Certaines stratégies définissent par ailleurs des cibles quantitatives relatives à la </w:t>
      </w:r>
      <w:r w:rsidRPr="00667228">
        <w:rPr>
          <w:rFonts w:ascii="Calibri" w:eastAsia="Calibri" w:hAnsi="Calibri" w:cs="Calibri"/>
        </w:rPr>
        <w:lastRenderedPageBreak/>
        <w:t>conservation des habitats naturels, aux aires protégées et à la réduction des pollutions.</w:t>
      </w:r>
      <w:r>
        <w:rPr>
          <w:rFonts w:ascii="Calibri" w:eastAsia="Calibri" w:hAnsi="Calibri" w:cs="Calibri"/>
        </w:rPr>
        <w:t xml:space="preserve"> </w:t>
      </w:r>
      <w:r w:rsidRPr="00667228">
        <w:rPr>
          <w:rFonts w:ascii="Calibri" w:eastAsia="Calibri" w:hAnsi="Calibri" w:cs="Calibri"/>
        </w:rPr>
        <w:t>La CDN 3.0 devra ainsi consolider les efforts engagés en matière de conservation des écosystèmes, de restauration des terres dégradées et de gestion durable des ressources naturelles, tout en renforçant la résilience des écosystèmes et des communautés face aux effets du changement climatique. Elle devra également renforcer les dispositifs de gouvernance environnementale, de suivi écologique, de recherche et de gestion participative des ressources naturelles, en traduisant ces orientations en actions opérationnelles, mesurables et suivables dans le cadre du dispositif de suivi de la CDN 3.0.</w:t>
      </w:r>
    </w:p>
    <w:tbl>
      <w:tblPr>
        <w:tblStyle w:val="Grilledutableau"/>
        <w:tblW w:w="0" w:type="auto"/>
        <w:shd w:val="clear" w:color="auto" w:fill="DEEAF6" w:themeFill="accent1" w:themeFillTint="33"/>
        <w:tblLook w:val="04A0" w:firstRow="1" w:lastRow="0" w:firstColumn="1" w:lastColumn="0" w:noHBand="0" w:noVBand="1"/>
      </w:tblPr>
      <w:tblGrid>
        <w:gridCol w:w="13018"/>
      </w:tblGrid>
      <w:tr w:rsidR="00FE4A2B" w14:paraId="21E7F939" w14:textId="77777777" w:rsidTr="00FE4A2B">
        <w:tc>
          <w:tcPr>
            <w:tcW w:w="13018" w:type="dxa"/>
            <w:shd w:val="clear" w:color="auto" w:fill="DEEAF6" w:themeFill="accent1" w:themeFillTint="33"/>
          </w:tcPr>
          <w:p w14:paraId="7E91AF7B" w14:textId="77777777" w:rsidR="00FE4A2B" w:rsidRPr="00DF2634" w:rsidRDefault="00FE4A2B" w:rsidP="00FE4A2B">
            <w:pPr>
              <w:spacing w:before="120" w:after="120"/>
              <w:contextualSpacing/>
              <w:jc w:val="both"/>
              <w:rPr>
                <w:color w:val="000000" w:themeColor="text1"/>
                <w:sz w:val="24"/>
                <w:szCs w:val="24"/>
              </w:rPr>
            </w:pPr>
            <w:r w:rsidRPr="006B16A6">
              <w:rPr>
                <w:color w:val="000000" w:themeColor="text1"/>
                <w:sz w:val="24"/>
                <w:szCs w:val="24"/>
              </w:rPr>
              <w:t>Sur la base de la revue sectorielle conduite, les éléments suivants devront être intégrés dans la CDN 3.0</w:t>
            </w:r>
            <w:r>
              <w:rPr>
                <w:color w:val="000000" w:themeColor="text1"/>
                <w:sz w:val="24"/>
                <w:szCs w:val="24"/>
              </w:rPr>
              <w:t xml:space="preserve"> </w:t>
            </w:r>
            <w:r w:rsidRPr="00DF2634">
              <w:rPr>
                <w:color w:val="000000" w:themeColor="text1"/>
                <w:sz w:val="24"/>
                <w:szCs w:val="24"/>
              </w:rPr>
              <w:t>:</w:t>
            </w:r>
          </w:p>
          <w:p w14:paraId="3605EC4F" w14:textId="77777777" w:rsidR="00FE4A2B" w:rsidRPr="008D05A3" w:rsidRDefault="00FE4A2B" w:rsidP="00FE4A2B">
            <w:pPr>
              <w:pStyle w:val="Paragraphedeliste"/>
              <w:numPr>
                <w:ilvl w:val="0"/>
                <w:numId w:val="33"/>
              </w:numPr>
              <w:spacing w:after="120"/>
              <w:jc w:val="both"/>
              <w:rPr>
                <w:color w:val="000000" w:themeColor="text1"/>
                <w:sz w:val="24"/>
                <w:szCs w:val="24"/>
              </w:rPr>
            </w:pPr>
            <w:r w:rsidRPr="00113437">
              <w:rPr>
                <w:b/>
                <w:bCs/>
                <w:color w:val="000000" w:themeColor="text1"/>
                <w:sz w:val="24"/>
                <w:szCs w:val="24"/>
              </w:rPr>
              <w:t>Gestion durable et participative des ressources forestières</w:t>
            </w:r>
            <w:r>
              <w:rPr>
                <w:b/>
                <w:bCs/>
                <w:color w:val="000000" w:themeColor="text1"/>
                <w:sz w:val="24"/>
                <w:szCs w:val="24"/>
              </w:rPr>
              <w:t xml:space="preserve"> et </w:t>
            </w:r>
            <w:r w:rsidRPr="00113437">
              <w:rPr>
                <w:b/>
                <w:bCs/>
                <w:color w:val="000000" w:themeColor="text1"/>
                <w:sz w:val="24"/>
                <w:szCs w:val="24"/>
              </w:rPr>
              <w:t xml:space="preserve">fauniques : </w:t>
            </w:r>
            <w:r w:rsidRPr="008D05A3">
              <w:rPr>
                <w:color w:val="000000" w:themeColor="text1"/>
                <w:sz w:val="24"/>
                <w:szCs w:val="24"/>
              </w:rPr>
              <w:t>renforcement de la gestion décentralisée des ressources naturelles et implication accrue des collectivités territoriales et des communautés locales ;</w:t>
            </w:r>
          </w:p>
          <w:p w14:paraId="1C475876" w14:textId="77777777" w:rsidR="00FE4A2B" w:rsidRPr="008D05A3" w:rsidRDefault="00FE4A2B" w:rsidP="00FE4A2B">
            <w:pPr>
              <w:pStyle w:val="Paragraphedeliste"/>
              <w:numPr>
                <w:ilvl w:val="0"/>
                <w:numId w:val="33"/>
              </w:numPr>
              <w:spacing w:after="120"/>
              <w:jc w:val="both"/>
              <w:rPr>
                <w:color w:val="000000" w:themeColor="text1"/>
                <w:sz w:val="24"/>
                <w:szCs w:val="24"/>
              </w:rPr>
            </w:pPr>
            <w:r w:rsidRPr="00113437">
              <w:rPr>
                <w:b/>
                <w:bCs/>
                <w:color w:val="000000" w:themeColor="text1"/>
                <w:sz w:val="24"/>
                <w:szCs w:val="24"/>
              </w:rPr>
              <w:t xml:space="preserve">Conservation de la biodiversité et restauration des écosystèmes : </w:t>
            </w:r>
            <w:r w:rsidRPr="008D05A3">
              <w:rPr>
                <w:color w:val="000000" w:themeColor="text1"/>
                <w:sz w:val="24"/>
                <w:szCs w:val="24"/>
              </w:rPr>
              <w:t>préservation des habitats naturels, restauration des zones dégradées et protection des espèces et de la diversité génétique ;</w:t>
            </w:r>
          </w:p>
          <w:p w14:paraId="78195E76" w14:textId="77777777" w:rsidR="00FE4A2B" w:rsidRPr="00722FEA" w:rsidRDefault="00FE4A2B" w:rsidP="00FE4A2B">
            <w:pPr>
              <w:pStyle w:val="Paragraphedeliste"/>
              <w:numPr>
                <w:ilvl w:val="0"/>
                <w:numId w:val="33"/>
              </w:numPr>
              <w:spacing w:after="120"/>
              <w:jc w:val="both"/>
              <w:rPr>
                <w:color w:val="000000" w:themeColor="text1"/>
                <w:sz w:val="24"/>
                <w:szCs w:val="24"/>
              </w:rPr>
            </w:pPr>
            <w:r w:rsidRPr="00113437">
              <w:rPr>
                <w:b/>
                <w:bCs/>
                <w:color w:val="000000" w:themeColor="text1"/>
                <w:sz w:val="24"/>
                <w:szCs w:val="24"/>
              </w:rPr>
              <w:t xml:space="preserve">Lutte contre la désertification et la dégradation des terres : </w:t>
            </w:r>
            <w:r w:rsidRPr="00722FEA">
              <w:rPr>
                <w:color w:val="000000" w:themeColor="text1"/>
                <w:sz w:val="24"/>
                <w:szCs w:val="24"/>
              </w:rPr>
              <w:t>réduction des pressions sur les ressources naturelles, restauration des terres dégradées et protection des écosystèmes fragiles ;</w:t>
            </w:r>
          </w:p>
          <w:p w14:paraId="0049CC88" w14:textId="77777777" w:rsidR="00FE4A2B" w:rsidRPr="00722FEA" w:rsidRDefault="00FE4A2B" w:rsidP="00FE4A2B">
            <w:pPr>
              <w:pStyle w:val="Paragraphedeliste"/>
              <w:numPr>
                <w:ilvl w:val="0"/>
                <w:numId w:val="33"/>
              </w:numPr>
              <w:spacing w:after="120"/>
              <w:jc w:val="both"/>
              <w:rPr>
                <w:color w:val="000000" w:themeColor="text1"/>
                <w:sz w:val="24"/>
                <w:szCs w:val="24"/>
              </w:rPr>
            </w:pPr>
            <w:r w:rsidRPr="00113437">
              <w:rPr>
                <w:b/>
                <w:bCs/>
                <w:color w:val="000000" w:themeColor="text1"/>
                <w:sz w:val="24"/>
                <w:szCs w:val="24"/>
              </w:rPr>
              <w:t xml:space="preserve">Suivi écologique et surveillance environnementale : </w:t>
            </w:r>
            <w:r w:rsidRPr="00722FEA">
              <w:rPr>
                <w:color w:val="000000" w:themeColor="text1"/>
                <w:sz w:val="24"/>
                <w:szCs w:val="24"/>
              </w:rPr>
              <w:t>renforcement des dispositifs de suivi, de contrôle et de gestion des connaissances environnementales ;</w:t>
            </w:r>
          </w:p>
          <w:p w14:paraId="6DF9C42E" w14:textId="12ADC739" w:rsidR="00FE4A2B" w:rsidRPr="00FE4A2B" w:rsidRDefault="00FE4A2B" w:rsidP="00FE4A2B">
            <w:pPr>
              <w:pStyle w:val="Paragraphedeliste"/>
              <w:numPr>
                <w:ilvl w:val="0"/>
                <w:numId w:val="33"/>
              </w:numPr>
              <w:spacing w:after="120"/>
              <w:jc w:val="both"/>
              <w:rPr>
                <w:color w:val="000000" w:themeColor="text1"/>
                <w:sz w:val="24"/>
                <w:szCs w:val="24"/>
              </w:rPr>
            </w:pPr>
            <w:r w:rsidRPr="00113437">
              <w:rPr>
                <w:b/>
                <w:bCs/>
                <w:color w:val="000000" w:themeColor="text1"/>
                <w:sz w:val="24"/>
                <w:szCs w:val="24"/>
              </w:rPr>
              <w:t xml:space="preserve">Gouvernance environnementale et renforcement des capacités : </w:t>
            </w:r>
            <w:r w:rsidRPr="00722FEA">
              <w:rPr>
                <w:color w:val="000000" w:themeColor="text1"/>
                <w:sz w:val="24"/>
                <w:szCs w:val="24"/>
              </w:rPr>
              <w:t>amélioration des capacités des acteurs, développement de l’appui-conseil et promotion d’une approche participative et multisectorielle de la gestion environnementale.</w:t>
            </w:r>
          </w:p>
        </w:tc>
      </w:tr>
    </w:tbl>
    <w:p w14:paraId="6AD3DE36" w14:textId="26228D3B" w:rsidR="002E0347" w:rsidRPr="00ED5DBA" w:rsidRDefault="002E0347" w:rsidP="00ED5DBA">
      <w:pPr>
        <w:pStyle w:val="NormalWeb"/>
        <w:spacing w:before="0" w:beforeAutospacing="0"/>
        <w:jc w:val="both"/>
        <w:rPr>
          <w:rFonts w:ascii="Calibri" w:eastAsia="Calibri" w:hAnsi="Calibri" w:cs="Calibri"/>
        </w:rPr>
      </w:pPr>
    </w:p>
    <w:p w14:paraId="69555109" w14:textId="439B4CD1" w:rsidR="00FC34F7" w:rsidRDefault="00FC34F7" w:rsidP="00D44AB1">
      <w:pPr>
        <w:pStyle w:val="Titre3"/>
        <w:numPr>
          <w:ilvl w:val="2"/>
          <w:numId w:val="21"/>
        </w:numPr>
      </w:pPr>
      <w:bookmarkStart w:id="30" w:name="_Toc234853863"/>
      <w:r>
        <w:t>Infrastructures</w:t>
      </w:r>
      <w:bookmarkEnd w:id="30"/>
      <w:r>
        <w:t xml:space="preserve"> </w:t>
      </w:r>
    </w:p>
    <w:p w14:paraId="20BCF60C" w14:textId="76894BA4" w:rsidR="00B467DF" w:rsidRDefault="00FB7EA7" w:rsidP="00B467DF">
      <w:pPr>
        <w:pStyle w:val="NormalWeb"/>
        <w:spacing w:before="0" w:beforeAutospacing="0"/>
        <w:jc w:val="both"/>
        <w:rPr>
          <w:rFonts w:ascii="Calibri" w:eastAsia="Calibri" w:hAnsi="Calibri" w:cs="Calibri"/>
        </w:rPr>
      </w:pPr>
      <w:r w:rsidRPr="00FB7EA7">
        <w:rPr>
          <w:rFonts w:ascii="Calibri" w:eastAsia="Calibri" w:hAnsi="Calibri" w:cs="Calibri"/>
        </w:rPr>
        <w:t>Les infrastructures constituent un levier essentiel du développement économique, de l’amélioration des conditions de vie des populations et de la modernisation du territoire au Mali. Le secteur demeure toutefois confronté à d’importants défis liés au désenclavement des territoires, à l’insuffisance des infrastructures et équipements de base, aux disparités régionales ainsi qu’aux besoins croissants en matière de mobilité, de connectivité et de développement territorial. Dans cette perspective, plusieurs politiques et stratégies ont été élaborées afin de promouvoir un développement territorial harmonieux et équilibré, le renforcement des infrastructures structurantes, l’amélioration de l’accessibilité des populations ainsi que la modernisation des systèmes de transport et des équipements territoriaux. Les principales orientations issues de ces documents stratégiques ainsi que les éventuelles cibles quantitatives associées sont présentées dans le tableau ci-après.</w:t>
      </w:r>
    </w:p>
    <w:p w14:paraId="0C37EF39" w14:textId="75B62978" w:rsidR="00B467DF" w:rsidRPr="00776974" w:rsidRDefault="00EC4543" w:rsidP="00776974">
      <w:pPr>
        <w:pStyle w:val="NormalWeb"/>
        <w:spacing w:before="0" w:beforeAutospacing="0"/>
        <w:jc w:val="both"/>
        <w:rPr>
          <w:rFonts w:ascii="Calibri" w:eastAsia="Calibri" w:hAnsi="Calibri" w:cs="Calibri"/>
        </w:rPr>
      </w:pPr>
      <w:r w:rsidRPr="00EC4543">
        <w:rPr>
          <w:rFonts w:ascii="Calibri" w:eastAsia="Calibri" w:hAnsi="Calibri" w:cs="Calibri"/>
        </w:rPr>
        <w:lastRenderedPageBreak/>
        <w:t>En complément des orientations identifiées dans les politiques et stratégies relatives aux infrastructures, l’analyse des secteurs présentés précédemment met également en évidence plusieurs priorités connexes liées au développement et à la modernisation des infrastructures, notamment les aménagements hydro-agricoles, les infrastructures hydrauliques et d’assainissement, les systèmes d’irrigation, les infrastructures de drainage, les infrastructures d’accès à l’eau potable, les infrastructures énergétiques décentralisées ainsi que les réseaux d’observation météorologique et hydrologique.</w:t>
      </w:r>
    </w:p>
    <w:p w14:paraId="5E26E329" w14:textId="076EAEA3" w:rsidR="002856AE" w:rsidRDefault="002856AE" w:rsidP="002856AE">
      <w:pPr>
        <w:pStyle w:val="Lgende"/>
        <w:keepNext/>
      </w:pPr>
      <w:bookmarkStart w:id="31" w:name="_Toc234853936"/>
      <w:r>
        <w:t xml:space="preserve">Tableau </w:t>
      </w:r>
      <w:r>
        <w:fldChar w:fldCharType="begin"/>
      </w:r>
      <w:r>
        <w:instrText xml:space="preserve"> SEQ Tableau \* ARABIC </w:instrText>
      </w:r>
      <w:r>
        <w:fldChar w:fldCharType="separate"/>
      </w:r>
      <w:r w:rsidR="0018772E">
        <w:rPr>
          <w:noProof/>
        </w:rPr>
        <w:t>12</w:t>
      </w:r>
      <w:r>
        <w:fldChar w:fldCharType="end"/>
      </w:r>
      <w:r>
        <w:t xml:space="preserve"> : </w:t>
      </w:r>
      <w:r w:rsidRPr="00B74EA9">
        <w:t>Politiques et stratégies du secteur de la biodiversité au Mali en lien avec l’adaptation</w:t>
      </w:r>
      <w:bookmarkEnd w:id="31"/>
      <w:r w:rsidRPr="00B74EA9">
        <w:t xml:space="preserve"> </w:t>
      </w:r>
    </w:p>
    <w:tbl>
      <w:tblPr>
        <w:tblStyle w:val="Grilledutablea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403"/>
        <w:gridCol w:w="3525"/>
        <w:gridCol w:w="3249"/>
      </w:tblGrid>
      <w:tr w:rsidR="00B467DF" w:rsidRPr="002856AE" w14:paraId="6E1E1E6A" w14:textId="77777777" w:rsidTr="00E5798B">
        <w:trPr>
          <w:trHeight w:val="565"/>
          <w:tblHeader/>
        </w:trPr>
        <w:tc>
          <w:tcPr>
            <w:tcW w:w="108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58E10E69" w14:textId="77777777" w:rsidR="00B467DF" w:rsidRPr="002856AE" w:rsidRDefault="00B467DF">
            <w:pPr>
              <w:jc w:val="center"/>
              <w:rPr>
                <w:b/>
                <w:color w:val="FFFFFF" w:themeColor="background1"/>
                <w:sz w:val="18"/>
                <w:szCs w:val="18"/>
                <w:lang w:eastAsia="en-US"/>
              </w:rPr>
            </w:pPr>
            <w:r w:rsidRPr="002856AE">
              <w:rPr>
                <w:b/>
                <w:color w:val="FFFFFF" w:themeColor="background1"/>
                <w:sz w:val="18"/>
                <w:szCs w:val="18"/>
                <w:lang w:eastAsia="en-US"/>
              </w:rPr>
              <w:t>Politique / stratégie</w:t>
            </w:r>
          </w:p>
        </w:tc>
        <w:tc>
          <w:tcPr>
            <w:tcW w:w="130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4CF2AE88" w14:textId="77777777" w:rsidR="00B467DF" w:rsidRPr="002856AE" w:rsidRDefault="00B467DF">
            <w:pPr>
              <w:jc w:val="center"/>
              <w:rPr>
                <w:b/>
                <w:color w:val="FFFFFF" w:themeColor="background1"/>
                <w:sz w:val="18"/>
                <w:szCs w:val="18"/>
                <w:lang w:eastAsia="en-US"/>
              </w:rPr>
            </w:pPr>
            <w:r w:rsidRPr="002856AE">
              <w:rPr>
                <w:b/>
                <w:color w:val="FFFFFF" w:themeColor="background1"/>
                <w:sz w:val="18"/>
                <w:szCs w:val="18"/>
                <w:lang w:eastAsia="en-US"/>
              </w:rPr>
              <w:t>Description</w:t>
            </w:r>
          </w:p>
        </w:tc>
        <w:tc>
          <w:tcPr>
            <w:tcW w:w="135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151E6FD3" w14:textId="77777777" w:rsidR="00B467DF" w:rsidRPr="002856AE" w:rsidRDefault="00B467DF">
            <w:pPr>
              <w:jc w:val="center"/>
              <w:rPr>
                <w:b/>
                <w:color w:val="FFFFFF" w:themeColor="background1"/>
                <w:sz w:val="18"/>
                <w:szCs w:val="18"/>
                <w:lang w:eastAsia="en-US"/>
              </w:rPr>
            </w:pPr>
            <w:r w:rsidRPr="002856AE">
              <w:rPr>
                <w:b/>
                <w:color w:val="FFFFFF" w:themeColor="background1"/>
                <w:sz w:val="18"/>
                <w:szCs w:val="18"/>
                <w:lang w:eastAsia="en-US"/>
              </w:rPr>
              <w:t>Principales orientations climatiques</w:t>
            </w:r>
          </w:p>
        </w:tc>
        <w:tc>
          <w:tcPr>
            <w:tcW w:w="12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4BB4B204" w14:textId="77777777" w:rsidR="00B467DF" w:rsidRPr="002856AE" w:rsidRDefault="00B467DF">
            <w:pPr>
              <w:jc w:val="center"/>
              <w:rPr>
                <w:b/>
                <w:color w:val="FFFFFF" w:themeColor="background1"/>
                <w:sz w:val="18"/>
                <w:szCs w:val="18"/>
                <w:lang w:eastAsia="en-US"/>
              </w:rPr>
            </w:pPr>
            <w:r w:rsidRPr="002856AE">
              <w:rPr>
                <w:b/>
                <w:color w:val="FFFFFF" w:themeColor="background1"/>
                <w:sz w:val="18"/>
                <w:szCs w:val="18"/>
                <w:lang w:eastAsia="en-US"/>
              </w:rPr>
              <w:t>Cibles quantitatives</w:t>
            </w:r>
          </w:p>
        </w:tc>
      </w:tr>
      <w:tr w:rsidR="00B467DF" w:rsidRPr="002856AE" w14:paraId="02B29C7E" w14:textId="77777777" w:rsidTr="00E5798B">
        <w:tc>
          <w:tcPr>
            <w:tcW w:w="1088" w:type="pct"/>
          </w:tcPr>
          <w:p w14:paraId="247A5A56" w14:textId="2F1AB44F" w:rsidR="009907CC" w:rsidRPr="002856AE" w:rsidRDefault="009907CC" w:rsidP="00242829">
            <w:pPr>
              <w:jc w:val="both"/>
              <w:rPr>
                <w:b/>
                <w:sz w:val="18"/>
                <w:szCs w:val="18"/>
                <w:lang w:eastAsia="en-US"/>
              </w:rPr>
            </w:pPr>
            <w:r w:rsidRPr="002856AE">
              <w:rPr>
                <w:b/>
                <w:sz w:val="18"/>
                <w:szCs w:val="18"/>
                <w:lang w:eastAsia="en-US"/>
              </w:rPr>
              <w:t>Politique Nationale</w:t>
            </w:r>
            <w:r w:rsidR="00242829" w:rsidRPr="002856AE">
              <w:rPr>
                <w:b/>
                <w:sz w:val="18"/>
                <w:szCs w:val="18"/>
                <w:lang w:eastAsia="en-US"/>
              </w:rPr>
              <w:t xml:space="preserve"> </w:t>
            </w:r>
            <w:r w:rsidRPr="002856AE">
              <w:rPr>
                <w:b/>
                <w:sz w:val="18"/>
                <w:szCs w:val="18"/>
                <w:lang w:eastAsia="en-US"/>
              </w:rPr>
              <w:t>d’Aménagement du</w:t>
            </w:r>
            <w:r w:rsidR="00242829" w:rsidRPr="002856AE">
              <w:rPr>
                <w:b/>
                <w:sz w:val="18"/>
                <w:szCs w:val="18"/>
                <w:lang w:eastAsia="en-US"/>
              </w:rPr>
              <w:t xml:space="preserve"> </w:t>
            </w:r>
            <w:r w:rsidRPr="002856AE">
              <w:rPr>
                <w:b/>
                <w:sz w:val="18"/>
                <w:szCs w:val="18"/>
                <w:lang w:eastAsia="en-US"/>
              </w:rPr>
              <w:t>Territoire</w:t>
            </w:r>
          </w:p>
          <w:p w14:paraId="4F2F2032" w14:textId="3E05943B" w:rsidR="00B467DF" w:rsidRPr="002856AE" w:rsidRDefault="00242829" w:rsidP="003926B1">
            <w:pPr>
              <w:jc w:val="both"/>
              <w:rPr>
                <w:i/>
                <w:color w:val="1F3864" w:themeColor="accent5" w:themeShade="80"/>
                <w:sz w:val="18"/>
                <w:szCs w:val="18"/>
                <w:lang w:eastAsia="en-US"/>
              </w:rPr>
            </w:pPr>
            <w:r w:rsidRPr="002856AE">
              <w:rPr>
                <w:i/>
                <w:color w:val="1F3864" w:themeColor="accent5" w:themeShade="80"/>
                <w:sz w:val="18"/>
                <w:szCs w:val="18"/>
                <w:lang w:eastAsia="en-US"/>
              </w:rPr>
              <w:t xml:space="preserve">Ministère de l’Aménagement du Territoire et de </w:t>
            </w:r>
            <w:r w:rsidR="003926B1" w:rsidRPr="002856AE">
              <w:rPr>
                <w:i/>
                <w:color w:val="1F3864" w:themeColor="accent5" w:themeShade="80"/>
                <w:sz w:val="18"/>
                <w:szCs w:val="18"/>
                <w:lang w:eastAsia="en-US"/>
              </w:rPr>
              <w:t>la</w:t>
            </w:r>
            <w:r w:rsidRPr="002856AE">
              <w:rPr>
                <w:i/>
                <w:color w:val="1F3864" w:themeColor="accent5" w:themeShade="80"/>
                <w:sz w:val="18"/>
                <w:szCs w:val="18"/>
                <w:lang w:eastAsia="en-US"/>
              </w:rPr>
              <w:t xml:space="preserve"> Population</w:t>
            </w:r>
            <w:r w:rsidR="00B467DF" w:rsidRPr="002856AE">
              <w:rPr>
                <w:i/>
                <w:color w:val="1F3864" w:themeColor="accent5" w:themeShade="80"/>
                <w:sz w:val="18"/>
                <w:szCs w:val="18"/>
                <w:lang w:eastAsia="en-US"/>
              </w:rPr>
              <w:t>, 1995</w:t>
            </w:r>
          </w:p>
        </w:tc>
        <w:tc>
          <w:tcPr>
            <w:tcW w:w="1308" w:type="pct"/>
          </w:tcPr>
          <w:p w14:paraId="72FCA4ED" w14:textId="77777777" w:rsidR="003D73EA" w:rsidRDefault="009B0C47" w:rsidP="002856AE">
            <w:pPr>
              <w:spacing w:after="120"/>
              <w:jc w:val="both"/>
              <w:rPr>
                <w:sz w:val="18"/>
                <w:szCs w:val="18"/>
                <w:lang w:eastAsia="en-US"/>
              </w:rPr>
            </w:pPr>
            <w:r w:rsidRPr="002856AE">
              <w:rPr>
                <w:sz w:val="18"/>
                <w:szCs w:val="18"/>
                <w:lang w:eastAsia="en-US"/>
              </w:rPr>
              <w:t xml:space="preserve">La Politique Nationale d’Aménagement du Territoire vise à promouvoir un développement territorial harmonieux, équilibré et durable à travers une meilleure répartition des populations, des activités économiques, des équipements et des infrastructures sur l’ensemble du territoire national. </w:t>
            </w:r>
          </w:p>
          <w:p w14:paraId="601AC0E5" w14:textId="7D66FCC9" w:rsidR="003D73EA" w:rsidRDefault="009B0C47" w:rsidP="002856AE">
            <w:pPr>
              <w:spacing w:after="120"/>
              <w:jc w:val="both"/>
              <w:rPr>
                <w:sz w:val="18"/>
                <w:szCs w:val="18"/>
                <w:lang w:eastAsia="en-US"/>
              </w:rPr>
            </w:pPr>
            <w:r w:rsidRPr="002856AE">
              <w:rPr>
                <w:sz w:val="18"/>
                <w:szCs w:val="18"/>
                <w:lang w:eastAsia="en-US"/>
              </w:rPr>
              <w:t xml:space="preserve">Elle met l’accent sur la réduction des disparités régionales, la valorisation durable des ressources naturelles, le désenclavement du territoire ainsi que le renforcement de l’unité nationale, des solidarités intra et interrégionales et de l’intégration régionale. </w:t>
            </w:r>
          </w:p>
          <w:p w14:paraId="5DF2F8FA" w14:textId="3AC2D965" w:rsidR="00B467DF" w:rsidRPr="002856AE" w:rsidRDefault="009B0C47" w:rsidP="002856AE">
            <w:pPr>
              <w:spacing w:after="120"/>
              <w:jc w:val="both"/>
              <w:rPr>
                <w:sz w:val="18"/>
                <w:szCs w:val="18"/>
                <w:lang w:eastAsia="en-US"/>
              </w:rPr>
            </w:pPr>
            <w:r w:rsidRPr="002856AE">
              <w:rPr>
                <w:sz w:val="18"/>
                <w:szCs w:val="18"/>
                <w:lang w:eastAsia="en-US"/>
              </w:rPr>
              <w:t>Elle vise également à favoriser le progrès social, l’efficacité économique et la protection de l’environnement, tout en renforçant les infrastructures de base, notamment dans les domaines du transport, des technologies de l’information et des zones d’activités, afin d’améliorer les conditions de vie des populations et de soutenir un développement plus équilibré entre les territoires.</w:t>
            </w:r>
          </w:p>
        </w:tc>
        <w:tc>
          <w:tcPr>
            <w:tcW w:w="1355" w:type="pct"/>
          </w:tcPr>
          <w:p w14:paraId="0002332E" w14:textId="77777777" w:rsidR="009F45AA" w:rsidRPr="002856AE" w:rsidRDefault="009F45AA" w:rsidP="008A3661">
            <w:pPr>
              <w:pStyle w:val="Paragraphedeliste"/>
              <w:numPr>
                <w:ilvl w:val="0"/>
                <w:numId w:val="22"/>
              </w:numPr>
              <w:spacing w:after="120"/>
              <w:ind w:left="170" w:hanging="170"/>
              <w:jc w:val="lowKashida"/>
              <w:rPr>
                <w:sz w:val="18"/>
                <w:szCs w:val="18"/>
              </w:rPr>
            </w:pPr>
            <w:r w:rsidRPr="002856AE">
              <w:rPr>
                <w:sz w:val="18"/>
                <w:szCs w:val="18"/>
              </w:rPr>
              <w:t>L’exploitation rationnelle de l’espace national, notamment la répartition équilibrée de la population à travers celle des activités économiques sur l’ensemble du territoire national ;</w:t>
            </w:r>
          </w:p>
          <w:p w14:paraId="6F7215F8" w14:textId="77777777" w:rsidR="009F45AA" w:rsidRPr="002856AE" w:rsidRDefault="009F45AA" w:rsidP="008A3661">
            <w:pPr>
              <w:pStyle w:val="Paragraphedeliste"/>
              <w:numPr>
                <w:ilvl w:val="0"/>
                <w:numId w:val="22"/>
              </w:numPr>
              <w:spacing w:after="120"/>
              <w:ind w:left="170" w:hanging="170"/>
              <w:jc w:val="lowKashida"/>
              <w:rPr>
                <w:sz w:val="18"/>
                <w:szCs w:val="18"/>
              </w:rPr>
            </w:pPr>
            <w:r w:rsidRPr="002856AE">
              <w:rPr>
                <w:sz w:val="18"/>
                <w:szCs w:val="18"/>
              </w:rPr>
              <w:t>La répartition spatiale appropriée des villes et des autres établissements humains à travers la maîtrise de la croissance des agglomérations et une armature urbaine équilibrée ;</w:t>
            </w:r>
          </w:p>
          <w:p w14:paraId="06C1B606" w14:textId="77777777" w:rsidR="009F45AA" w:rsidRPr="002856AE" w:rsidRDefault="009F45AA" w:rsidP="008A3661">
            <w:pPr>
              <w:pStyle w:val="Paragraphedeliste"/>
              <w:numPr>
                <w:ilvl w:val="0"/>
                <w:numId w:val="22"/>
              </w:numPr>
              <w:spacing w:after="120"/>
              <w:ind w:left="170" w:hanging="170"/>
              <w:jc w:val="lowKashida"/>
              <w:rPr>
                <w:sz w:val="18"/>
                <w:szCs w:val="18"/>
              </w:rPr>
            </w:pPr>
            <w:r w:rsidRPr="002856AE">
              <w:rPr>
                <w:sz w:val="18"/>
                <w:szCs w:val="18"/>
              </w:rPr>
              <w:t>Le soutien aux activités économiques modulé selon les territoires ;</w:t>
            </w:r>
          </w:p>
          <w:p w14:paraId="444BAFB7" w14:textId="4A24C769" w:rsidR="00B467DF" w:rsidRPr="002856AE" w:rsidRDefault="009F45AA" w:rsidP="008A3661">
            <w:pPr>
              <w:pStyle w:val="Paragraphedeliste"/>
              <w:numPr>
                <w:ilvl w:val="0"/>
                <w:numId w:val="22"/>
              </w:numPr>
              <w:spacing w:after="120"/>
              <w:ind w:left="170" w:hanging="170"/>
              <w:jc w:val="lowKashida"/>
              <w:rPr>
                <w:sz w:val="18"/>
                <w:szCs w:val="18"/>
              </w:rPr>
            </w:pPr>
            <w:r w:rsidRPr="002856AE">
              <w:rPr>
                <w:sz w:val="18"/>
                <w:szCs w:val="18"/>
              </w:rPr>
              <w:t>La cohérence des choix nationaux avec les projets d’intégration sous-régionaux et régionaux.</w:t>
            </w:r>
          </w:p>
        </w:tc>
        <w:tc>
          <w:tcPr>
            <w:tcW w:w="1250" w:type="pct"/>
          </w:tcPr>
          <w:p w14:paraId="26A0D25A" w14:textId="453358E1" w:rsidR="00B467DF" w:rsidRPr="002856AE" w:rsidRDefault="009B0C47">
            <w:pPr>
              <w:spacing w:after="120"/>
              <w:jc w:val="both"/>
              <w:rPr>
                <w:sz w:val="18"/>
                <w:szCs w:val="18"/>
                <w:lang w:eastAsia="en-US"/>
              </w:rPr>
            </w:pPr>
            <w:r w:rsidRPr="002856AE">
              <w:rPr>
                <w:sz w:val="18"/>
                <w:szCs w:val="18"/>
                <w:lang w:eastAsia="en-US"/>
              </w:rPr>
              <w:t xml:space="preserve">La </w:t>
            </w:r>
            <w:r w:rsidR="002B43C4" w:rsidRPr="002856AE">
              <w:rPr>
                <w:sz w:val="18"/>
                <w:szCs w:val="18"/>
                <w:lang w:eastAsia="en-US"/>
              </w:rPr>
              <w:t>politique</w:t>
            </w:r>
            <w:r w:rsidRPr="002856AE">
              <w:rPr>
                <w:sz w:val="18"/>
                <w:szCs w:val="18"/>
                <w:lang w:eastAsia="en-US"/>
              </w:rPr>
              <w:t xml:space="preserve"> n’identifie pas de cibles quantitatives.</w:t>
            </w:r>
          </w:p>
        </w:tc>
      </w:tr>
      <w:tr w:rsidR="00CD4E5D" w:rsidRPr="002856AE" w14:paraId="46F82A19" w14:textId="77777777" w:rsidTr="00E5798B">
        <w:tc>
          <w:tcPr>
            <w:tcW w:w="1088" w:type="pct"/>
          </w:tcPr>
          <w:p w14:paraId="4EEC38E9" w14:textId="2CABB2CC" w:rsidR="00CD4E5D" w:rsidRPr="002856AE" w:rsidRDefault="00B34E15" w:rsidP="00B34E15">
            <w:pPr>
              <w:jc w:val="both"/>
              <w:rPr>
                <w:b/>
                <w:sz w:val="18"/>
                <w:szCs w:val="18"/>
                <w:lang w:eastAsia="en-US"/>
              </w:rPr>
            </w:pPr>
            <w:r w:rsidRPr="002856AE">
              <w:rPr>
                <w:b/>
                <w:sz w:val="18"/>
                <w:szCs w:val="18"/>
                <w:lang w:eastAsia="en-US"/>
              </w:rPr>
              <w:t>Politique Nationale des Transports et Infrastructures de Transport au Mali</w:t>
            </w:r>
          </w:p>
          <w:p w14:paraId="6F5C8649" w14:textId="3544D6C7" w:rsidR="00B34E15" w:rsidRPr="002856AE" w:rsidRDefault="00347B19" w:rsidP="00B34E15">
            <w:pPr>
              <w:jc w:val="both"/>
              <w:rPr>
                <w:b/>
                <w:sz w:val="18"/>
                <w:szCs w:val="18"/>
                <w:lang w:eastAsia="en-US"/>
              </w:rPr>
            </w:pPr>
            <w:r w:rsidRPr="002856AE">
              <w:rPr>
                <w:i/>
                <w:color w:val="1F3864" w:themeColor="accent5" w:themeShade="80"/>
                <w:sz w:val="18"/>
                <w:szCs w:val="18"/>
                <w:lang w:eastAsia="en-US"/>
              </w:rPr>
              <w:lastRenderedPageBreak/>
              <w:t>Ministère de l'Equipement et des Transports, 2012</w:t>
            </w:r>
          </w:p>
        </w:tc>
        <w:tc>
          <w:tcPr>
            <w:tcW w:w="1308" w:type="pct"/>
          </w:tcPr>
          <w:p w14:paraId="38BB6BD3" w14:textId="77777777" w:rsidR="003C59E3" w:rsidRDefault="00B01370" w:rsidP="002856AE">
            <w:pPr>
              <w:spacing w:after="120"/>
              <w:jc w:val="both"/>
              <w:rPr>
                <w:sz w:val="18"/>
                <w:szCs w:val="18"/>
                <w:lang w:eastAsia="en-US"/>
              </w:rPr>
            </w:pPr>
            <w:r w:rsidRPr="002856AE">
              <w:rPr>
                <w:sz w:val="18"/>
                <w:szCs w:val="18"/>
                <w:lang w:eastAsia="en-US"/>
              </w:rPr>
              <w:lastRenderedPageBreak/>
              <w:t xml:space="preserve">La Politique de transport et d’infrastructures de transport au Mali vise à développer un système de transport </w:t>
            </w:r>
            <w:r w:rsidRPr="002856AE">
              <w:rPr>
                <w:sz w:val="18"/>
                <w:szCs w:val="18"/>
                <w:lang w:eastAsia="en-US"/>
              </w:rPr>
              <w:lastRenderedPageBreak/>
              <w:t xml:space="preserve">multimodal, intégré, efficace, sûr et durable, capable de répondre aux besoins de mobilité des populations et des secteurs économiques tout en soutenant l’aménagement équilibré du territoire. </w:t>
            </w:r>
          </w:p>
          <w:p w14:paraId="4B9885EC" w14:textId="203552EF" w:rsidR="00CD4E5D" w:rsidRPr="002856AE" w:rsidRDefault="00B01370" w:rsidP="002856AE">
            <w:pPr>
              <w:spacing w:after="120"/>
              <w:jc w:val="both"/>
              <w:rPr>
                <w:sz w:val="18"/>
                <w:szCs w:val="18"/>
                <w:lang w:eastAsia="en-US"/>
              </w:rPr>
            </w:pPr>
            <w:r w:rsidRPr="002856AE">
              <w:rPr>
                <w:sz w:val="18"/>
                <w:szCs w:val="18"/>
                <w:lang w:eastAsia="en-US"/>
              </w:rPr>
              <w:t>Elle s’articule autour de cinq principaux domaines portant sur le développement des infrastructures de transport, l’exploitation et l’entretien des infrastructures, le renforcement des capacités institutionnelles, le financement du secteur ainsi que la réduction des impacts environnementaux et sociaux des activités de transport. La politique met notamment l’accent sur le désenclavement intérieur et extérieur du pays, l’amélioration de l’accessibilité des populations rurales, le développement des corridors régionaux et l’utilisation des nouvelles technologies.</w:t>
            </w:r>
          </w:p>
        </w:tc>
        <w:tc>
          <w:tcPr>
            <w:tcW w:w="1355" w:type="pct"/>
          </w:tcPr>
          <w:p w14:paraId="0F347875" w14:textId="77777777" w:rsidR="00EC32D6" w:rsidRPr="002856AE" w:rsidRDefault="00EC32D6" w:rsidP="008A3661">
            <w:pPr>
              <w:pStyle w:val="Paragraphedeliste"/>
              <w:numPr>
                <w:ilvl w:val="0"/>
                <w:numId w:val="22"/>
              </w:numPr>
              <w:spacing w:after="120"/>
              <w:ind w:left="170" w:hanging="170"/>
              <w:jc w:val="lowKashida"/>
              <w:rPr>
                <w:sz w:val="18"/>
                <w:szCs w:val="18"/>
              </w:rPr>
            </w:pPr>
            <w:r w:rsidRPr="002856AE">
              <w:rPr>
                <w:sz w:val="18"/>
                <w:szCs w:val="18"/>
              </w:rPr>
              <w:lastRenderedPageBreak/>
              <w:t>Intégration du développement des transports dans le développement socio-</w:t>
            </w:r>
            <w:r w:rsidRPr="002856AE">
              <w:rPr>
                <w:sz w:val="18"/>
                <w:szCs w:val="18"/>
              </w:rPr>
              <w:lastRenderedPageBreak/>
              <w:t>économique et l’aménagement du territoire ;</w:t>
            </w:r>
          </w:p>
          <w:p w14:paraId="6AFDE044" w14:textId="77777777" w:rsidR="00EC32D6" w:rsidRPr="002856AE" w:rsidRDefault="00EC32D6" w:rsidP="008A3661">
            <w:pPr>
              <w:pStyle w:val="Paragraphedeliste"/>
              <w:numPr>
                <w:ilvl w:val="0"/>
                <w:numId w:val="22"/>
              </w:numPr>
              <w:spacing w:after="120"/>
              <w:ind w:left="170" w:hanging="170"/>
              <w:jc w:val="lowKashida"/>
              <w:rPr>
                <w:sz w:val="18"/>
                <w:szCs w:val="18"/>
              </w:rPr>
            </w:pPr>
            <w:r w:rsidRPr="002856AE">
              <w:rPr>
                <w:sz w:val="18"/>
                <w:szCs w:val="18"/>
              </w:rPr>
              <w:t>Renforcement du cadre juridique et institutionnel du secteur des transports ;</w:t>
            </w:r>
          </w:p>
          <w:p w14:paraId="289180A6" w14:textId="77777777" w:rsidR="00EC32D6" w:rsidRPr="002856AE" w:rsidRDefault="00EC32D6" w:rsidP="008A3661">
            <w:pPr>
              <w:pStyle w:val="Paragraphedeliste"/>
              <w:numPr>
                <w:ilvl w:val="0"/>
                <w:numId w:val="22"/>
              </w:numPr>
              <w:spacing w:after="120"/>
              <w:ind w:left="170" w:hanging="170"/>
              <w:jc w:val="lowKashida"/>
              <w:rPr>
                <w:sz w:val="18"/>
                <w:szCs w:val="18"/>
              </w:rPr>
            </w:pPr>
            <w:r w:rsidRPr="002856AE">
              <w:rPr>
                <w:sz w:val="18"/>
                <w:szCs w:val="18"/>
              </w:rPr>
              <w:t>Développement des capacités et qualification des ressources humaines du secteur des transports ;</w:t>
            </w:r>
          </w:p>
          <w:p w14:paraId="35567BB0" w14:textId="7101222A" w:rsidR="00CD4E5D" w:rsidRPr="002856AE" w:rsidRDefault="00EC32D6" w:rsidP="008A3661">
            <w:pPr>
              <w:pStyle w:val="Paragraphedeliste"/>
              <w:numPr>
                <w:ilvl w:val="0"/>
                <w:numId w:val="22"/>
              </w:numPr>
              <w:spacing w:after="120"/>
              <w:ind w:left="170" w:hanging="170"/>
              <w:jc w:val="lowKashida"/>
              <w:rPr>
                <w:sz w:val="18"/>
                <w:szCs w:val="18"/>
              </w:rPr>
            </w:pPr>
            <w:r w:rsidRPr="002856AE">
              <w:rPr>
                <w:sz w:val="18"/>
                <w:szCs w:val="18"/>
              </w:rPr>
              <w:t>Promotion de l’utilisation des nouvelles technologies dans le secteur des transports.</w:t>
            </w:r>
          </w:p>
        </w:tc>
        <w:tc>
          <w:tcPr>
            <w:tcW w:w="1250" w:type="pct"/>
          </w:tcPr>
          <w:p w14:paraId="51D3D751" w14:textId="599E5BBC" w:rsidR="00CD4E5D" w:rsidRPr="002856AE" w:rsidRDefault="001C2290">
            <w:pPr>
              <w:spacing w:after="120"/>
              <w:jc w:val="both"/>
              <w:rPr>
                <w:sz w:val="18"/>
                <w:szCs w:val="18"/>
                <w:lang w:eastAsia="en-US"/>
              </w:rPr>
            </w:pPr>
            <w:r w:rsidRPr="002856AE">
              <w:rPr>
                <w:sz w:val="18"/>
                <w:szCs w:val="18"/>
                <w:lang w:eastAsia="en-US"/>
              </w:rPr>
              <w:lastRenderedPageBreak/>
              <w:t>Garantir qu’aucun village ne se situe à plus de 2 km d’une route praticable en toute saison.</w:t>
            </w:r>
          </w:p>
        </w:tc>
      </w:tr>
    </w:tbl>
    <w:p w14:paraId="2FFCD5B6" w14:textId="77777777" w:rsidR="00BA19B7" w:rsidRPr="00BA19B7" w:rsidRDefault="00BA19B7" w:rsidP="003C59E3">
      <w:pPr>
        <w:pStyle w:val="NormalWeb"/>
        <w:spacing w:before="120" w:beforeAutospacing="0" w:after="120" w:afterAutospacing="0"/>
        <w:jc w:val="both"/>
        <w:rPr>
          <w:rFonts w:ascii="Calibri" w:eastAsia="Calibri" w:hAnsi="Calibri" w:cs="Calibri"/>
        </w:rPr>
      </w:pPr>
      <w:r w:rsidRPr="00BA19B7">
        <w:rPr>
          <w:rFonts w:ascii="Calibri" w:eastAsia="Calibri" w:hAnsi="Calibri" w:cs="Calibri"/>
        </w:rPr>
        <w:t>L’examen des politiques et stratégies relatives aux infrastructures met en évidence un cadre sectoriel fortement orienté vers le désenclavement du territoire, le développement des infrastructures de base et l’amélioration de l’intégration économique et territoriale du Mali. Les documents analysés accordent une importance particulière au développement des infrastructures de transport, à l’aménagement équilibré du territoire, au renforcement des corridors régionaux ainsi qu’à l’amélioration de l’accessibilité des populations rurales aux services et aux marchés. Ils mettent également en avant la nécessité de renforcer la planification territoriale, les capacités institutionnelles, le financement du secteur et l’entretien durable des infrastructures.</w:t>
      </w:r>
    </w:p>
    <w:p w14:paraId="119F690F" w14:textId="77777777" w:rsidR="00BA19B7" w:rsidRPr="00BA19B7" w:rsidRDefault="00BA19B7" w:rsidP="003C59E3">
      <w:pPr>
        <w:pStyle w:val="NormalWeb"/>
        <w:spacing w:before="120" w:beforeAutospacing="0" w:after="120" w:afterAutospacing="0"/>
        <w:jc w:val="both"/>
        <w:rPr>
          <w:rFonts w:ascii="Calibri" w:eastAsia="Calibri" w:hAnsi="Calibri" w:cs="Calibri"/>
        </w:rPr>
      </w:pPr>
      <w:r w:rsidRPr="00BA19B7">
        <w:rPr>
          <w:rFonts w:ascii="Calibri" w:eastAsia="Calibri" w:hAnsi="Calibri" w:cs="Calibri"/>
        </w:rPr>
        <w:t xml:space="preserve">L’analyse fait ressortir plusieurs priorités structurantes pour les infrastructures, notamment le développement des réseaux de transport multimodaux, le désenclavement intérieur et extérieur du pays, le renforcement des infrastructures de base et des équipements territoriaux, ainsi que l’amélioration de la connectivité régionale et des corridors d’échanges. Les stratégies soulignent aussi l’importance de la modernisation des infrastructures, du recours aux nouvelles technologies, du développement des partenariats public-privé et de la réduction des impacts environnementaux liés aux activités de transport et d’aménagement. Quelques objectifs quantifiés sont également identifiés, notamment en matière d’accessibilité territoriale. </w:t>
      </w:r>
    </w:p>
    <w:p w14:paraId="69251E3E" w14:textId="5892241E" w:rsidR="00B467DF" w:rsidRDefault="00BA19B7" w:rsidP="003C59E3">
      <w:pPr>
        <w:pStyle w:val="NormalWeb"/>
        <w:spacing w:before="120" w:beforeAutospacing="0" w:after="120" w:afterAutospacing="0"/>
        <w:jc w:val="both"/>
        <w:rPr>
          <w:rFonts w:ascii="Calibri" w:eastAsia="Calibri" w:hAnsi="Calibri" w:cs="Calibri"/>
        </w:rPr>
      </w:pPr>
      <w:r w:rsidRPr="00BA19B7">
        <w:rPr>
          <w:rFonts w:ascii="Calibri" w:eastAsia="Calibri" w:hAnsi="Calibri" w:cs="Calibri"/>
        </w:rPr>
        <w:lastRenderedPageBreak/>
        <w:t>Dans cette perspective, les orientations d’adaptation de la CDN 3.0 devront consolider les dynamiques engagées tout en renforçant la résilience des infrastructures face aux effets du changement climatique. Elles devront notamment promouvoir des infrastructures durables, résilientes et inclusives, capables de soutenir le développement territorial, la mobilité des populations et la continuité des activités économiques dans un contexte de variabilité climatique croissante.</w:t>
      </w:r>
    </w:p>
    <w:p w14:paraId="59DD285B" w14:textId="77777777" w:rsidR="003C59E3" w:rsidRDefault="003C59E3" w:rsidP="003C59E3">
      <w:pPr>
        <w:pStyle w:val="NormalWeb"/>
        <w:spacing w:before="120" w:beforeAutospacing="0" w:after="120" w:afterAutospacing="0"/>
        <w:jc w:val="both"/>
        <w:rPr>
          <w:rFonts w:ascii="Calibri" w:eastAsia="Calibri" w:hAnsi="Calibri" w:cs="Calibri"/>
        </w:rPr>
      </w:pPr>
    </w:p>
    <w:tbl>
      <w:tblPr>
        <w:tblStyle w:val="Grilledutableau"/>
        <w:tblW w:w="0" w:type="auto"/>
        <w:tblLook w:val="04A0" w:firstRow="1" w:lastRow="0" w:firstColumn="1" w:lastColumn="0" w:noHBand="0" w:noVBand="1"/>
      </w:tblPr>
      <w:tblGrid>
        <w:gridCol w:w="13018"/>
      </w:tblGrid>
      <w:tr w:rsidR="00FE4A2B" w14:paraId="2AE90617" w14:textId="77777777" w:rsidTr="00FE4A2B">
        <w:tc>
          <w:tcPr>
            <w:tcW w:w="13018" w:type="dxa"/>
            <w:shd w:val="clear" w:color="auto" w:fill="DEEAF6" w:themeFill="accent1" w:themeFillTint="33"/>
          </w:tcPr>
          <w:p w14:paraId="2586B2B5" w14:textId="77777777" w:rsidR="00FE4A2B" w:rsidRPr="00DF2634" w:rsidRDefault="00FE4A2B" w:rsidP="00FE4A2B">
            <w:pPr>
              <w:spacing w:before="120" w:after="120"/>
              <w:jc w:val="both"/>
              <w:rPr>
                <w:color w:val="000000" w:themeColor="text1"/>
                <w:sz w:val="24"/>
                <w:szCs w:val="24"/>
              </w:rPr>
            </w:pPr>
            <w:r w:rsidRPr="006B16A6">
              <w:rPr>
                <w:color w:val="000000" w:themeColor="text1"/>
                <w:sz w:val="24"/>
                <w:szCs w:val="24"/>
              </w:rPr>
              <w:t>Sur la base de la revue sectorielle conduite, les éléments suivants devront être intégrés dans la CDN 3.0</w:t>
            </w:r>
            <w:r>
              <w:rPr>
                <w:color w:val="000000" w:themeColor="text1"/>
                <w:sz w:val="24"/>
                <w:szCs w:val="24"/>
              </w:rPr>
              <w:t xml:space="preserve"> </w:t>
            </w:r>
            <w:r w:rsidRPr="00DF2634">
              <w:rPr>
                <w:color w:val="000000" w:themeColor="text1"/>
                <w:sz w:val="24"/>
                <w:szCs w:val="24"/>
              </w:rPr>
              <w:t>:</w:t>
            </w:r>
          </w:p>
          <w:p w14:paraId="3B827E5B" w14:textId="77777777" w:rsidR="00FE4A2B" w:rsidRPr="00B51F2C" w:rsidRDefault="00FE4A2B" w:rsidP="00FE4A2B">
            <w:pPr>
              <w:pStyle w:val="Paragraphedeliste"/>
              <w:numPr>
                <w:ilvl w:val="0"/>
                <w:numId w:val="33"/>
              </w:numPr>
              <w:spacing w:before="120" w:after="120"/>
              <w:jc w:val="both"/>
              <w:rPr>
                <w:color w:val="000000" w:themeColor="text1"/>
                <w:sz w:val="24"/>
                <w:szCs w:val="24"/>
              </w:rPr>
            </w:pPr>
            <w:r w:rsidRPr="00B51F2C">
              <w:rPr>
                <w:b/>
                <w:bCs/>
                <w:color w:val="000000" w:themeColor="text1"/>
                <w:sz w:val="24"/>
                <w:szCs w:val="24"/>
              </w:rPr>
              <w:t xml:space="preserve">Développement d’infrastructures de transport résilientes : </w:t>
            </w:r>
            <w:r w:rsidRPr="00B51F2C">
              <w:rPr>
                <w:color w:val="000000" w:themeColor="text1"/>
                <w:sz w:val="24"/>
                <w:szCs w:val="24"/>
              </w:rPr>
              <w:t xml:space="preserve">renforcement et modernisation des infrastructures routières, ferroviaires, fluviales et aéroportuaires afin d’améliorer la résilience de la mobilité des populations et des échanges ; </w:t>
            </w:r>
          </w:p>
          <w:p w14:paraId="18363E8E" w14:textId="77777777" w:rsidR="00FE4A2B" w:rsidRPr="00B51F2C" w:rsidRDefault="00FE4A2B" w:rsidP="00FE4A2B">
            <w:pPr>
              <w:pStyle w:val="Paragraphedeliste"/>
              <w:numPr>
                <w:ilvl w:val="0"/>
                <w:numId w:val="33"/>
              </w:numPr>
              <w:spacing w:before="120" w:after="120"/>
              <w:jc w:val="both"/>
              <w:rPr>
                <w:color w:val="000000" w:themeColor="text1"/>
                <w:sz w:val="24"/>
                <w:szCs w:val="24"/>
              </w:rPr>
            </w:pPr>
            <w:r w:rsidRPr="00B51F2C">
              <w:rPr>
                <w:b/>
                <w:bCs/>
                <w:color w:val="000000" w:themeColor="text1"/>
                <w:sz w:val="24"/>
                <w:szCs w:val="24"/>
              </w:rPr>
              <w:t xml:space="preserve">Désenclavement et connectivité territoriale : </w:t>
            </w:r>
            <w:r w:rsidRPr="00B51F2C">
              <w:rPr>
                <w:color w:val="000000" w:themeColor="text1"/>
                <w:sz w:val="24"/>
                <w:szCs w:val="24"/>
              </w:rPr>
              <w:t xml:space="preserve">amélioration de l’accessibilité des territoires ruraux et renforcement des corridors régionaux et transfrontaliers afin de réduire la vulnérabilité des territoires enclavés ; </w:t>
            </w:r>
          </w:p>
          <w:p w14:paraId="740A8AB9" w14:textId="77777777" w:rsidR="00FE4A2B" w:rsidRPr="00B51F2C" w:rsidRDefault="00FE4A2B" w:rsidP="00FE4A2B">
            <w:pPr>
              <w:pStyle w:val="Paragraphedeliste"/>
              <w:numPr>
                <w:ilvl w:val="0"/>
                <w:numId w:val="33"/>
              </w:numPr>
              <w:spacing w:before="120" w:after="120"/>
              <w:jc w:val="both"/>
              <w:rPr>
                <w:color w:val="000000" w:themeColor="text1"/>
                <w:sz w:val="24"/>
                <w:szCs w:val="24"/>
              </w:rPr>
            </w:pPr>
            <w:r w:rsidRPr="00B51F2C">
              <w:rPr>
                <w:b/>
                <w:bCs/>
                <w:color w:val="000000" w:themeColor="text1"/>
                <w:sz w:val="24"/>
                <w:szCs w:val="24"/>
              </w:rPr>
              <w:t xml:space="preserve">Aménagement territorial équilibré : </w:t>
            </w:r>
            <w:r w:rsidRPr="00B51F2C">
              <w:rPr>
                <w:color w:val="000000" w:themeColor="text1"/>
                <w:sz w:val="24"/>
                <w:szCs w:val="24"/>
              </w:rPr>
              <w:t xml:space="preserve">meilleure répartition des infrastructures, des équipements et des activités économiques sur l’ensemble du territoire national afin de renforcer la résilience territoriale et réduire les disparités régionales ; </w:t>
            </w:r>
          </w:p>
          <w:p w14:paraId="5378E3CD" w14:textId="77777777" w:rsidR="00FE4A2B" w:rsidRPr="00B51F2C" w:rsidRDefault="00FE4A2B" w:rsidP="00FE4A2B">
            <w:pPr>
              <w:pStyle w:val="Paragraphedeliste"/>
              <w:numPr>
                <w:ilvl w:val="0"/>
                <w:numId w:val="33"/>
              </w:numPr>
              <w:spacing w:before="120" w:after="120"/>
              <w:jc w:val="both"/>
              <w:rPr>
                <w:color w:val="000000" w:themeColor="text1"/>
                <w:sz w:val="24"/>
                <w:szCs w:val="24"/>
              </w:rPr>
            </w:pPr>
            <w:r w:rsidRPr="00B51F2C">
              <w:rPr>
                <w:b/>
                <w:bCs/>
                <w:color w:val="000000" w:themeColor="text1"/>
                <w:sz w:val="24"/>
                <w:szCs w:val="24"/>
              </w:rPr>
              <w:t xml:space="preserve">Entretien durable et sécurisation des infrastructures : </w:t>
            </w:r>
            <w:r w:rsidRPr="00B51F2C">
              <w:rPr>
                <w:color w:val="000000" w:themeColor="text1"/>
                <w:sz w:val="24"/>
                <w:szCs w:val="24"/>
              </w:rPr>
              <w:t xml:space="preserve">amélioration de l’exploitation, de la maintenance et de la sécurité des infrastructures de transport afin de limiter leur vulnérabilité aux événements climatiques extrêmes ; </w:t>
            </w:r>
          </w:p>
          <w:p w14:paraId="5FC80E68" w14:textId="77777777" w:rsidR="00FE4A2B" w:rsidRPr="00B51F2C" w:rsidRDefault="00FE4A2B" w:rsidP="00FE4A2B">
            <w:pPr>
              <w:pStyle w:val="Paragraphedeliste"/>
              <w:numPr>
                <w:ilvl w:val="0"/>
                <w:numId w:val="33"/>
              </w:numPr>
              <w:spacing w:before="120" w:after="120"/>
              <w:jc w:val="both"/>
              <w:rPr>
                <w:color w:val="000000" w:themeColor="text1"/>
                <w:sz w:val="24"/>
                <w:szCs w:val="24"/>
              </w:rPr>
            </w:pPr>
            <w:r w:rsidRPr="00B51F2C">
              <w:rPr>
                <w:b/>
                <w:bCs/>
                <w:color w:val="000000" w:themeColor="text1"/>
                <w:sz w:val="24"/>
                <w:szCs w:val="24"/>
              </w:rPr>
              <w:t xml:space="preserve">Modernisation institutionnelle et technologique : </w:t>
            </w:r>
            <w:r w:rsidRPr="00B51F2C">
              <w:rPr>
                <w:color w:val="000000" w:themeColor="text1"/>
                <w:sz w:val="24"/>
                <w:szCs w:val="24"/>
              </w:rPr>
              <w:t xml:space="preserve">renforcement des capacités institutionnelles, promotion des nouvelles technologies et amélioration des systèmes d’information et de gestion pour une meilleure anticipation et gestion des risques climatiques ; </w:t>
            </w:r>
          </w:p>
          <w:p w14:paraId="2C1E8BE1" w14:textId="197126A4" w:rsidR="00FE4A2B" w:rsidRPr="00FE4A2B" w:rsidRDefault="00FE4A2B" w:rsidP="00FE4A2B">
            <w:pPr>
              <w:pStyle w:val="Paragraphedeliste"/>
              <w:numPr>
                <w:ilvl w:val="0"/>
                <w:numId w:val="33"/>
              </w:numPr>
              <w:spacing w:before="120" w:after="120"/>
              <w:contextualSpacing w:val="0"/>
              <w:jc w:val="both"/>
              <w:rPr>
                <w:color w:val="000000" w:themeColor="text1"/>
                <w:sz w:val="24"/>
                <w:szCs w:val="24"/>
              </w:rPr>
            </w:pPr>
            <w:r w:rsidRPr="00B51F2C">
              <w:rPr>
                <w:b/>
                <w:bCs/>
                <w:color w:val="000000" w:themeColor="text1"/>
                <w:sz w:val="24"/>
                <w:szCs w:val="24"/>
              </w:rPr>
              <w:t xml:space="preserve">Promotion d’infrastructures durables et sobres en impacts environnementaux : </w:t>
            </w:r>
            <w:r w:rsidRPr="00B51F2C">
              <w:rPr>
                <w:color w:val="000000" w:themeColor="text1"/>
                <w:sz w:val="24"/>
                <w:szCs w:val="24"/>
              </w:rPr>
              <w:t>intégration des enjeux environnementaux et climatiques dans la planification, la réalisation et l’exploitation des infrastructures et des systèmes de transport</w:t>
            </w:r>
            <w:r>
              <w:rPr>
                <w:color w:val="000000" w:themeColor="text1"/>
                <w:sz w:val="24"/>
                <w:szCs w:val="24"/>
              </w:rPr>
              <w:t>.</w:t>
            </w:r>
          </w:p>
        </w:tc>
      </w:tr>
    </w:tbl>
    <w:p w14:paraId="522DAF8F" w14:textId="0C83205B" w:rsidR="00FE4A2B" w:rsidRDefault="00FE4A2B" w:rsidP="00BA19B7">
      <w:pPr>
        <w:pStyle w:val="NormalWeb"/>
        <w:spacing w:before="0" w:beforeAutospacing="0" w:after="0"/>
        <w:jc w:val="both"/>
        <w:rPr>
          <w:rFonts w:ascii="Calibri" w:eastAsia="Calibri" w:hAnsi="Calibri" w:cs="Calibri"/>
        </w:rPr>
      </w:pPr>
    </w:p>
    <w:p w14:paraId="252FBB3B" w14:textId="77777777" w:rsidR="00CE29E2" w:rsidRDefault="00CE29E2" w:rsidP="007B5CC5">
      <w:pPr>
        <w:pStyle w:val="Titre1"/>
        <w:numPr>
          <w:ilvl w:val="0"/>
          <w:numId w:val="0"/>
        </w:numPr>
        <w:sectPr w:rsidR="00CE29E2" w:rsidSect="00402395">
          <w:pgSz w:w="15840" w:h="12240" w:orient="landscape" w:code="1"/>
          <w:pgMar w:top="1411" w:right="1411" w:bottom="1411" w:left="1411" w:header="706" w:footer="706" w:gutter="0"/>
          <w:cols w:space="708"/>
          <w:docGrid w:linePitch="360"/>
        </w:sectPr>
      </w:pPr>
    </w:p>
    <w:p w14:paraId="49CA79A2" w14:textId="0A0338FE" w:rsidR="001F64BE" w:rsidRDefault="001F64BE" w:rsidP="001F64BE">
      <w:pPr>
        <w:pStyle w:val="Titre1"/>
      </w:pPr>
      <w:bookmarkStart w:id="32" w:name="_Toc234853864"/>
      <w:r w:rsidRPr="001F64BE">
        <w:lastRenderedPageBreak/>
        <w:t>Analyse sectorielle de l’atténuation</w:t>
      </w:r>
      <w:bookmarkEnd w:id="32"/>
    </w:p>
    <w:p w14:paraId="4094E398" w14:textId="0D2FB990" w:rsidR="0048018C" w:rsidRDefault="0048018C" w:rsidP="0048018C">
      <w:pPr>
        <w:jc w:val="both"/>
        <w:rPr>
          <w:lang w:eastAsia="en-US"/>
        </w:rPr>
      </w:pPr>
      <w:r>
        <w:rPr>
          <w:lang w:eastAsia="en-US"/>
        </w:rPr>
        <w:t>La présente section propose une analyse sectorielle du potentiel d’atténuation des émissions de gaz à effet de serre au Mali, couvrant les principaux secteurs de la CDN 3.0, notamment l’énergie, l’agriculture, les forêts et les déchets.</w:t>
      </w:r>
    </w:p>
    <w:p w14:paraId="47F826D1" w14:textId="605FDF01" w:rsidR="00EC7C98" w:rsidRPr="00E35B8B" w:rsidRDefault="00EC7C98" w:rsidP="0048018C">
      <w:pPr>
        <w:jc w:val="both"/>
        <w:rPr>
          <w:lang w:eastAsia="en-US"/>
        </w:rPr>
      </w:pPr>
      <w:r w:rsidRPr="00EC7C98">
        <w:rPr>
          <w:lang w:eastAsia="en-US"/>
        </w:rPr>
        <w:t xml:space="preserve">Cette analyse s’appuie sur un travail préalable d’évaluation de la mise en œuvre de la CDN 2.0, enrichi par des consultations avec les parties prenantes sectorielles, ainsi que par l’exploitation des données techniques et des informations transmises par les institutions nationales. Elle intègre </w:t>
      </w:r>
      <w:r w:rsidRPr="00E35B8B">
        <w:rPr>
          <w:lang w:eastAsia="en-US"/>
        </w:rPr>
        <w:t>également les recommandations issues de ces échanges, afin d’assurer une continuité entre le diagnostic de la CDN précédente et la formulation des orientations futures. Elle prend en compte, en outre, les nouveaux projets et programmes proposés par les secteurs dans le cadre du processus d’élaboration de la CDN 3.0, afin d’identifier les leviers d’atténuation susceptibles de renforcer l’ambition climatique nationale</w:t>
      </w:r>
      <w:r w:rsidR="00CE2118" w:rsidRPr="00E35B8B">
        <w:t xml:space="preserve"> </w:t>
      </w:r>
      <w:r w:rsidR="00CE2118" w:rsidRPr="00E35B8B">
        <w:rPr>
          <w:lang w:eastAsia="en-US"/>
        </w:rPr>
        <w:t>en s’appuyant sur un portefeuille de projets et d’initiatives identifiés par les acteurs sectoriels, qu’ils soient en cours de mise en œuvre ou à l’état de proposition.</w:t>
      </w:r>
    </w:p>
    <w:p w14:paraId="2A347E61" w14:textId="77777777" w:rsidR="00E35B8B" w:rsidRPr="00E35B8B" w:rsidRDefault="00E35B8B" w:rsidP="00E35B8B">
      <w:pPr>
        <w:jc w:val="both"/>
        <w:rPr>
          <w:lang w:eastAsia="en-US"/>
        </w:rPr>
      </w:pPr>
      <w:r w:rsidRPr="00E35B8B">
        <w:rPr>
          <w:lang w:eastAsia="en-US"/>
        </w:rPr>
        <w:t>L’objectif de cette section est, pour chaque secteur, de faire ressortir un portefeuille de projets d’atténuation suffisamment structurés pour être intégrés dans la CDN 3.0. À cette fin, l’analyse vise à :</w:t>
      </w:r>
    </w:p>
    <w:p w14:paraId="3AE108C9" w14:textId="33BC133D" w:rsidR="00E35B8B" w:rsidRPr="00E35B8B" w:rsidRDefault="00E35B8B" w:rsidP="008A3661">
      <w:pPr>
        <w:pStyle w:val="Paragraphedeliste"/>
        <w:numPr>
          <w:ilvl w:val="0"/>
          <w:numId w:val="34"/>
        </w:numPr>
        <w:jc w:val="both"/>
        <w:rPr>
          <w:lang w:eastAsia="en-US"/>
        </w:rPr>
      </w:pPr>
      <w:r w:rsidRPr="00E35B8B">
        <w:rPr>
          <w:lang w:eastAsia="en-US"/>
        </w:rPr>
        <w:t xml:space="preserve">Capitaliser sur les enseignements et recommandations issus de l’évaluation de la CDN 2.0, des consultations bilatérales et des retours des parties prenantes ; </w:t>
      </w:r>
    </w:p>
    <w:p w14:paraId="661ACDAD" w14:textId="5A958C80" w:rsidR="00E35B8B" w:rsidRPr="00E35B8B" w:rsidRDefault="00E35B8B" w:rsidP="008A3661">
      <w:pPr>
        <w:pStyle w:val="Paragraphedeliste"/>
        <w:numPr>
          <w:ilvl w:val="0"/>
          <w:numId w:val="34"/>
        </w:numPr>
        <w:jc w:val="both"/>
        <w:rPr>
          <w:lang w:eastAsia="en-US"/>
        </w:rPr>
      </w:pPr>
      <w:r w:rsidRPr="00E35B8B">
        <w:rPr>
          <w:lang w:eastAsia="en-US"/>
        </w:rPr>
        <w:t xml:space="preserve">Identifier et consolider les projets sectoriels présentant un niveau de structuration suffisant, au regard de leur contenu technique, de leur portage institutionnel et de leur faisabilité ; </w:t>
      </w:r>
    </w:p>
    <w:p w14:paraId="2D514AB4" w14:textId="78B2191D" w:rsidR="00E35B8B" w:rsidRPr="00E35B8B" w:rsidRDefault="00E35B8B" w:rsidP="008A3661">
      <w:pPr>
        <w:pStyle w:val="Paragraphedeliste"/>
        <w:numPr>
          <w:ilvl w:val="0"/>
          <w:numId w:val="34"/>
        </w:numPr>
        <w:jc w:val="both"/>
        <w:rPr>
          <w:lang w:eastAsia="en-US"/>
        </w:rPr>
      </w:pPr>
      <w:r w:rsidRPr="00E35B8B">
        <w:rPr>
          <w:lang w:eastAsia="en-US"/>
        </w:rPr>
        <w:t xml:space="preserve">Modéliser les scénarios d’atténuation associés à ces projets afin d’en quantifier l’impact en termes de réduction des émissions de gaz à effet de serre ; </w:t>
      </w:r>
    </w:p>
    <w:p w14:paraId="22ABA19A" w14:textId="67C8A053" w:rsidR="00E35B8B" w:rsidRPr="00E35B8B" w:rsidRDefault="00E35B8B" w:rsidP="008A3661">
      <w:pPr>
        <w:pStyle w:val="Paragraphedeliste"/>
        <w:numPr>
          <w:ilvl w:val="0"/>
          <w:numId w:val="34"/>
        </w:numPr>
        <w:jc w:val="both"/>
        <w:rPr>
          <w:lang w:eastAsia="en-US"/>
        </w:rPr>
      </w:pPr>
      <w:r w:rsidRPr="00E35B8B">
        <w:rPr>
          <w:lang w:eastAsia="en-US"/>
        </w:rPr>
        <w:t xml:space="preserve">Estimer les coûts des projets et identifier les sources de financement envisageables ; </w:t>
      </w:r>
    </w:p>
    <w:p w14:paraId="2D634BFE" w14:textId="3393E531" w:rsidR="00E35B8B" w:rsidRDefault="00E35B8B" w:rsidP="008A3661">
      <w:pPr>
        <w:pStyle w:val="Paragraphedeliste"/>
        <w:numPr>
          <w:ilvl w:val="0"/>
          <w:numId w:val="34"/>
        </w:numPr>
        <w:jc w:val="both"/>
        <w:rPr>
          <w:lang w:eastAsia="en-US"/>
        </w:rPr>
      </w:pPr>
      <w:r w:rsidRPr="00E35B8B">
        <w:rPr>
          <w:lang w:eastAsia="en-US"/>
        </w:rPr>
        <w:t xml:space="preserve">Mettre en évidence les besoins de renforcement et les efforts de structuration complémentaires nécessaires pour consolider le portefeuille sectoriel. </w:t>
      </w:r>
    </w:p>
    <w:p w14:paraId="1BAEEC72" w14:textId="4DAB94C9" w:rsidR="00044E3C" w:rsidRPr="00E35B8B" w:rsidRDefault="00044E3C" w:rsidP="00044E3C">
      <w:pPr>
        <w:jc w:val="both"/>
        <w:rPr>
          <w:lang w:eastAsia="en-US"/>
        </w:rPr>
      </w:pPr>
      <w:r w:rsidRPr="00044E3C">
        <w:rPr>
          <w:lang w:eastAsia="en-US"/>
        </w:rPr>
        <w:t>Au-delà d’un simple recensement des mesures, cette section vise ainsi à proposer une lecture analytique et opérationnelle du potentiel d’atténuation par secteur, en vue d’éclairer la définition des contributions sectorielles de la CDN 3.0.</w:t>
      </w:r>
    </w:p>
    <w:p w14:paraId="44F923F3" w14:textId="3530D197" w:rsidR="001F64BE" w:rsidRDefault="001F64BE" w:rsidP="001F64BE">
      <w:pPr>
        <w:pStyle w:val="Titre2"/>
      </w:pPr>
      <w:bookmarkStart w:id="33" w:name="_Toc234853865"/>
      <w:r>
        <w:t>Secteur de l'énergie</w:t>
      </w:r>
      <w:bookmarkEnd w:id="33"/>
    </w:p>
    <w:p w14:paraId="72DD6100" w14:textId="571E9A9E" w:rsidR="00CE29E2" w:rsidRDefault="00CE29E2" w:rsidP="00CE29E2">
      <w:pPr>
        <w:jc w:val="both"/>
        <w:rPr>
          <w:lang w:eastAsia="en-US"/>
        </w:rPr>
      </w:pPr>
      <w:r>
        <w:rPr>
          <w:lang w:eastAsia="en-US"/>
        </w:rPr>
        <w:t>Le secteur de l’énergie occupe une place centrale dans le profil d’émissions de gaz à effet de serre du Mali et constitue l’un des principaux leviers d’atténuation mobilisables dans le cadre de la CDN 3.0. Il est caractérisé par une forte dépendance aux combustibles fossiles pour la production d’électricité, ainsi qu’à la biomasse traditionnelle pour les usages domestiques, notamment la cuisson.</w:t>
      </w:r>
    </w:p>
    <w:p w14:paraId="5A8C9909" w14:textId="7190309A" w:rsidR="00CE29E2" w:rsidRDefault="00CE29E2" w:rsidP="00CE29E2">
      <w:pPr>
        <w:jc w:val="both"/>
        <w:rPr>
          <w:lang w:eastAsia="en-US"/>
        </w:rPr>
      </w:pPr>
      <w:r>
        <w:rPr>
          <w:lang w:eastAsia="en-US"/>
        </w:rPr>
        <w:t>Le secteur se distingue également par des enjeux structurels importants, en particulier en matière d’accès à l’énergie, de développement des infrastructures et de maîtrise de la demande énergétique, dans un contexte de croissance démographique et d’urbanisation rapide. Le sous-secteur des transports, fortement dépendant des produits pétroliers, représente par ailleurs une part significative des émissions du secteur.</w:t>
      </w:r>
    </w:p>
    <w:p w14:paraId="18C57918" w14:textId="1B5BA0AD" w:rsidR="00CE29E2" w:rsidRDefault="00CE29E2" w:rsidP="00CE29E2">
      <w:pPr>
        <w:jc w:val="both"/>
        <w:rPr>
          <w:lang w:eastAsia="en-US"/>
        </w:rPr>
      </w:pPr>
      <w:r>
        <w:rPr>
          <w:lang w:eastAsia="en-US"/>
        </w:rPr>
        <w:lastRenderedPageBreak/>
        <w:t>Dans ce contexte, le secteur de l’énergie présente un potentiel d’atténuation important, reposant notamment sur le développement des énergies renouvelables, l’électrification des usages, l’amélioration de l’efficacité énergétique et la transition vers des solutions de cuisson propre.</w:t>
      </w:r>
    </w:p>
    <w:p w14:paraId="7487DC02" w14:textId="466054D1" w:rsidR="00E06AAD" w:rsidRPr="00E06AAD" w:rsidRDefault="00CE29E2" w:rsidP="00E06AAD">
      <w:pPr>
        <w:jc w:val="both"/>
        <w:rPr>
          <w:lang w:eastAsia="en-US"/>
        </w:rPr>
      </w:pPr>
      <w:r>
        <w:rPr>
          <w:lang w:eastAsia="en-US"/>
        </w:rPr>
        <w:t>L’analyse présentée dans cette section s’appuie sur les résultats des consultations sectorielles, les données disponibles ainsi que les projets identifiés dans le cadre de la préparation de la CDN 3.0, afin de structurer un portefeuille cohérent de mesures d’atténuation et d’en évaluer le potentiel en termes de réduction des émissions.</w:t>
      </w:r>
    </w:p>
    <w:p w14:paraId="24E4EA69" w14:textId="1E753EC4" w:rsidR="001F64BE" w:rsidRDefault="001F64BE" w:rsidP="00812F26">
      <w:pPr>
        <w:pStyle w:val="Titre3"/>
        <w:numPr>
          <w:ilvl w:val="2"/>
          <w:numId w:val="21"/>
        </w:numPr>
        <w:rPr>
          <w:lang w:eastAsia="en-US"/>
        </w:rPr>
      </w:pPr>
      <w:bookmarkStart w:id="34" w:name="_Toc234853866"/>
      <w:r>
        <w:rPr>
          <w:lang w:eastAsia="en-US"/>
        </w:rPr>
        <w:t>Orientations et mesures retenues des consultations</w:t>
      </w:r>
      <w:bookmarkEnd w:id="34"/>
    </w:p>
    <w:p w14:paraId="510B130B" w14:textId="77777777" w:rsidR="004072C7" w:rsidRDefault="004072C7" w:rsidP="004072C7">
      <w:pPr>
        <w:jc w:val="both"/>
        <w:rPr>
          <w:lang w:eastAsia="en-US"/>
        </w:rPr>
      </w:pPr>
      <w:r>
        <w:rPr>
          <w:lang w:eastAsia="en-US"/>
        </w:rPr>
        <w:t>Les orientations retenues pour le secteur de l’énergie dans le cadre de la CDN 3.0 s’inscrivent dans une logique de renforcement de la cohérence, de la structuration et de l’opérationnalisation du portefeuille d’atténuation. Elles reposent sur une analyse croisée des contributions sectorielles, des projets identifiés et des principaux enjeux du secteur, en tenant compte à la fois des priorités nationales et du profil des émissions.</w:t>
      </w:r>
    </w:p>
    <w:p w14:paraId="15A467A5" w14:textId="77777777" w:rsidR="004072C7" w:rsidRDefault="004072C7" w:rsidP="004072C7">
      <w:pPr>
        <w:jc w:val="both"/>
        <w:rPr>
          <w:lang w:eastAsia="en-US"/>
        </w:rPr>
      </w:pPr>
      <w:r>
        <w:rPr>
          <w:lang w:eastAsia="en-US"/>
        </w:rPr>
        <w:t>Dans cette perspective, les axes de priorisation suivants sont retenus :</w:t>
      </w:r>
    </w:p>
    <w:p w14:paraId="631076FA" w14:textId="08B3D114" w:rsidR="003326D7" w:rsidRDefault="003326D7" w:rsidP="004072C7">
      <w:pPr>
        <w:jc w:val="both"/>
        <w:rPr>
          <w:b/>
          <w:bCs/>
          <w:lang w:eastAsia="en-US"/>
        </w:rPr>
      </w:pPr>
      <w:r w:rsidRPr="003326D7">
        <w:rPr>
          <w:b/>
          <w:bCs/>
          <w:lang w:eastAsia="en-US"/>
        </w:rPr>
        <w:t>Consolidation et mise à l'échelle des énergies renouvelables et de l'électrification</w:t>
      </w:r>
      <w:r w:rsidR="00D05B71">
        <w:rPr>
          <w:b/>
          <w:bCs/>
          <w:lang w:eastAsia="en-US"/>
        </w:rPr>
        <w:t> :</w:t>
      </w:r>
    </w:p>
    <w:p w14:paraId="23D33F3D" w14:textId="1522C263" w:rsidR="003326D7" w:rsidRPr="003326D7" w:rsidRDefault="003326D7" w:rsidP="004072C7">
      <w:pPr>
        <w:jc w:val="both"/>
        <w:rPr>
          <w:lang w:eastAsia="en-US"/>
        </w:rPr>
      </w:pPr>
      <w:r w:rsidRPr="003326D7">
        <w:rPr>
          <w:lang w:eastAsia="en-US"/>
        </w:rPr>
        <w:t>Le développement des énergies renouvelables et l'extension de l'accès à l'électricité constituent des axes prioritaires dont la pertinence est largement établie au Mali, tant au regard du potentiel national</w:t>
      </w:r>
      <w:r>
        <w:rPr>
          <w:lang w:eastAsia="en-US"/>
        </w:rPr>
        <w:t xml:space="preserve"> ; </w:t>
      </w:r>
      <w:r w:rsidRPr="003326D7">
        <w:rPr>
          <w:lang w:eastAsia="en-US"/>
        </w:rPr>
        <w:t>solaire, hydroélectrique, éolien</w:t>
      </w:r>
      <w:r>
        <w:rPr>
          <w:lang w:eastAsia="en-US"/>
        </w:rPr>
        <w:t>,</w:t>
      </w:r>
      <w:r w:rsidRPr="003326D7">
        <w:rPr>
          <w:lang w:eastAsia="en-US"/>
        </w:rPr>
        <w:t xml:space="preserve"> que des besoins encore non couverts en milieu rural et périurbain. La CDN 3.0 doit confirmer et amplifier cet engagement, en s'appuyant sur des projets structurés, portés par des entités identifiées et inscrits dans une trajectoire de déploiement progressif et reproductible.</w:t>
      </w:r>
    </w:p>
    <w:p w14:paraId="1EF18158" w14:textId="6EDFD2DE" w:rsidR="000A132B" w:rsidRDefault="000A132B" w:rsidP="004072C7">
      <w:pPr>
        <w:jc w:val="both"/>
        <w:rPr>
          <w:b/>
          <w:bCs/>
          <w:lang w:eastAsia="en-US"/>
        </w:rPr>
      </w:pPr>
      <w:r w:rsidRPr="000A132B">
        <w:rPr>
          <w:b/>
          <w:bCs/>
          <w:lang w:eastAsia="en-US"/>
        </w:rPr>
        <w:t>Rééquilibrage du portefeuille au regard du profil des émissions</w:t>
      </w:r>
      <w:r w:rsidR="00D05B71">
        <w:rPr>
          <w:b/>
          <w:bCs/>
          <w:lang w:eastAsia="en-US"/>
        </w:rPr>
        <w:t> :</w:t>
      </w:r>
    </w:p>
    <w:p w14:paraId="12BE4EF0" w14:textId="002C4FAE" w:rsidR="000A132B" w:rsidRPr="000A132B" w:rsidRDefault="00CA4E4B" w:rsidP="004072C7">
      <w:pPr>
        <w:jc w:val="both"/>
        <w:rPr>
          <w:lang w:eastAsia="en-US"/>
        </w:rPr>
      </w:pPr>
      <w:r w:rsidRPr="00CA4E4B">
        <w:rPr>
          <w:lang w:eastAsia="en-US"/>
        </w:rPr>
        <w:t>Une meilleure couverture des principaux postes d'émissions est nécessaire pour assurer la cohérence globale du potentiel d'atténuation. Cela implique notamment d'intégrer des sous-secteurs jusqu'ici peu couverts, en particulier le transport, à travers des mesures de mobilité durable, de transport collectif et, à terme, d'électrification des usages, ainsi que les consommations énergétiques hors production électrique.</w:t>
      </w:r>
    </w:p>
    <w:p w14:paraId="719AEFAF" w14:textId="43DB712E" w:rsidR="009902D8" w:rsidRDefault="009902D8" w:rsidP="00913D8F">
      <w:pPr>
        <w:rPr>
          <w:b/>
          <w:bCs/>
          <w:lang w:eastAsia="en-US"/>
        </w:rPr>
      </w:pPr>
      <w:r w:rsidRPr="009902D8">
        <w:rPr>
          <w:b/>
          <w:bCs/>
          <w:lang w:eastAsia="en-US"/>
        </w:rPr>
        <w:t>Renforcement de l'efficacité énergétique et de la gestion de la demande</w:t>
      </w:r>
      <w:r w:rsidR="00D05B71">
        <w:rPr>
          <w:b/>
          <w:bCs/>
          <w:lang w:eastAsia="en-US"/>
        </w:rPr>
        <w:t> :</w:t>
      </w:r>
    </w:p>
    <w:p w14:paraId="02A86C05" w14:textId="1244B9DC" w:rsidR="009902D8" w:rsidRPr="00DB75AB" w:rsidRDefault="009902D8" w:rsidP="005570E4">
      <w:pPr>
        <w:jc w:val="both"/>
        <w:rPr>
          <w:lang w:eastAsia="en-US"/>
        </w:rPr>
      </w:pPr>
      <w:r w:rsidRPr="009902D8">
        <w:rPr>
          <w:lang w:eastAsia="en-US"/>
        </w:rPr>
        <w:t xml:space="preserve">Le développement de mesures d'efficacité énergétique dans les bâtiments résidentiels et tertiaires, l'industrie, le transport, l'éclairage public et les réseaux de distribution constitue un levier complémentaire </w:t>
      </w:r>
      <w:r w:rsidRPr="00DB75AB">
        <w:rPr>
          <w:lang w:eastAsia="en-US"/>
        </w:rPr>
        <w:t>essentiel aux investissements dans l'offre énergétique.</w:t>
      </w:r>
    </w:p>
    <w:p w14:paraId="5EADDF94" w14:textId="1EA50D37" w:rsidR="00913D8F" w:rsidRPr="00DB75AB" w:rsidRDefault="00913D8F" w:rsidP="005570E4">
      <w:pPr>
        <w:rPr>
          <w:b/>
          <w:bCs/>
          <w:lang w:eastAsia="en-US"/>
        </w:rPr>
      </w:pPr>
      <w:r w:rsidRPr="00DB75AB">
        <w:rPr>
          <w:b/>
          <w:bCs/>
          <w:lang w:eastAsia="en-US"/>
        </w:rPr>
        <w:t>Développement des solutions de cuisson propre et des bioénergies</w:t>
      </w:r>
      <w:r w:rsidR="00D05B71">
        <w:rPr>
          <w:b/>
          <w:bCs/>
          <w:lang w:eastAsia="en-US"/>
        </w:rPr>
        <w:t> :</w:t>
      </w:r>
    </w:p>
    <w:p w14:paraId="13DC48E4" w14:textId="77777777" w:rsidR="00913D8F" w:rsidRPr="00DB75AB" w:rsidRDefault="00913D8F" w:rsidP="005570E4">
      <w:pPr>
        <w:jc w:val="both"/>
        <w:rPr>
          <w:lang w:eastAsia="en-US"/>
        </w:rPr>
      </w:pPr>
      <w:r w:rsidRPr="00DB75AB">
        <w:rPr>
          <w:lang w:eastAsia="en-US"/>
        </w:rPr>
        <w:t>Compte tenu du poids important de la biomasse traditionnelle dans la consommation finale d’énergie, notamment pour les usages domestiques de cuisson, la réduction de cette dépendance constitue un levier important d’atténuation. Elle nécessite la structuration de programmes dédiés, intégrant des solutions techniques adaptées, telles que les foyers améliorés, les biodigesteurs et les combustibles alternatifs, ainsi que des mécanismes de diffusion à grande échelle.</w:t>
      </w:r>
    </w:p>
    <w:p w14:paraId="74EF0FB7" w14:textId="11E2E278" w:rsidR="00A9744E" w:rsidRPr="00A9744E" w:rsidRDefault="00A9744E" w:rsidP="00A9744E">
      <w:pPr>
        <w:jc w:val="both"/>
        <w:rPr>
          <w:lang w:eastAsia="en-US"/>
        </w:rPr>
      </w:pPr>
      <w:r w:rsidRPr="00DB75AB">
        <w:rPr>
          <w:lang w:eastAsia="en-US"/>
        </w:rPr>
        <w:lastRenderedPageBreak/>
        <w:t>En complément des orientations techniques présentées ci-dessus, l’analyse met en évidence plusieurs enjeux transversaux, déterminants</w:t>
      </w:r>
      <w:r w:rsidRPr="00A9744E">
        <w:rPr>
          <w:lang w:eastAsia="en-US"/>
        </w:rPr>
        <w:t xml:space="preserve"> pour la structuration et la mise en œuvre effective du portefeuille d’atténuation du secteur de l’énergie.</w:t>
      </w:r>
    </w:p>
    <w:p w14:paraId="771174D7" w14:textId="2F6A9695" w:rsidR="00A9744E" w:rsidRPr="00A9744E" w:rsidRDefault="00A9744E" w:rsidP="00A9744E">
      <w:pPr>
        <w:jc w:val="both"/>
        <w:rPr>
          <w:lang w:eastAsia="en-US"/>
        </w:rPr>
      </w:pPr>
      <w:r w:rsidRPr="00A9744E">
        <w:rPr>
          <w:lang w:eastAsia="en-US"/>
        </w:rPr>
        <w:t>Ces éléments ne constituent pas des mesures sectorielles à proprement parler, mais des conditions nécessaires à la crédibilité, à la cohérence et à l’opérationnalisation des contributions proposées dans le cadre de la CDN 3.0.</w:t>
      </w:r>
    </w:p>
    <w:p w14:paraId="73BC47D9" w14:textId="77777777" w:rsidR="00A9744E" w:rsidRDefault="00A9744E" w:rsidP="00A9744E">
      <w:pPr>
        <w:jc w:val="both"/>
        <w:rPr>
          <w:lang w:eastAsia="en-US"/>
        </w:rPr>
      </w:pPr>
      <w:r w:rsidRPr="00A9744E">
        <w:rPr>
          <w:lang w:eastAsia="en-US"/>
        </w:rPr>
        <w:t>À ce titre, les principaux enjeux identifiés sont les suivants :</w:t>
      </w:r>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8"/>
      </w:tblGrid>
      <w:tr w:rsidR="00AF2E53" w14:paraId="595C742F" w14:textId="77777777" w:rsidTr="00D05B71">
        <w:trPr>
          <w:trHeight w:val="144"/>
        </w:trPr>
        <w:tc>
          <w:tcPr>
            <w:tcW w:w="9408" w:type="dxa"/>
            <w:shd w:val="clear" w:color="auto" w:fill="ACB9CA" w:themeFill="text2" w:themeFillTint="66"/>
            <w:vAlign w:val="center"/>
          </w:tcPr>
          <w:p w14:paraId="7A38352A" w14:textId="65EFE6B2" w:rsidR="00AF2E53" w:rsidRPr="00AF2E53" w:rsidRDefault="00AF2E53" w:rsidP="00AF2E53">
            <w:pPr>
              <w:rPr>
                <w:b/>
                <w:bCs/>
                <w:lang w:eastAsia="en-US"/>
              </w:rPr>
            </w:pPr>
            <w:r w:rsidRPr="00A9744E">
              <w:rPr>
                <w:b/>
                <w:bCs/>
                <w:lang w:eastAsia="en-US"/>
              </w:rPr>
              <w:t>Amélioration de la lisibilité et de la structuration du portefeuille</w:t>
            </w:r>
          </w:p>
        </w:tc>
      </w:tr>
      <w:tr w:rsidR="00AF2E53" w14:paraId="5C20CED1" w14:textId="77777777" w:rsidTr="00D05B71">
        <w:trPr>
          <w:trHeight w:val="1342"/>
        </w:trPr>
        <w:tc>
          <w:tcPr>
            <w:tcW w:w="9408" w:type="dxa"/>
            <w:vAlign w:val="center"/>
          </w:tcPr>
          <w:p w14:paraId="4AE20684" w14:textId="611DC3B2" w:rsidR="00AF2E53" w:rsidRDefault="00AF2E53" w:rsidP="0051711F">
            <w:pPr>
              <w:rPr>
                <w:lang w:eastAsia="en-US"/>
              </w:rPr>
            </w:pPr>
            <w:r w:rsidRPr="00DD6100">
              <w:rPr>
                <w:lang w:eastAsia="en-US"/>
              </w:rPr>
              <w:t>La structuration des projets de même nature en programmes cohérents constitue un levier essentiel pour consolider le potentiel d'atténuation</w:t>
            </w:r>
            <w:r>
              <w:rPr>
                <w:lang w:eastAsia="en-US"/>
              </w:rPr>
              <w:t>,</w:t>
            </w:r>
            <w:r w:rsidRPr="00DD6100">
              <w:rPr>
                <w:lang w:eastAsia="en-US"/>
              </w:rPr>
              <w:t xml:space="preserve"> en agrégeant des contributions individuelles dispersées en une cible globale plus significative, améliorer la lisibilité du portefeuille, faciliter son suivi et renforcer son attractivité auprès des partenaires techniques et financiers.</w:t>
            </w:r>
          </w:p>
        </w:tc>
      </w:tr>
      <w:tr w:rsidR="00AF2E53" w14:paraId="4AE231AE" w14:textId="77777777" w:rsidTr="00D05B71">
        <w:trPr>
          <w:trHeight w:val="144"/>
        </w:trPr>
        <w:tc>
          <w:tcPr>
            <w:tcW w:w="9408" w:type="dxa"/>
            <w:shd w:val="clear" w:color="auto" w:fill="ACB9CA" w:themeFill="text2" w:themeFillTint="66"/>
            <w:vAlign w:val="center"/>
          </w:tcPr>
          <w:p w14:paraId="71AB1219" w14:textId="752CC5FF" w:rsidR="00AF2E53" w:rsidRPr="00AF2E53" w:rsidRDefault="00AF2E53" w:rsidP="00AF2E53">
            <w:pPr>
              <w:rPr>
                <w:b/>
                <w:bCs/>
                <w:lang w:eastAsia="en-US"/>
              </w:rPr>
            </w:pPr>
            <w:r w:rsidRPr="00A9744E">
              <w:rPr>
                <w:b/>
                <w:bCs/>
                <w:lang w:eastAsia="en-US"/>
              </w:rPr>
              <w:t>Renforcement de la qualité et de la maturité des projets</w:t>
            </w:r>
          </w:p>
        </w:tc>
      </w:tr>
      <w:tr w:rsidR="00AF2E53" w14:paraId="1B6DB0A2" w14:textId="77777777" w:rsidTr="00D05B71">
        <w:trPr>
          <w:trHeight w:val="1153"/>
        </w:trPr>
        <w:tc>
          <w:tcPr>
            <w:tcW w:w="9408" w:type="dxa"/>
            <w:vAlign w:val="center"/>
          </w:tcPr>
          <w:p w14:paraId="6298CFED" w14:textId="2B9108A3" w:rsidR="00AF2E53" w:rsidRDefault="00AF2E53" w:rsidP="006F0C2E">
            <w:pPr>
              <w:rPr>
                <w:lang w:eastAsia="en-US"/>
              </w:rPr>
            </w:pPr>
            <w:r w:rsidRPr="00A9744E">
              <w:rPr>
                <w:lang w:eastAsia="en-US"/>
              </w:rPr>
              <w:t>La préparation en amont des projets, notamment à travers leur formalisation technique, financière et institutionnelle, apparaît comme une condition déterminante pour leur mise en œuvre effective et leur accès aux financements.</w:t>
            </w:r>
          </w:p>
        </w:tc>
      </w:tr>
      <w:tr w:rsidR="00AF2E53" w14:paraId="4C458110" w14:textId="77777777" w:rsidTr="00D05B71">
        <w:trPr>
          <w:trHeight w:val="144"/>
        </w:trPr>
        <w:tc>
          <w:tcPr>
            <w:tcW w:w="9408" w:type="dxa"/>
            <w:shd w:val="clear" w:color="auto" w:fill="ACB9CA" w:themeFill="text2" w:themeFillTint="66"/>
            <w:vAlign w:val="center"/>
          </w:tcPr>
          <w:p w14:paraId="5A1E0227" w14:textId="5AE8DDDA" w:rsidR="00AF2E53" w:rsidRPr="0051711F" w:rsidRDefault="00AF2E53" w:rsidP="0051711F">
            <w:pPr>
              <w:rPr>
                <w:b/>
                <w:bCs/>
                <w:lang w:eastAsia="en-US"/>
              </w:rPr>
            </w:pPr>
            <w:r w:rsidRPr="00A9744E">
              <w:rPr>
                <w:b/>
                <w:bCs/>
                <w:lang w:eastAsia="en-US"/>
              </w:rPr>
              <w:t>Harmonisation des méthodes de quantification des impacts</w:t>
            </w:r>
          </w:p>
        </w:tc>
      </w:tr>
      <w:tr w:rsidR="00AF2E53" w14:paraId="23DC0FB9" w14:textId="77777777" w:rsidTr="00D05B71">
        <w:trPr>
          <w:trHeight w:val="1423"/>
        </w:trPr>
        <w:tc>
          <w:tcPr>
            <w:tcW w:w="9408" w:type="dxa"/>
            <w:vAlign w:val="center"/>
          </w:tcPr>
          <w:p w14:paraId="2175160F" w14:textId="4332B8C3" w:rsidR="00AF2E53" w:rsidRDefault="00AF2E53" w:rsidP="006F0C2E">
            <w:pPr>
              <w:jc w:val="both"/>
              <w:rPr>
                <w:lang w:eastAsia="en-US"/>
              </w:rPr>
            </w:pPr>
            <w:r w:rsidRPr="00C51846">
              <w:rPr>
                <w:lang w:eastAsia="en-US"/>
              </w:rPr>
              <w:t>La mise en place d’approches harmonisées pour l’estimation des émissions évitées permettra de renforcer la comparabilité, la cohérence et la crédibilité des projets. La définition de référentiels communs par type d’intervention constitue ainsi un levier important pour améliorer la qualité du suivi et la valorisation des impacts climatiques.</w:t>
            </w:r>
          </w:p>
        </w:tc>
      </w:tr>
      <w:tr w:rsidR="00AF2E53" w14:paraId="6A8CCB0D" w14:textId="77777777" w:rsidTr="00D05B71">
        <w:trPr>
          <w:trHeight w:val="144"/>
        </w:trPr>
        <w:tc>
          <w:tcPr>
            <w:tcW w:w="9408" w:type="dxa"/>
            <w:shd w:val="clear" w:color="auto" w:fill="ACB9CA" w:themeFill="text2" w:themeFillTint="66"/>
            <w:vAlign w:val="center"/>
          </w:tcPr>
          <w:p w14:paraId="37F91AFA" w14:textId="333C2F69" w:rsidR="00AF2E53" w:rsidRPr="0051711F" w:rsidRDefault="00AF2E53" w:rsidP="0051711F">
            <w:pPr>
              <w:rPr>
                <w:b/>
                <w:bCs/>
                <w:lang w:eastAsia="en-US"/>
              </w:rPr>
            </w:pPr>
            <w:r w:rsidRPr="00A9744E">
              <w:rPr>
                <w:b/>
                <w:bCs/>
                <w:lang w:eastAsia="en-US"/>
              </w:rPr>
              <w:t>Amélioration des mécanismes de suivi et de remontée d’information</w:t>
            </w:r>
          </w:p>
        </w:tc>
      </w:tr>
      <w:tr w:rsidR="00AF2E53" w14:paraId="6F322E35" w14:textId="77777777" w:rsidTr="00D05B71">
        <w:trPr>
          <w:trHeight w:val="1243"/>
        </w:trPr>
        <w:tc>
          <w:tcPr>
            <w:tcW w:w="9408" w:type="dxa"/>
            <w:vAlign w:val="center"/>
          </w:tcPr>
          <w:p w14:paraId="783A49E7" w14:textId="5334834A" w:rsidR="00AF2E53" w:rsidRPr="00C51846" w:rsidRDefault="00AF2E53" w:rsidP="0051711F">
            <w:pPr>
              <w:rPr>
                <w:lang w:eastAsia="en-US"/>
              </w:rPr>
            </w:pPr>
            <w:r w:rsidRPr="00A9744E">
              <w:rPr>
                <w:lang w:eastAsia="en-US"/>
              </w:rPr>
              <w:t>Le renforcement du système de suivi des projets, incluant la collecte et la consolidation des données au niveau des structures sectorielles, est nécessaire pour assurer un pilotage efficace du portefeuille et une meilleure traçabilité des résultats.</w:t>
            </w:r>
          </w:p>
        </w:tc>
      </w:tr>
      <w:tr w:rsidR="00AF2E53" w14:paraId="24370CCD" w14:textId="77777777" w:rsidTr="00D05B71">
        <w:trPr>
          <w:trHeight w:val="144"/>
        </w:trPr>
        <w:tc>
          <w:tcPr>
            <w:tcW w:w="9408" w:type="dxa"/>
            <w:shd w:val="clear" w:color="auto" w:fill="ACB9CA" w:themeFill="text2" w:themeFillTint="66"/>
            <w:vAlign w:val="center"/>
          </w:tcPr>
          <w:p w14:paraId="39E513D8" w14:textId="093753E5" w:rsidR="00AF2E53" w:rsidRPr="0051711F" w:rsidRDefault="00AF2E53" w:rsidP="0051711F">
            <w:pPr>
              <w:rPr>
                <w:b/>
                <w:bCs/>
                <w:lang w:eastAsia="en-US"/>
              </w:rPr>
            </w:pPr>
            <w:r w:rsidRPr="00A9744E">
              <w:rPr>
                <w:b/>
                <w:bCs/>
                <w:lang w:eastAsia="en-US"/>
              </w:rPr>
              <w:t>Capitalisation sur les projets structurants</w:t>
            </w:r>
          </w:p>
        </w:tc>
      </w:tr>
      <w:tr w:rsidR="00AF2E53" w14:paraId="64C1E692" w14:textId="77777777" w:rsidTr="00D05B71">
        <w:trPr>
          <w:trHeight w:val="1153"/>
        </w:trPr>
        <w:tc>
          <w:tcPr>
            <w:tcW w:w="9408" w:type="dxa"/>
            <w:vAlign w:val="center"/>
          </w:tcPr>
          <w:p w14:paraId="5E1EF5A0" w14:textId="1E74E605" w:rsidR="00AF2E53" w:rsidRPr="0051711F" w:rsidRDefault="00AF2E53" w:rsidP="0074690F">
            <w:pPr>
              <w:jc w:val="both"/>
              <w:rPr>
                <w:highlight w:val="yellow"/>
                <w:lang w:eastAsia="en-US"/>
              </w:rPr>
            </w:pPr>
            <w:r w:rsidRPr="00A9744E">
              <w:rPr>
                <w:lang w:eastAsia="en-US"/>
              </w:rPr>
              <w:t>Les projets les plus avancés constituent des références importantes pour la structuration future du portefeuille, en permettant d’identifier des modèles reproductibles et des bonnes pratiques en matière de mise en œuvre.</w:t>
            </w:r>
          </w:p>
        </w:tc>
      </w:tr>
      <w:tr w:rsidR="00AF2E53" w14:paraId="0EE604E1" w14:textId="77777777" w:rsidTr="00D05B71">
        <w:trPr>
          <w:trHeight w:val="144"/>
        </w:trPr>
        <w:tc>
          <w:tcPr>
            <w:tcW w:w="9408" w:type="dxa"/>
            <w:shd w:val="clear" w:color="auto" w:fill="ACB9CA" w:themeFill="text2" w:themeFillTint="66"/>
            <w:vAlign w:val="center"/>
          </w:tcPr>
          <w:p w14:paraId="66FCE4E5" w14:textId="633FE8EA" w:rsidR="00AF2E53" w:rsidRPr="00A9744E" w:rsidRDefault="00AF2E53" w:rsidP="0051711F">
            <w:pPr>
              <w:rPr>
                <w:b/>
                <w:bCs/>
                <w:lang w:eastAsia="en-US"/>
              </w:rPr>
            </w:pPr>
            <w:r w:rsidRPr="006F464A">
              <w:rPr>
                <w:b/>
                <w:bCs/>
                <w:lang w:eastAsia="en-US"/>
              </w:rPr>
              <w:t>Reconnaissance des efforts nationaux et clarification des besoins de financement</w:t>
            </w:r>
          </w:p>
        </w:tc>
      </w:tr>
      <w:tr w:rsidR="00AF2E53" w14:paraId="471811A1" w14:textId="77777777" w:rsidTr="00DC5853">
        <w:trPr>
          <w:trHeight w:val="2404"/>
        </w:trPr>
        <w:tc>
          <w:tcPr>
            <w:tcW w:w="9408" w:type="dxa"/>
            <w:vAlign w:val="center"/>
          </w:tcPr>
          <w:p w14:paraId="7E10018A" w14:textId="2A6B9179" w:rsidR="00AF2E53" w:rsidRPr="0051711F" w:rsidRDefault="00AF2E53" w:rsidP="00D05B71">
            <w:pPr>
              <w:jc w:val="both"/>
              <w:rPr>
                <w:lang w:eastAsia="en-US"/>
              </w:rPr>
            </w:pPr>
            <w:r w:rsidRPr="006F464A">
              <w:rPr>
                <w:lang w:eastAsia="en-US"/>
              </w:rPr>
              <w:t>La CDN constitue avant tout un engagement souverain du Mali. Elle doit donc refléter les efforts déjà engagés par l’État dans le développement du secteur énergétique, tout en distinguant les actions nécessitant un appui extérieur. Cette clarification entre contributions inconditionnelles et conditionnelles permet de renforcer la crédibilité de l’engagement national et de mieux cibler le dialogue avec les partenaires techniques et financiers autour des besoins réels de financement additionnel.</w:t>
            </w:r>
          </w:p>
        </w:tc>
      </w:tr>
    </w:tbl>
    <w:p w14:paraId="5F105BE2" w14:textId="77777777" w:rsidR="00466562" w:rsidRDefault="00466562" w:rsidP="00466562">
      <w:pPr>
        <w:spacing w:before="240"/>
        <w:jc w:val="both"/>
        <w:rPr>
          <w:lang w:eastAsia="en-US"/>
        </w:rPr>
      </w:pPr>
      <w:r>
        <w:rPr>
          <w:lang w:eastAsia="en-US"/>
        </w:rPr>
        <w:lastRenderedPageBreak/>
        <w:t>Ces orientations sont le fruit des consultations bilatérales et des ateliers de travail conduits avec les parties prenantes sectorielles, qui ont collectivement pris conscience de la nécessité de couvrir l'ensemble des sous-secteurs porteurs de potentiel d'atténuation, d'améliorer la structuration et la lisibilité du portefeuille, et de renforcer la cohérence des contributions sectorielles au regard des ambitions climatiques nationales et des attentes des partenaires techniques et financiers.</w:t>
      </w:r>
    </w:p>
    <w:p w14:paraId="042BB5F2" w14:textId="0E1B8B99" w:rsidR="00F57A64" w:rsidRDefault="00466562" w:rsidP="000E14FE">
      <w:pPr>
        <w:jc w:val="both"/>
        <w:rPr>
          <w:lang w:eastAsia="en-US"/>
        </w:rPr>
      </w:pPr>
      <w:r>
        <w:rPr>
          <w:lang w:eastAsia="en-US"/>
        </w:rPr>
        <w:t>Le portefeuille de projets et programmes proposés par les institutions sectorielles dans le cadre de la CDN 3.0 est présenté dans le tableau ci-après, dans sa formulation initiale telle que transmise par les parties prenantes. Ce portefeuille reflète les orientations énoncées précédemment et fournit la base sur laquelle s'appuie la construction des scénarios sectoriels d'atténuation, faisant l'objet d'un travail de consolidation et de structuration présenté dans la section suivante</w:t>
      </w:r>
      <w:r w:rsidR="00776119" w:rsidRPr="00776119">
        <w:rPr>
          <w:lang w:eastAsia="en-US"/>
        </w:rPr>
        <w:t>.</w:t>
      </w:r>
    </w:p>
    <w:p w14:paraId="64F53CD2" w14:textId="07CFFDFC" w:rsidR="003F483F" w:rsidRPr="003F483F" w:rsidRDefault="003F483F" w:rsidP="003F483F">
      <w:pPr>
        <w:pStyle w:val="Lgende"/>
        <w:keepNext/>
        <w:rPr>
          <w:sz w:val="20"/>
          <w:szCs w:val="20"/>
        </w:rPr>
      </w:pPr>
      <w:bookmarkStart w:id="35" w:name="_Toc234853937"/>
      <w:r w:rsidRPr="003F483F">
        <w:rPr>
          <w:sz w:val="20"/>
          <w:szCs w:val="20"/>
        </w:rPr>
        <w:t xml:space="preserve">Tableau </w:t>
      </w:r>
      <w:r w:rsidRPr="003F483F">
        <w:rPr>
          <w:sz w:val="20"/>
          <w:szCs w:val="20"/>
        </w:rPr>
        <w:fldChar w:fldCharType="begin"/>
      </w:r>
      <w:r w:rsidRPr="003F483F">
        <w:rPr>
          <w:sz w:val="20"/>
          <w:szCs w:val="20"/>
        </w:rPr>
        <w:instrText xml:space="preserve"> SEQ Tableau \* ARABIC </w:instrText>
      </w:r>
      <w:r w:rsidRPr="003F483F">
        <w:rPr>
          <w:sz w:val="20"/>
          <w:szCs w:val="20"/>
        </w:rPr>
        <w:fldChar w:fldCharType="separate"/>
      </w:r>
      <w:r w:rsidR="0018772E">
        <w:rPr>
          <w:noProof/>
          <w:sz w:val="20"/>
          <w:szCs w:val="20"/>
        </w:rPr>
        <w:t>13</w:t>
      </w:r>
      <w:r w:rsidRPr="003F483F">
        <w:rPr>
          <w:sz w:val="20"/>
          <w:szCs w:val="20"/>
        </w:rPr>
        <w:fldChar w:fldCharType="end"/>
      </w:r>
      <w:r w:rsidRPr="00E35393">
        <w:rPr>
          <w:sz w:val="20"/>
          <w:szCs w:val="20"/>
        </w:rPr>
        <w:t xml:space="preserve"> :  Liste </w:t>
      </w:r>
      <w:r w:rsidR="00F575E6">
        <w:rPr>
          <w:sz w:val="20"/>
          <w:szCs w:val="20"/>
        </w:rPr>
        <w:t>initial</w:t>
      </w:r>
      <w:r w:rsidRPr="00E35393">
        <w:rPr>
          <w:sz w:val="20"/>
          <w:szCs w:val="20"/>
        </w:rPr>
        <w:t xml:space="preserve"> des mesures d’atténuation identifiées pour le secteur de</w:t>
      </w:r>
      <w:r w:rsidR="007E7EC6" w:rsidRPr="00E35393">
        <w:rPr>
          <w:sz w:val="20"/>
          <w:szCs w:val="20"/>
        </w:rPr>
        <w:t xml:space="preserve"> l’énergie </w:t>
      </w:r>
      <w:r w:rsidR="00F575E6">
        <w:rPr>
          <w:sz w:val="20"/>
          <w:szCs w:val="20"/>
        </w:rPr>
        <w:t>pour</w:t>
      </w:r>
      <w:r w:rsidRPr="00E35393">
        <w:rPr>
          <w:sz w:val="20"/>
          <w:szCs w:val="20"/>
        </w:rPr>
        <w:t xml:space="preserve"> la CDN 3.0</w:t>
      </w:r>
      <w:bookmarkEnd w:id="35"/>
    </w:p>
    <w:tbl>
      <w:tblPr>
        <w:tblStyle w:val="Grilledutableau"/>
        <w:tblW w:w="5000" w:type="pct"/>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535"/>
        <w:gridCol w:w="6113"/>
        <w:gridCol w:w="2760"/>
      </w:tblGrid>
      <w:tr w:rsidR="000F18A2" w:rsidRPr="00F575E6" w14:paraId="0F01FED7" w14:textId="77777777" w:rsidTr="00D44AB1">
        <w:trPr>
          <w:trHeight w:val="658"/>
        </w:trPr>
        <w:tc>
          <w:tcPr>
            <w:tcW w:w="284" w:type="pct"/>
            <w:shd w:val="clear" w:color="auto" w:fill="1F4E79" w:themeFill="accent1" w:themeFillShade="80"/>
            <w:vAlign w:val="center"/>
          </w:tcPr>
          <w:p w14:paraId="35DEC902" w14:textId="77777777" w:rsidR="000F18A2" w:rsidRPr="00F575E6" w:rsidRDefault="000F18A2" w:rsidP="00D44AB1">
            <w:pPr>
              <w:jc w:val="center"/>
              <w:rPr>
                <w:b/>
                <w:color w:val="FFFFFF" w:themeColor="background1"/>
                <w:sz w:val="20"/>
                <w:szCs w:val="20"/>
                <w:lang w:eastAsia="en-US"/>
              </w:rPr>
            </w:pPr>
            <w:r w:rsidRPr="00F575E6">
              <w:rPr>
                <w:b/>
                <w:color w:val="FFFFFF" w:themeColor="background1"/>
                <w:sz w:val="20"/>
                <w:szCs w:val="20"/>
                <w:lang w:eastAsia="en-US"/>
              </w:rPr>
              <w:t>N°</w:t>
            </w:r>
          </w:p>
        </w:tc>
        <w:tc>
          <w:tcPr>
            <w:tcW w:w="3249" w:type="pct"/>
            <w:tcBorders>
              <w:bottom w:val="single" w:sz="8" w:space="0" w:color="2F5496" w:themeColor="accent5" w:themeShade="BF"/>
            </w:tcBorders>
            <w:shd w:val="clear" w:color="auto" w:fill="1F4E79" w:themeFill="accent1" w:themeFillShade="80"/>
            <w:vAlign w:val="center"/>
          </w:tcPr>
          <w:p w14:paraId="3ED22E43" w14:textId="77777777" w:rsidR="000F18A2" w:rsidRPr="00F575E6" w:rsidRDefault="000F18A2" w:rsidP="00D44AB1">
            <w:pPr>
              <w:jc w:val="center"/>
              <w:rPr>
                <w:b/>
                <w:color w:val="FFFFFF" w:themeColor="background1"/>
                <w:sz w:val="20"/>
                <w:szCs w:val="20"/>
                <w:lang w:eastAsia="en-US"/>
              </w:rPr>
            </w:pPr>
            <w:r w:rsidRPr="00F575E6">
              <w:rPr>
                <w:b/>
                <w:color w:val="FFFFFF" w:themeColor="background1"/>
                <w:sz w:val="20"/>
                <w:szCs w:val="20"/>
                <w:lang w:eastAsia="en-US"/>
              </w:rPr>
              <w:t>Intitulé du projet</w:t>
            </w:r>
          </w:p>
        </w:tc>
        <w:tc>
          <w:tcPr>
            <w:tcW w:w="1467" w:type="pct"/>
            <w:tcBorders>
              <w:bottom w:val="single" w:sz="8" w:space="0" w:color="2F5496" w:themeColor="accent5" w:themeShade="BF"/>
            </w:tcBorders>
            <w:shd w:val="clear" w:color="auto" w:fill="1F4E79" w:themeFill="accent1" w:themeFillShade="80"/>
            <w:vAlign w:val="center"/>
          </w:tcPr>
          <w:p w14:paraId="79DC2EF2" w14:textId="41E6BA36" w:rsidR="000F18A2" w:rsidRPr="00F575E6" w:rsidRDefault="000F18A2" w:rsidP="00D44AB1">
            <w:pPr>
              <w:jc w:val="center"/>
              <w:rPr>
                <w:b/>
                <w:color w:val="FFFFFF" w:themeColor="background1"/>
                <w:sz w:val="20"/>
                <w:szCs w:val="20"/>
                <w:lang w:eastAsia="en-US"/>
              </w:rPr>
            </w:pPr>
            <w:r w:rsidRPr="00F575E6">
              <w:rPr>
                <w:b/>
                <w:color w:val="FFFFFF" w:themeColor="background1"/>
                <w:sz w:val="20"/>
                <w:szCs w:val="20"/>
                <w:lang w:eastAsia="en-US"/>
              </w:rPr>
              <w:t>Porteur</w:t>
            </w:r>
          </w:p>
        </w:tc>
      </w:tr>
      <w:tr w:rsidR="00996FEE" w:rsidRPr="00F575E6" w14:paraId="59990317"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4DE9C36A" w14:textId="23858F51"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1</w:t>
            </w:r>
          </w:p>
        </w:tc>
        <w:tc>
          <w:tcPr>
            <w:tcW w:w="3249" w:type="pct"/>
            <w:tcBorders>
              <w:top w:val="single" w:sz="8" w:space="0" w:color="2F5496" w:themeColor="accent5" w:themeShade="BF"/>
              <w:left w:val="single" w:sz="8" w:space="0" w:color="2F5496" w:themeColor="accent5" w:themeShade="BF"/>
              <w:bottom w:val="single" w:sz="4" w:space="0" w:color="2E74B5"/>
              <w:right w:val="single" w:sz="4" w:space="0" w:color="2E74B5"/>
            </w:tcBorders>
            <w:vAlign w:val="center"/>
          </w:tcPr>
          <w:p w14:paraId="1BFA856A" w14:textId="752BD93B"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Apport complémentaire pour le dédoublement de capacité de la centrale hydroélectrique de Sotuba (6,8 MW)</w:t>
            </w:r>
          </w:p>
        </w:tc>
        <w:tc>
          <w:tcPr>
            <w:tcW w:w="1467" w:type="pct"/>
            <w:vMerge w:val="restart"/>
            <w:tcBorders>
              <w:top w:val="single" w:sz="8" w:space="0" w:color="2F5496" w:themeColor="accent5" w:themeShade="BF"/>
              <w:left w:val="single" w:sz="4" w:space="0" w:color="2E74B5"/>
              <w:right w:val="single" w:sz="8" w:space="0" w:color="2F5496" w:themeColor="accent5" w:themeShade="BF"/>
            </w:tcBorders>
            <w:vAlign w:val="center"/>
          </w:tcPr>
          <w:p w14:paraId="74DCE70E" w14:textId="408A6FBC" w:rsidR="00996FEE" w:rsidRPr="00F575E6" w:rsidRDefault="009C6F02" w:rsidP="00BD092F">
            <w:pPr>
              <w:jc w:val="both"/>
              <w:rPr>
                <w:color w:val="000000" w:themeColor="text1"/>
                <w:sz w:val="20"/>
                <w:szCs w:val="20"/>
                <w:lang w:eastAsia="en-US"/>
              </w:rPr>
            </w:pPr>
            <w:r w:rsidRPr="00F575E6">
              <w:rPr>
                <w:color w:val="000000" w:themeColor="text1"/>
                <w:sz w:val="20"/>
                <w:szCs w:val="20"/>
                <w:lang w:eastAsia="en-US"/>
              </w:rPr>
              <w:t xml:space="preserve">Direction nationale de l’énergie </w:t>
            </w:r>
            <w:r w:rsidR="002C0B8B" w:rsidRPr="00F575E6">
              <w:rPr>
                <w:color w:val="000000" w:themeColor="text1"/>
                <w:sz w:val="20"/>
                <w:szCs w:val="20"/>
                <w:lang w:eastAsia="en-US"/>
              </w:rPr>
              <w:t>(</w:t>
            </w:r>
            <w:r w:rsidRPr="00F575E6">
              <w:rPr>
                <w:color w:val="000000" w:themeColor="text1"/>
                <w:sz w:val="20"/>
                <w:szCs w:val="20"/>
                <w:lang w:eastAsia="en-US"/>
              </w:rPr>
              <w:t>DNE</w:t>
            </w:r>
            <w:r w:rsidR="002C0B8B" w:rsidRPr="00F575E6">
              <w:rPr>
                <w:color w:val="000000" w:themeColor="text1"/>
                <w:sz w:val="20"/>
                <w:szCs w:val="20"/>
                <w:lang w:eastAsia="en-US"/>
              </w:rPr>
              <w:t>)</w:t>
            </w:r>
            <w:r w:rsidRPr="00F575E6">
              <w:rPr>
                <w:color w:val="000000" w:themeColor="text1"/>
                <w:sz w:val="20"/>
                <w:szCs w:val="20"/>
                <w:lang w:eastAsia="en-US"/>
              </w:rPr>
              <w:t xml:space="preserve"> / Energie du Mali </w:t>
            </w:r>
            <w:r w:rsidR="002C0B8B" w:rsidRPr="00F575E6">
              <w:rPr>
                <w:color w:val="000000" w:themeColor="text1"/>
                <w:sz w:val="20"/>
                <w:szCs w:val="20"/>
                <w:lang w:eastAsia="en-US"/>
              </w:rPr>
              <w:t>(</w:t>
            </w:r>
            <w:r w:rsidRPr="00F575E6">
              <w:rPr>
                <w:color w:val="000000" w:themeColor="text1"/>
                <w:sz w:val="20"/>
                <w:szCs w:val="20"/>
                <w:lang w:eastAsia="en-US"/>
              </w:rPr>
              <w:t>EDM</w:t>
            </w:r>
            <w:r w:rsidR="002C0B8B" w:rsidRPr="00F575E6">
              <w:rPr>
                <w:color w:val="000000" w:themeColor="text1"/>
                <w:sz w:val="20"/>
                <w:szCs w:val="20"/>
                <w:lang w:eastAsia="en-US"/>
              </w:rPr>
              <w:t>)</w:t>
            </w:r>
            <w:r w:rsidRPr="00F575E6">
              <w:rPr>
                <w:color w:val="000000" w:themeColor="text1"/>
                <w:sz w:val="20"/>
                <w:szCs w:val="20"/>
                <w:lang w:eastAsia="en-US"/>
              </w:rPr>
              <w:t xml:space="preserve"> </w:t>
            </w:r>
          </w:p>
        </w:tc>
      </w:tr>
      <w:tr w:rsidR="00996FEE" w:rsidRPr="00F575E6" w14:paraId="2C2DBC5F"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015C3D57" w14:textId="55D7CABA"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2</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4AA9DC1E" w14:textId="2E3993FD"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Réalisation de centrale hydroélectrique de Kénié (56 MW)</w:t>
            </w:r>
          </w:p>
        </w:tc>
        <w:tc>
          <w:tcPr>
            <w:tcW w:w="1467" w:type="pct"/>
            <w:vMerge/>
            <w:tcBorders>
              <w:left w:val="single" w:sz="4" w:space="0" w:color="2E74B5"/>
              <w:right w:val="single" w:sz="8" w:space="0" w:color="2F5496" w:themeColor="accent5" w:themeShade="BF"/>
            </w:tcBorders>
            <w:vAlign w:val="center"/>
          </w:tcPr>
          <w:p w14:paraId="716E3680" w14:textId="77777777" w:rsidR="00996FEE" w:rsidRPr="00F575E6" w:rsidRDefault="00996FEE" w:rsidP="00996FEE">
            <w:pPr>
              <w:rPr>
                <w:b/>
                <w:color w:val="FFFFFF" w:themeColor="background1"/>
                <w:sz w:val="20"/>
                <w:szCs w:val="20"/>
                <w:lang w:eastAsia="en-US"/>
              </w:rPr>
            </w:pPr>
          </w:p>
        </w:tc>
      </w:tr>
      <w:tr w:rsidR="00996FEE" w:rsidRPr="00F575E6" w14:paraId="0E099673"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172CBA39" w14:textId="5289132B"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3</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29F0E7B6" w14:textId="71EF10F9"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Construction de la centrale hydroélectrique Baoule III (17.7 MW) et Baoule IV (12.7 MW)</w:t>
            </w:r>
          </w:p>
        </w:tc>
        <w:tc>
          <w:tcPr>
            <w:tcW w:w="1467" w:type="pct"/>
            <w:vMerge/>
            <w:tcBorders>
              <w:left w:val="single" w:sz="4" w:space="0" w:color="2E74B5"/>
              <w:right w:val="single" w:sz="8" w:space="0" w:color="2F5496" w:themeColor="accent5" w:themeShade="BF"/>
            </w:tcBorders>
            <w:vAlign w:val="center"/>
          </w:tcPr>
          <w:p w14:paraId="19F60424" w14:textId="77777777" w:rsidR="00996FEE" w:rsidRPr="00F575E6" w:rsidRDefault="00996FEE" w:rsidP="00996FEE">
            <w:pPr>
              <w:rPr>
                <w:b/>
                <w:color w:val="FFFFFF" w:themeColor="background1"/>
                <w:sz w:val="20"/>
                <w:szCs w:val="20"/>
                <w:lang w:eastAsia="en-US"/>
              </w:rPr>
            </w:pPr>
          </w:p>
        </w:tc>
      </w:tr>
      <w:tr w:rsidR="00996FEE" w:rsidRPr="00F575E6" w14:paraId="43BC2BE3"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26BF4F41" w14:textId="6FB12B0A"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4</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145026DD" w14:textId="7B6B05E8"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Construction de la centrale hydroélectrique de Bagoé II (19,4 MW)</w:t>
            </w:r>
          </w:p>
        </w:tc>
        <w:tc>
          <w:tcPr>
            <w:tcW w:w="1467" w:type="pct"/>
            <w:vMerge/>
            <w:tcBorders>
              <w:left w:val="single" w:sz="4" w:space="0" w:color="2E74B5"/>
              <w:right w:val="single" w:sz="8" w:space="0" w:color="2F5496" w:themeColor="accent5" w:themeShade="BF"/>
            </w:tcBorders>
            <w:vAlign w:val="center"/>
          </w:tcPr>
          <w:p w14:paraId="61EFB33E" w14:textId="77777777" w:rsidR="00996FEE" w:rsidRPr="00F575E6" w:rsidRDefault="00996FEE" w:rsidP="00996FEE">
            <w:pPr>
              <w:rPr>
                <w:b/>
                <w:color w:val="FFFFFF" w:themeColor="background1"/>
                <w:sz w:val="20"/>
                <w:szCs w:val="20"/>
                <w:lang w:eastAsia="en-US"/>
              </w:rPr>
            </w:pPr>
          </w:p>
        </w:tc>
      </w:tr>
      <w:tr w:rsidR="00996FEE" w:rsidRPr="00F575E6" w14:paraId="3BBF2831"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24A1D8C1" w14:textId="7ACD1757"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5</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70052FCA" w14:textId="53CE9362"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 xml:space="preserve">Construction des mini- centrales hydroélectriques de Djenne (7 MW) et Talo (1.5 MW) </w:t>
            </w:r>
          </w:p>
        </w:tc>
        <w:tc>
          <w:tcPr>
            <w:tcW w:w="1467" w:type="pct"/>
            <w:vMerge/>
            <w:tcBorders>
              <w:left w:val="single" w:sz="4" w:space="0" w:color="2E74B5"/>
              <w:right w:val="single" w:sz="8" w:space="0" w:color="2F5496" w:themeColor="accent5" w:themeShade="BF"/>
            </w:tcBorders>
            <w:vAlign w:val="center"/>
          </w:tcPr>
          <w:p w14:paraId="120743C2" w14:textId="77777777" w:rsidR="00996FEE" w:rsidRPr="00F575E6" w:rsidRDefault="00996FEE" w:rsidP="00996FEE">
            <w:pPr>
              <w:rPr>
                <w:b/>
                <w:color w:val="FFFFFF" w:themeColor="background1"/>
                <w:sz w:val="20"/>
                <w:szCs w:val="20"/>
                <w:lang w:eastAsia="en-US"/>
              </w:rPr>
            </w:pPr>
          </w:p>
        </w:tc>
      </w:tr>
      <w:tr w:rsidR="00996FEE" w:rsidRPr="00F575E6" w14:paraId="55ADD40B"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2DCE53D1" w14:textId="2905566C"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6</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5F725084" w14:textId="36F90B6A"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 xml:space="preserve">Réalisation de la centrale hydroélectrique de Fari (10 MW et 40 GWH) et réseaux d’évacuation </w:t>
            </w:r>
          </w:p>
        </w:tc>
        <w:tc>
          <w:tcPr>
            <w:tcW w:w="1467" w:type="pct"/>
            <w:vMerge/>
            <w:tcBorders>
              <w:left w:val="single" w:sz="4" w:space="0" w:color="2E74B5"/>
              <w:right w:val="single" w:sz="8" w:space="0" w:color="2F5496" w:themeColor="accent5" w:themeShade="BF"/>
            </w:tcBorders>
            <w:vAlign w:val="center"/>
          </w:tcPr>
          <w:p w14:paraId="3F87BEC1" w14:textId="77777777" w:rsidR="00996FEE" w:rsidRPr="00F575E6" w:rsidRDefault="00996FEE" w:rsidP="00996FEE">
            <w:pPr>
              <w:rPr>
                <w:b/>
                <w:color w:val="FFFFFF" w:themeColor="background1"/>
                <w:sz w:val="20"/>
                <w:szCs w:val="20"/>
                <w:lang w:eastAsia="en-US"/>
              </w:rPr>
            </w:pPr>
          </w:p>
        </w:tc>
      </w:tr>
      <w:tr w:rsidR="00996FEE" w:rsidRPr="00F575E6" w14:paraId="7F77873A"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5F6B0C20" w14:textId="4CD143C7"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7</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28BD1EFD" w14:textId="12B0DF05"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Réalisation de la centrale hydroélectrique de Toubani (30 MW et 134 GWH) et réseaux d’évacuation 1</w:t>
            </w:r>
          </w:p>
        </w:tc>
        <w:tc>
          <w:tcPr>
            <w:tcW w:w="1467" w:type="pct"/>
            <w:vMerge/>
            <w:tcBorders>
              <w:left w:val="single" w:sz="4" w:space="0" w:color="2E74B5"/>
              <w:right w:val="single" w:sz="8" w:space="0" w:color="2F5496" w:themeColor="accent5" w:themeShade="BF"/>
            </w:tcBorders>
            <w:vAlign w:val="center"/>
          </w:tcPr>
          <w:p w14:paraId="7A5A90F2" w14:textId="77777777" w:rsidR="00996FEE" w:rsidRPr="00F575E6" w:rsidRDefault="00996FEE" w:rsidP="00996FEE">
            <w:pPr>
              <w:rPr>
                <w:b/>
                <w:color w:val="FFFFFF" w:themeColor="background1"/>
                <w:sz w:val="20"/>
                <w:szCs w:val="20"/>
                <w:lang w:eastAsia="en-US"/>
              </w:rPr>
            </w:pPr>
          </w:p>
        </w:tc>
      </w:tr>
      <w:tr w:rsidR="00996FEE" w:rsidRPr="00F575E6" w14:paraId="38D271B8"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356C2115" w14:textId="1321FB45"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8</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103DFAAC" w14:textId="7520AB3B"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Centrale hydroélectrique de Kourouba (4MW)</w:t>
            </w:r>
          </w:p>
        </w:tc>
        <w:tc>
          <w:tcPr>
            <w:tcW w:w="1467" w:type="pct"/>
            <w:vMerge/>
            <w:tcBorders>
              <w:left w:val="single" w:sz="4" w:space="0" w:color="2E74B5"/>
              <w:right w:val="single" w:sz="8" w:space="0" w:color="2F5496" w:themeColor="accent5" w:themeShade="BF"/>
            </w:tcBorders>
            <w:vAlign w:val="center"/>
          </w:tcPr>
          <w:p w14:paraId="34C65C5F" w14:textId="77777777" w:rsidR="00996FEE" w:rsidRPr="00F575E6" w:rsidRDefault="00996FEE" w:rsidP="00996FEE">
            <w:pPr>
              <w:rPr>
                <w:b/>
                <w:color w:val="FFFFFF" w:themeColor="background1"/>
                <w:sz w:val="20"/>
                <w:szCs w:val="20"/>
                <w:lang w:eastAsia="en-US"/>
              </w:rPr>
            </w:pPr>
          </w:p>
        </w:tc>
      </w:tr>
      <w:tr w:rsidR="00996FEE" w:rsidRPr="00F575E6" w14:paraId="6D8A5364"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789683A4" w14:textId="19B12E9B"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9</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41451A99" w14:textId="0155FECF"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Centrale solaire de Safo, phase I (50MWc +25MWh de stockage)</w:t>
            </w:r>
          </w:p>
        </w:tc>
        <w:tc>
          <w:tcPr>
            <w:tcW w:w="1467" w:type="pct"/>
            <w:vMerge/>
            <w:tcBorders>
              <w:left w:val="single" w:sz="4" w:space="0" w:color="2E74B5"/>
              <w:right w:val="single" w:sz="8" w:space="0" w:color="2F5496" w:themeColor="accent5" w:themeShade="BF"/>
            </w:tcBorders>
            <w:vAlign w:val="center"/>
          </w:tcPr>
          <w:p w14:paraId="131A2857" w14:textId="77777777" w:rsidR="00996FEE" w:rsidRPr="00F575E6" w:rsidRDefault="00996FEE" w:rsidP="00996FEE">
            <w:pPr>
              <w:rPr>
                <w:b/>
                <w:color w:val="FFFFFF" w:themeColor="background1"/>
                <w:sz w:val="20"/>
                <w:szCs w:val="20"/>
                <w:lang w:eastAsia="en-US"/>
              </w:rPr>
            </w:pPr>
          </w:p>
        </w:tc>
      </w:tr>
      <w:tr w:rsidR="00996FEE" w:rsidRPr="00F575E6" w14:paraId="44B300E7"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582829F5" w14:textId="1B02F5FA"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10</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17DE91A5" w14:textId="5B1CEECA"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Centrale solaire de Safo, phase II (50MWc +25MWh de stockage)</w:t>
            </w:r>
          </w:p>
        </w:tc>
        <w:tc>
          <w:tcPr>
            <w:tcW w:w="1467" w:type="pct"/>
            <w:vMerge/>
            <w:tcBorders>
              <w:left w:val="single" w:sz="4" w:space="0" w:color="2E74B5"/>
              <w:right w:val="single" w:sz="8" w:space="0" w:color="2F5496" w:themeColor="accent5" w:themeShade="BF"/>
            </w:tcBorders>
            <w:vAlign w:val="center"/>
          </w:tcPr>
          <w:p w14:paraId="50862129" w14:textId="77777777" w:rsidR="00996FEE" w:rsidRPr="00F575E6" w:rsidRDefault="00996FEE" w:rsidP="00996FEE">
            <w:pPr>
              <w:rPr>
                <w:b/>
                <w:color w:val="FFFFFF" w:themeColor="background1"/>
                <w:sz w:val="20"/>
                <w:szCs w:val="20"/>
                <w:lang w:eastAsia="en-US"/>
              </w:rPr>
            </w:pPr>
          </w:p>
        </w:tc>
      </w:tr>
      <w:tr w:rsidR="00996FEE" w:rsidRPr="00F575E6" w14:paraId="32CC73CD"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286C1238" w14:textId="1F50624F"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11</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5503BB25" w14:textId="115DE39C"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Centrale solaire de Tiakadougou Dialakoro, phase I (50MWc)</w:t>
            </w:r>
          </w:p>
        </w:tc>
        <w:tc>
          <w:tcPr>
            <w:tcW w:w="1467" w:type="pct"/>
            <w:vMerge/>
            <w:tcBorders>
              <w:left w:val="single" w:sz="4" w:space="0" w:color="2E74B5"/>
              <w:right w:val="single" w:sz="8" w:space="0" w:color="2F5496" w:themeColor="accent5" w:themeShade="BF"/>
            </w:tcBorders>
            <w:vAlign w:val="center"/>
          </w:tcPr>
          <w:p w14:paraId="0B2F5B41" w14:textId="77777777" w:rsidR="00996FEE" w:rsidRPr="00F575E6" w:rsidRDefault="00996FEE" w:rsidP="00996FEE">
            <w:pPr>
              <w:rPr>
                <w:b/>
                <w:color w:val="FFFFFF" w:themeColor="background1"/>
                <w:sz w:val="20"/>
                <w:szCs w:val="20"/>
                <w:lang w:eastAsia="en-US"/>
              </w:rPr>
            </w:pPr>
          </w:p>
        </w:tc>
      </w:tr>
      <w:tr w:rsidR="00996FEE" w:rsidRPr="00F575E6" w14:paraId="7AD3A11B"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30398D3D" w14:textId="24440045"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12</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2AEC3786" w14:textId="59F194E3"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Centrale solaire de Sanankoroba, phase 1 (50MWc)</w:t>
            </w:r>
          </w:p>
        </w:tc>
        <w:tc>
          <w:tcPr>
            <w:tcW w:w="1467" w:type="pct"/>
            <w:vMerge/>
            <w:tcBorders>
              <w:left w:val="single" w:sz="4" w:space="0" w:color="2E74B5"/>
              <w:right w:val="single" w:sz="8" w:space="0" w:color="2F5496" w:themeColor="accent5" w:themeShade="BF"/>
            </w:tcBorders>
            <w:vAlign w:val="center"/>
          </w:tcPr>
          <w:p w14:paraId="431AEBC4" w14:textId="77777777" w:rsidR="00996FEE" w:rsidRPr="00F575E6" w:rsidRDefault="00996FEE" w:rsidP="00996FEE">
            <w:pPr>
              <w:rPr>
                <w:b/>
                <w:color w:val="FFFFFF" w:themeColor="background1"/>
                <w:sz w:val="20"/>
                <w:szCs w:val="20"/>
                <w:lang w:eastAsia="en-US"/>
              </w:rPr>
            </w:pPr>
          </w:p>
        </w:tc>
      </w:tr>
      <w:tr w:rsidR="00996FEE" w:rsidRPr="00F575E6" w14:paraId="3BBBBFFA"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043DFB3F" w14:textId="10652E5D"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13</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58DC5B87" w14:textId="23E9B1AB"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Centrale solaire de Sanankoroba, phase 2 (150MWc+ 20MWh de stockage)</w:t>
            </w:r>
          </w:p>
        </w:tc>
        <w:tc>
          <w:tcPr>
            <w:tcW w:w="1467" w:type="pct"/>
            <w:vMerge/>
            <w:tcBorders>
              <w:left w:val="single" w:sz="4" w:space="0" w:color="2E74B5"/>
              <w:right w:val="single" w:sz="8" w:space="0" w:color="2F5496" w:themeColor="accent5" w:themeShade="BF"/>
            </w:tcBorders>
            <w:vAlign w:val="center"/>
          </w:tcPr>
          <w:p w14:paraId="18B03A5D" w14:textId="77777777" w:rsidR="00996FEE" w:rsidRPr="00F575E6" w:rsidRDefault="00996FEE" w:rsidP="00996FEE">
            <w:pPr>
              <w:rPr>
                <w:b/>
                <w:color w:val="FFFFFF" w:themeColor="background1"/>
                <w:sz w:val="20"/>
                <w:szCs w:val="20"/>
                <w:lang w:eastAsia="en-US"/>
              </w:rPr>
            </w:pPr>
          </w:p>
        </w:tc>
      </w:tr>
      <w:tr w:rsidR="00996FEE" w:rsidRPr="00F575E6" w14:paraId="3D99C858"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65D4FA9F" w14:textId="4C3212F3"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14</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369F8D9D" w14:textId="7C7AD1D7"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Construction d’une centrale solaire de 30 MWc à Tienfala (Tienfala Solar) avec stockage</w:t>
            </w:r>
          </w:p>
        </w:tc>
        <w:tc>
          <w:tcPr>
            <w:tcW w:w="1467" w:type="pct"/>
            <w:vMerge/>
            <w:tcBorders>
              <w:left w:val="single" w:sz="4" w:space="0" w:color="2E74B5"/>
              <w:right w:val="single" w:sz="8" w:space="0" w:color="2F5496" w:themeColor="accent5" w:themeShade="BF"/>
            </w:tcBorders>
            <w:vAlign w:val="center"/>
          </w:tcPr>
          <w:p w14:paraId="2208906F" w14:textId="77777777" w:rsidR="00996FEE" w:rsidRPr="00F575E6" w:rsidRDefault="00996FEE" w:rsidP="00996FEE">
            <w:pPr>
              <w:rPr>
                <w:b/>
                <w:color w:val="FFFFFF" w:themeColor="background1"/>
                <w:sz w:val="20"/>
                <w:szCs w:val="20"/>
                <w:lang w:eastAsia="en-US"/>
              </w:rPr>
            </w:pPr>
          </w:p>
        </w:tc>
      </w:tr>
      <w:tr w:rsidR="00996FEE" w:rsidRPr="00F575E6" w14:paraId="7B5D0C3A"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23DBB01C" w14:textId="081B9EDF"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15</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3DFFDB1E" w14:textId="0ED1161A"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Construction d’une centrale solaire de 30 MWc à Ouélessébougou (Ouélessébougou Solar) »</w:t>
            </w:r>
          </w:p>
        </w:tc>
        <w:tc>
          <w:tcPr>
            <w:tcW w:w="1467" w:type="pct"/>
            <w:vMerge/>
            <w:tcBorders>
              <w:left w:val="single" w:sz="4" w:space="0" w:color="2E74B5"/>
              <w:right w:val="single" w:sz="8" w:space="0" w:color="2F5496" w:themeColor="accent5" w:themeShade="BF"/>
            </w:tcBorders>
            <w:vAlign w:val="center"/>
          </w:tcPr>
          <w:p w14:paraId="1B85E98A" w14:textId="77777777" w:rsidR="00996FEE" w:rsidRPr="00F575E6" w:rsidRDefault="00996FEE" w:rsidP="00996FEE">
            <w:pPr>
              <w:rPr>
                <w:b/>
                <w:color w:val="FFFFFF" w:themeColor="background1"/>
                <w:sz w:val="20"/>
                <w:szCs w:val="20"/>
                <w:lang w:eastAsia="en-US"/>
              </w:rPr>
            </w:pPr>
          </w:p>
        </w:tc>
      </w:tr>
      <w:tr w:rsidR="00996FEE" w:rsidRPr="00F575E6" w14:paraId="687638D1"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018DF451" w14:textId="76B7E06F"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16</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3DE27AD4" w14:textId="71AD5DB3"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Centrale solaire de Ségou (100MWc +50 MWh de stockage)</w:t>
            </w:r>
          </w:p>
        </w:tc>
        <w:tc>
          <w:tcPr>
            <w:tcW w:w="1467" w:type="pct"/>
            <w:vMerge/>
            <w:tcBorders>
              <w:left w:val="single" w:sz="4" w:space="0" w:color="2E74B5"/>
              <w:right w:val="single" w:sz="8" w:space="0" w:color="2F5496" w:themeColor="accent5" w:themeShade="BF"/>
            </w:tcBorders>
            <w:vAlign w:val="center"/>
          </w:tcPr>
          <w:p w14:paraId="348EE1B9" w14:textId="77777777" w:rsidR="00996FEE" w:rsidRPr="00F575E6" w:rsidRDefault="00996FEE" w:rsidP="00996FEE">
            <w:pPr>
              <w:rPr>
                <w:b/>
                <w:color w:val="FFFFFF" w:themeColor="background1"/>
                <w:sz w:val="20"/>
                <w:szCs w:val="20"/>
                <w:lang w:eastAsia="en-US"/>
              </w:rPr>
            </w:pPr>
          </w:p>
        </w:tc>
      </w:tr>
      <w:tr w:rsidR="00996FEE" w:rsidRPr="00F575E6" w14:paraId="6FD2F27E"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53BCFF17" w14:textId="6E880B34"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17</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1492F51E" w14:textId="01EBA91A"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Centrale solaire de Koulikoro, phase I (50MWc +50 MWh de stockage)</w:t>
            </w:r>
          </w:p>
        </w:tc>
        <w:tc>
          <w:tcPr>
            <w:tcW w:w="1467" w:type="pct"/>
            <w:vMerge/>
            <w:tcBorders>
              <w:left w:val="single" w:sz="4" w:space="0" w:color="2E74B5"/>
              <w:right w:val="single" w:sz="8" w:space="0" w:color="2F5496" w:themeColor="accent5" w:themeShade="BF"/>
            </w:tcBorders>
            <w:vAlign w:val="center"/>
          </w:tcPr>
          <w:p w14:paraId="64D2389E" w14:textId="77777777" w:rsidR="00996FEE" w:rsidRPr="00F575E6" w:rsidRDefault="00996FEE" w:rsidP="00996FEE">
            <w:pPr>
              <w:rPr>
                <w:b/>
                <w:color w:val="FFFFFF" w:themeColor="background1"/>
                <w:sz w:val="20"/>
                <w:szCs w:val="20"/>
                <w:lang w:eastAsia="en-US"/>
              </w:rPr>
            </w:pPr>
          </w:p>
        </w:tc>
      </w:tr>
      <w:tr w:rsidR="00996FEE" w:rsidRPr="00F575E6" w14:paraId="508B1D01"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5FE4F99E" w14:textId="73068B30"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18</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6E491DA7" w14:textId="79ED8B6B"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Centrale solaire de sikasso (100MWc + 50MWh de stockage)</w:t>
            </w:r>
          </w:p>
        </w:tc>
        <w:tc>
          <w:tcPr>
            <w:tcW w:w="1467" w:type="pct"/>
            <w:vMerge/>
            <w:tcBorders>
              <w:left w:val="single" w:sz="4" w:space="0" w:color="2E74B5"/>
              <w:right w:val="single" w:sz="8" w:space="0" w:color="2F5496" w:themeColor="accent5" w:themeShade="BF"/>
            </w:tcBorders>
            <w:vAlign w:val="center"/>
          </w:tcPr>
          <w:p w14:paraId="06038828" w14:textId="77777777" w:rsidR="00996FEE" w:rsidRPr="00F575E6" w:rsidRDefault="00996FEE" w:rsidP="00996FEE">
            <w:pPr>
              <w:rPr>
                <w:b/>
                <w:color w:val="FFFFFF" w:themeColor="background1"/>
                <w:sz w:val="20"/>
                <w:szCs w:val="20"/>
                <w:lang w:eastAsia="en-US"/>
              </w:rPr>
            </w:pPr>
          </w:p>
        </w:tc>
      </w:tr>
      <w:tr w:rsidR="00996FEE" w:rsidRPr="00F575E6" w14:paraId="4D45A88B"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299F9472" w14:textId="496F61BD"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19</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6A0EA3BE" w14:textId="76E853F6"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Centrale solaire de Koutiala (50MWc +25MWh de stockage)</w:t>
            </w:r>
          </w:p>
        </w:tc>
        <w:tc>
          <w:tcPr>
            <w:tcW w:w="1467" w:type="pct"/>
            <w:vMerge/>
            <w:tcBorders>
              <w:left w:val="single" w:sz="4" w:space="0" w:color="2E74B5"/>
              <w:right w:val="single" w:sz="8" w:space="0" w:color="2F5496" w:themeColor="accent5" w:themeShade="BF"/>
            </w:tcBorders>
            <w:vAlign w:val="center"/>
          </w:tcPr>
          <w:p w14:paraId="4EAC910E" w14:textId="77777777" w:rsidR="00996FEE" w:rsidRPr="00F575E6" w:rsidRDefault="00996FEE" w:rsidP="00996FEE">
            <w:pPr>
              <w:rPr>
                <w:b/>
                <w:color w:val="FFFFFF" w:themeColor="background1"/>
                <w:sz w:val="20"/>
                <w:szCs w:val="20"/>
                <w:lang w:eastAsia="en-US"/>
              </w:rPr>
            </w:pPr>
          </w:p>
        </w:tc>
      </w:tr>
      <w:tr w:rsidR="00996FEE" w:rsidRPr="00F575E6" w14:paraId="61C90E40"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1DD4AB07" w14:textId="5A73253A"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lastRenderedPageBreak/>
              <w:t>20</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02B1F6B3" w14:textId="7A0DD412"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Centrale solaire de Mopti, phase I (30MWc +20MWh de stockage)</w:t>
            </w:r>
          </w:p>
        </w:tc>
        <w:tc>
          <w:tcPr>
            <w:tcW w:w="1467" w:type="pct"/>
            <w:vMerge/>
            <w:tcBorders>
              <w:left w:val="single" w:sz="4" w:space="0" w:color="2E74B5"/>
              <w:right w:val="single" w:sz="8" w:space="0" w:color="2F5496" w:themeColor="accent5" w:themeShade="BF"/>
            </w:tcBorders>
            <w:vAlign w:val="center"/>
          </w:tcPr>
          <w:p w14:paraId="0051EBA0" w14:textId="77777777" w:rsidR="00996FEE" w:rsidRPr="00F575E6" w:rsidRDefault="00996FEE" w:rsidP="00996FEE">
            <w:pPr>
              <w:rPr>
                <w:b/>
                <w:color w:val="FFFFFF" w:themeColor="background1"/>
                <w:sz w:val="20"/>
                <w:szCs w:val="20"/>
                <w:lang w:eastAsia="en-US"/>
              </w:rPr>
            </w:pPr>
          </w:p>
        </w:tc>
      </w:tr>
      <w:tr w:rsidR="00996FEE" w:rsidRPr="00F575E6" w14:paraId="623EADD5"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3CE835A2" w14:textId="48D5AD2F"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21</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335E65D0" w14:textId="49267D9B"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Construction de centrales solaires de 2*(25 Wc+25MWh) par région (Tombouctou, Gao, Nioro du Sahel, Kidal)</w:t>
            </w:r>
          </w:p>
        </w:tc>
        <w:tc>
          <w:tcPr>
            <w:tcW w:w="1467" w:type="pct"/>
            <w:vMerge/>
            <w:tcBorders>
              <w:left w:val="single" w:sz="4" w:space="0" w:color="2E74B5"/>
              <w:right w:val="single" w:sz="8" w:space="0" w:color="2F5496" w:themeColor="accent5" w:themeShade="BF"/>
            </w:tcBorders>
            <w:vAlign w:val="center"/>
          </w:tcPr>
          <w:p w14:paraId="4774ADDC" w14:textId="77777777" w:rsidR="00996FEE" w:rsidRPr="00F575E6" w:rsidRDefault="00996FEE" w:rsidP="00996FEE">
            <w:pPr>
              <w:rPr>
                <w:b/>
                <w:color w:val="FFFFFF" w:themeColor="background1"/>
                <w:sz w:val="20"/>
                <w:szCs w:val="20"/>
                <w:lang w:eastAsia="en-US"/>
              </w:rPr>
            </w:pPr>
          </w:p>
        </w:tc>
      </w:tr>
      <w:tr w:rsidR="00996FEE" w:rsidRPr="00F575E6" w14:paraId="20A760CE"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4819B25B" w14:textId="68832E65" w:rsidR="00996FEE" w:rsidRPr="00F575E6" w:rsidRDefault="00D70631" w:rsidP="00996FEE">
            <w:pPr>
              <w:jc w:val="center"/>
              <w:rPr>
                <w:b/>
                <w:color w:val="FFFFFF" w:themeColor="background1"/>
                <w:sz w:val="20"/>
                <w:szCs w:val="20"/>
                <w:lang w:eastAsia="en-US"/>
              </w:rPr>
            </w:pPr>
            <w:r w:rsidRPr="00F575E6">
              <w:rPr>
                <w:b/>
                <w:color w:val="FFFFFF" w:themeColor="background1"/>
                <w:sz w:val="20"/>
                <w:szCs w:val="20"/>
                <w:lang w:eastAsia="en-US"/>
              </w:rPr>
              <w:t>22</w:t>
            </w:r>
          </w:p>
        </w:tc>
        <w:tc>
          <w:tcPr>
            <w:tcW w:w="3249" w:type="pct"/>
            <w:tcBorders>
              <w:top w:val="single" w:sz="4" w:space="0" w:color="2E74B5"/>
              <w:left w:val="single" w:sz="8" w:space="0" w:color="2F5496" w:themeColor="accent5" w:themeShade="BF"/>
              <w:bottom w:val="single" w:sz="8" w:space="0" w:color="2F5496" w:themeColor="accent5" w:themeShade="BF"/>
              <w:right w:val="single" w:sz="4" w:space="0" w:color="2E74B5"/>
            </w:tcBorders>
            <w:vAlign w:val="center"/>
          </w:tcPr>
          <w:p w14:paraId="1CDC275A" w14:textId="64AD7E7F" w:rsidR="00996FEE" w:rsidRPr="00F575E6" w:rsidRDefault="00996FEE" w:rsidP="00996FEE">
            <w:pPr>
              <w:jc w:val="both"/>
              <w:rPr>
                <w:b/>
                <w:color w:val="FFFFFF" w:themeColor="background1"/>
                <w:sz w:val="20"/>
                <w:szCs w:val="20"/>
                <w:lang w:eastAsia="en-US"/>
              </w:rPr>
            </w:pPr>
            <w:r w:rsidRPr="00F575E6">
              <w:rPr>
                <w:rFonts w:eastAsia="Times New Roman"/>
                <w:color w:val="000000"/>
                <w:sz w:val="20"/>
                <w:szCs w:val="20"/>
                <w:lang w:eastAsia="fr-FR"/>
              </w:rPr>
              <w:t>Construction d’une centrale solaire de 100 MWc à Kambila avec stockage</w:t>
            </w:r>
          </w:p>
        </w:tc>
        <w:tc>
          <w:tcPr>
            <w:tcW w:w="1467" w:type="pct"/>
            <w:vMerge/>
            <w:tcBorders>
              <w:left w:val="single" w:sz="4" w:space="0" w:color="2E74B5"/>
              <w:bottom w:val="single" w:sz="8" w:space="0" w:color="2F5496" w:themeColor="accent5" w:themeShade="BF"/>
              <w:right w:val="single" w:sz="8" w:space="0" w:color="2F5496" w:themeColor="accent5" w:themeShade="BF"/>
            </w:tcBorders>
            <w:vAlign w:val="center"/>
          </w:tcPr>
          <w:p w14:paraId="44DE5673" w14:textId="77777777" w:rsidR="00996FEE" w:rsidRPr="00F575E6" w:rsidRDefault="00996FEE" w:rsidP="00996FEE">
            <w:pPr>
              <w:rPr>
                <w:b/>
                <w:color w:val="FFFFFF" w:themeColor="background1"/>
                <w:sz w:val="20"/>
                <w:szCs w:val="20"/>
                <w:lang w:eastAsia="en-US"/>
              </w:rPr>
            </w:pPr>
          </w:p>
        </w:tc>
      </w:tr>
      <w:tr w:rsidR="00190CBE" w:rsidRPr="00F575E6" w14:paraId="3627CE61"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3FE08CAA" w14:textId="57102CE9"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23</w:t>
            </w:r>
          </w:p>
        </w:tc>
        <w:tc>
          <w:tcPr>
            <w:tcW w:w="3249" w:type="pct"/>
            <w:tcBorders>
              <w:top w:val="single" w:sz="8" w:space="0" w:color="2F5496" w:themeColor="accent5" w:themeShade="BF"/>
              <w:left w:val="single" w:sz="8" w:space="0" w:color="2F5496" w:themeColor="accent5" w:themeShade="BF"/>
              <w:bottom w:val="single" w:sz="4" w:space="0" w:color="2E74B5"/>
              <w:right w:val="single" w:sz="4" w:space="0" w:color="2E74B5"/>
            </w:tcBorders>
            <w:vAlign w:val="center"/>
          </w:tcPr>
          <w:p w14:paraId="24813166" w14:textId="05603B46"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 xml:space="preserve">Réalisation de la ligne 225 kV avec postes entre Koutiala - San </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Mopti</w:t>
            </w:r>
          </w:p>
        </w:tc>
        <w:tc>
          <w:tcPr>
            <w:tcW w:w="1467" w:type="pct"/>
            <w:vMerge w:val="restart"/>
            <w:tcBorders>
              <w:top w:val="single" w:sz="8" w:space="0" w:color="2F5496" w:themeColor="accent5" w:themeShade="BF"/>
              <w:left w:val="single" w:sz="4" w:space="0" w:color="2E74B5"/>
              <w:right w:val="single" w:sz="8" w:space="0" w:color="2F5496" w:themeColor="accent5" w:themeShade="BF"/>
            </w:tcBorders>
            <w:vAlign w:val="center"/>
          </w:tcPr>
          <w:p w14:paraId="0B50CF27" w14:textId="100828A3" w:rsidR="00190CBE" w:rsidRPr="00F575E6" w:rsidRDefault="00190CBE" w:rsidP="00190CBE">
            <w:pPr>
              <w:rPr>
                <w:b/>
                <w:color w:val="FFFFFF" w:themeColor="background1"/>
                <w:sz w:val="20"/>
                <w:szCs w:val="20"/>
                <w:lang w:eastAsia="en-US"/>
              </w:rPr>
            </w:pPr>
            <w:r w:rsidRPr="00F575E6">
              <w:rPr>
                <w:color w:val="000000" w:themeColor="text1"/>
                <w:sz w:val="20"/>
                <w:szCs w:val="20"/>
                <w:lang w:eastAsia="en-US"/>
              </w:rPr>
              <w:t xml:space="preserve">Direction nationale de l’énergie </w:t>
            </w:r>
            <w:r w:rsidR="002C0B8B" w:rsidRPr="00F575E6">
              <w:rPr>
                <w:color w:val="000000" w:themeColor="text1"/>
                <w:sz w:val="20"/>
                <w:szCs w:val="20"/>
                <w:lang w:eastAsia="en-US"/>
              </w:rPr>
              <w:t>(</w:t>
            </w:r>
            <w:r w:rsidRPr="00F575E6">
              <w:rPr>
                <w:color w:val="000000" w:themeColor="text1"/>
                <w:sz w:val="20"/>
                <w:szCs w:val="20"/>
                <w:lang w:eastAsia="en-US"/>
              </w:rPr>
              <w:t>DNE</w:t>
            </w:r>
            <w:r w:rsidR="002C0B8B" w:rsidRPr="00F575E6">
              <w:rPr>
                <w:color w:val="000000" w:themeColor="text1"/>
                <w:sz w:val="20"/>
                <w:szCs w:val="20"/>
                <w:lang w:eastAsia="en-US"/>
              </w:rPr>
              <w:t>)</w:t>
            </w:r>
            <w:r w:rsidRPr="00F575E6">
              <w:rPr>
                <w:color w:val="000000" w:themeColor="text1"/>
                <w:sz w:val="20"/>
                <w:szCs w:val="20"/>
                <w:lang w:eastAsia="en-US"/>
              </w:rPr>
              <w:t xml:space="preserve"> / Energie du Mali </w:t>
            </w:r>
            <w:r w:rsidR="002C0B8B" w:rsidRPr="00F575E6">
              <w:rPr>
                <w:color w:val="000000" w:themeColor="text1"/>
                <w:sz w:val="20"/>
                <w:szCs w:val="20"/>
                <w:lang w:eastAsia="en-US"/>
              </w:rPr>
              <w:t>(</w:t>
            </w:r>
            <w:r w:rsidRPr="00F575E6">
              <w:rPr>
                <w:color w:val="000000" w:themeColor="text1"/>
                <w:sz w:val="20"/>
                <w:szCs w:val="20"/>
                <w:lang w:eastAsia="en-US"/>
              </w:rPr>
              <w:t>EDM</w:t>
            </w:r>
            <w:r w:rsidR="002C0B8B" w:rsidRPr="00F575E6">
              <w:rPr>
                <w:color w:val="000000" w:themeColor="text1"/>
                <w:sz w:val="20"/>
                <w:szCs w:val="20"/>
                <w:lang w:eastAsia="en-US"/>
              </w:rPr>
              <w:t>)</w:t>
            </w:r>
            <w:r w:rsidRPr="00F575E6">
              <w:rPr>
                <w:color w:val="000000" w:themeColor="text1"/>
                <w:sz w:val="20"/>
                <w:szCs w:val="20"/>
                <w:lang w:eastAsia="en-US"/>
              </w:rPr>
              <w:t xml:space="preserve"> </w:t>
            </w:r>
          </w:p>
        </w:tc>
      </w:tr>
      <w:tr w:rsidR="00190CBE" w:rsidRPr="00F575E6" w14:paraId="2F41DDEC"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3CE82803" w14:textId="35F9219A"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24</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3153E125" w14:textId="43956DB6"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 xml:space="preserve">Construction de la Ligne 225 kV double terne Kénié </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Koulikoro </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Banamba - Nara </w:t>
            </w:r>
          </w:p>
        </w:tc>
        <w:tc>
          <w:tcPr>
            <w:tcW w:w="1467" w:type="pct"/>
            <w:vMerge/>
            <w:tcBorders>
              <w:left w:val="single" w:sz="4" w:space="0" w:color="2E74B5"/>
              <w:right w:val="single" w:sz="8" w:space="0" w:color="2F5496" w:themeColor="accent5" w:themeShade="BF"/>
            </w:tcBorders>
            <w:vAlign w:val="center"/>
          </w:tcPr>
          <w:p w14:paraId="79F10B0D" w14:textId="77777777" w:rsidR="00190CBE" w:rsidRPr="00F575E6" w:rsidRDefault="00190CBE" w:rsidP="00190CBE">
            <w:pPr>
              <w:rPr>
                <w:b/>
                <w:color w:val="FFFFFF" w:themeColor="background1"/>
                <w:sz w:val="20"/>
                <w:szCs w:val="20"/>
                <w:lang w:eastAsia="en-US"/>
              </w:rPr>
            </w:pPr>
          </w:p>
        </w:tc>
      </w:tr>
      <w:tr w:rsidR="00190CBE" w:rsidRPr="00F575E6" w14:paraId="1AAF2980"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22EC0435" w14:textId="3A46C837"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25</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536A3A72" w14:textId="2349D3BF"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 xml:space="preserve">Construction de la Ligne 225 kV double </w:t>
            </w:r>
            <w:r w:rsidR="00780DAB" w:rsidRPr="00F575E6">
              <w:rPr>
                <w:rFonts w:eastAsia="Times New Roman"/>
                <w:color w:val="000000"/>
                <w:sz w:val="20"/>
                <w:szCs w:val="20"/>
                <w:lang w:eastAsia="fr-FR"/>
              </w:rPr>
              <w:t>terne Kambila</w:t>
            </w:r>
            <w:r w:rsidRPr="00F575E6">
              <w:rPr>
                <w:rFonts w:eastAsia="Times New Roman"/>
                <w:color w:val="000000"/>
                <w:sz w:val="20"/>
                <w:szCs w:val="20"/>
                <w:lang w:eastAsia="fr-FR"/>
              </w:rPr>
              <w:t xml:space="preserve"> </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Kolokani - Didiéni </w:t>
            </w:r>
          </w:p>
        </w:tc>
        <w:tc>
          <w:tcPr>
            <w:tcW w:w="1467" w:type="pct"/>
            <w:vMerge/>
            <w:tcBorders>
              <w:left w:val="single" w:sz="4" w:space="0" w:color="2E74B5"/>
              <w:right w:val="single" w:sz="8" w:space="0" w:color="2F5496" w:themeColor="accent5" w:themeShade="BF"/>
            </w:tcBorders>
            <w:vAlign w:val="center"/>
          </w:tcPr>
          <w:p w14:paraId="2D511569" w14:textId="77777777" w:rsidR="00190CBE" w:rsidRPr="00F575E6" w:rsidRDefault="00190CBE" w:rsidP="00190CBE">
            <w:pPr>
              <w:rPr>
                <w:b/>
                <w:color w:val="FFFFFF" w:themeColor="background1"/>
                <w:sz w:val="20"/>
                <w:szCs w:val="20"/>
                <w:lang w:eastAsia="en-US"/>
              </w:rPr>
            </w:pPr>
          </w:p>
        </w:tc>
      </w:tr>
      <w:tr w:rsidR="00190CBE" w:rsidRPr="00F575E6" w14:paraId="0643E036"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70CD82CF" w14:textId="502139F3"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26</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17203C42" w14:textId="3F8494AA"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2.4 Réalisation de ligne et postes 225 kV Tronçon Bamako (Safo)-Fana</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Ségou</w:t>
            </w:r>
          </w:p>
        </w:tc>
        <w:tc>
          <w:tcPr>
            <w:tcW w:w="1467" w:type="pct"/>
            <w:vMerge/>
            <w:tcBorders>
              <w:left w:val="single" w:sz="4" w:space="0" w:color="2E74B5"/>
              <w:right w:val="single" w:sz="8" w:space="0" w:color="2F5496" w:themeColor="accent5" w:themeShade="BF"/>
            </w:tcBorders>
            <w:vAlign w:val="center"/>
          </w:tcPr>
          <w:p w14:paraId="4AB46999" w14:textId="77777777" w:rsidR="00190CBE" w:rsidRPr="00F575E6" w:rsidRDefault="00190CBE" w:rsidP="00190CBE">
            <w:pPr>
              <w:rPr>
                <w:sz w:val="20"/>
                <w:szCs w:val="20"/>
              </w:rPr>
            </w:pPr>
          </w:p>
        </w:tc>
      </w:tr>
      <w:tr w:rsidR="00190CBE" w:rsidRPr="00F575E6" w14:paraId="5F8C1ED1"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7C7350DC" w14:textId="455C1882"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27</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6EF20786" w14:textId="3AF111C5"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 xml:space="preserve">Construction de la Ligne 225 kV double terne Mopti - Konna </w:t>
            </w:r>
          </w:p>
        </w:tc>
        <w:tc>
          <w:tcPr>
            <w:tcW w:w="1467" w:type="pct"/>
            <w:vMerge/>
            <w:tcBorders>
              <w:left w:val="single" w:sz="4" w:space="0" w:color="2E74B5"/>
              <w:right w:val="single" w:sz="8" w:space="0" w:color="2F5496" w:themeColor="accent5" w:themeShade="BF"/>
            </w:tcBorders>
            <w:vAlign w:val="center"/>
          </w:tcPr>
          <w:p w14:paraId="56178668" w14:textId="77777777" w:rsidR="00190CBE" w:rsidRPr="00F575E6" w:rsidRDefault="00190CBE" w:rsidP="00190CBE">
            <w:pPr>
              <w:rPr>
                <w:sz w:val="20"/>
                <w:szCs w:val="20"/>
              </w:rPr>
            </w:pPr>
          </w:p>
        </w:tc>
      </w:tr>
      <w:tr w:rsidR="00190CBE" w:rsidRPr="00F575E6" w14:paraId="5710EC69"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1D872C5E" w14:textId="1E3F2DAB"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28</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65BDCFF6" w14:textId="51993E77"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 xml:space="preserve">Etude réalisation de la ligne 225 kV Koumantou - Massigui </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Fana</w:t>
            </w:r>
          </w:p>
        </w:tc>
        <w:tc>
          <w:tcPr>
            <w:tcW w:w="1467" w:type="pct"/>
            <w:vMerge/>
            <w:tcBorders>
              <w:left w:val="single" w:sz="4" w:space="0" w:color="2E74B5"/>
              <w:right w:val="single" w:sz="8" w:space="0" w:color="2F5496" w:themeColor="accent5" w:themeShade="BF"/>
            </w:tcBorders>
            <w:vAlign w:val="center"/>
          </w:tcPr>
          <w:p w14:paraId="3DE00AF3" w14:textId="77777777" w:rsidR="00190CBE" w:rsidRPr="00F575E6" w:rsidRDefault="00190CBE" w:rsidP="00190CBE">
            <w:pPr>
              <w:rPr>
                <w:sz w:val="20"/>
                <w:szCs w:val="20"/>
              </w:rPr>
            </w:pPr>
          </w:p>
        </w:tc>
      </w:tr>
      <w:tr w:rsidR="00190CBE" w:rsidRPr="00F575E6" w14:paraId="513CEA2F"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3F4A53B5" w14:textId="214BE334"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29</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217A1F3F" w14:textId="3511F093"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Réalisation du tronçon de ligne 330 kV Sikasso - Frontière Burkina (Interco Mali-Burkina-Ghana) et de la ligne 225 kV Sikasso - Siama (avec poste 225/33kV de Syama et renforcement et extention du réseau de distribution)</w:t>
            </w:r>
          </w:p>
        </w:tc>
        <w:tc>
          <w:tcPr>
            <w:tcW w:w="1467" w:type="pct"/>
            <w:vMerge/>
            <w:tcBorders>
              <w:left w:val="single" w:sz="4" w:space="0" w:color="2E74B5"/>
              <w:right w:val="single" w:sz="8" w:space="0" w:color="2F5496" w:themeColor="accent5" w:themeShade="BF"/>
            </w:tcBorders>
            <w:vAlign w:val="center"/>
          </w:tcPr>
          <w:p w14:paraId="650D7B37" w14:textId="77777777" w:rsidR="00190CBE" w:rsidRPr="00F575E6" w:rsidRDefault="00190CBE" w:rsidP="00190CBE">
            <w:pPr>
              <w:rPr>
                <w:sz w:val="20"/>
                <w:szCs w:val="20"/>
              </w:rPr>
            </w:pPr>
          </w:p>
        </w:tc>
      </w:tr>
      <w:tr w:rsidR="00190CBE" w:rsidRPr="00F575E6" w14:paraId="12BE3450"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28F0FAEC" w14:textId="0478684F"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30</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3FD6EE26" w14:textId="0C46F692"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Réalisation de ligne 90 KV et postes (liaison Mopti- Djenné)</w:t>
            </w:r>
          </w:p>
        </w:tc>
        <w:tc>
          <w:tcPr>
            <w:tcW w:w="1467" w:type="pct"/>
            <w:vMerge/>
            <w:tcBorders>
              <w:left w:val="single" w:sz="4" w:space="0" w:color="2E74B5"/>
              <w:right w:val="single" w:sz="8" w:space="0" w:color="2F5496" w:themeColor="accent5" w:themeShade="BF"/>
            </w:tcBorders>
            <w:vAlign w:val="center"/>
          </w:tcPr>
          <w:p w14:paraId="337B0D69" w14:textId="77777777" w:rsidR="00190CBE" w:rsidRPr="00F575E6" w:rsidRDefault="00190CBE" w:rsidP="00190CBE">
            <w:pPr>
              <w:rPr>
                <w:sz w:val="20"/>
                <w:szCs w:val="20"/>
              </w:rPr>
            </w:pPr>
          </w:p>
        </w:tc>
      </w:tr>
      <w:tr w:rsidR="00190CBE" w:rsidRPr="00F575E6" w14:paraId="161FF388"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454EAF12" w14:textId="144776FE"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31</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769F199B" w14:textId="196DF73D"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 xml:space="preserve">Construction de la Ligne 225 kV double terne Diéma-Didiéni-Nara </w:t>
            </w:r>
          </w:p>
        </w:tc>
        <w:tc>
          <w:tcPr>
            <w:tcW w:w="1467" w:type="pct"/>
            <w:vMerge/>
            <w:tcBorders>
              <w:left w:val="single" w:sz="4" w:space="0" w:color="2E74B5"/>
              <w:right w:val="single" w:sz="8" w:space="0" w:color="2F5496" w:themeColor="accent5" w:themeShade="BF"/>
            </w:tcBorders>
            <w:vAlign w:val="center"/>
          </w:tcPr>
          <w:p w14:paraId="50A647DE" w14:textId="77777777" w:rsidR="00190CBE" w:rsidRPr="00F575E6" w:rsidRDefault="00190CBE" w:rsidP="00190CBE">
            <w:pPr>
              <w:rPr>
                <w:sz w:val="20"/>
                <w:szCs w:val="20"/>
              </w:rPr>
            </w:pPr>
          </w:p>
        </w:tc>
      </w:tr>
      <w:tr w:rsidR="00190CBE" w:rsidRPr="00F575E6" w14:paraId="25A3F432"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62CE60C0" w14:textId="42EA899F"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32</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2262965F" w14:textId="7092FBEB"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 xml:space="preserve">Construction de la Ligne 225 kV double terne Douentza - Konna </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Korientzé </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Youwarou - Léré </w:t>
            </w:r>
          </w:p>
        </w:tc>
        <w:tc>
          <w:tcPr>
            <w:tcW w:w="1467" w:type="pct"/>
            <w:vMerge/>
            <w:tcBorders>
              <w:left w:val="single" w:sz="4" w:space="0" w:color="2E74B5"/>
              <w:right w:val="single" w:sz="8" w:space="0" w:color="2F5496" w:themeColor="accent5" w:themeShade="BF"/>
            </w:tcBorders>
            <w:vAlign w:val="center"/>
          </w:tcPr>
          <w:p w14:paraId="3B2F6E36" w14:textId="77777777" w:rsidR="00190CBE" w:rsidRPr="00F575E6" w:rsidRDefault="00190CBE" w:rsidP="00190CBE">
            <w:pPr>
              <w:rPr>
                <w:sz w:val="20"/>
                <w:szCs w:val="20"/>
              </w:rPr>
            </w:pPr>
          </w:p>
        </w:tc>
      </w:tr>
      <w:tr w:rsidR="00190CBE" w:rsidRPr="00F575E6" w14:paraId="55335CF2"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1DDBEF31" w14:textId="52D97F52"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33</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1973FA27" w14:textId="210379A1"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 xml:space="preserve">Construction de la Ligne 225 kV double terne Mopti-Bandiagara - Bankass - Koro </w:t>
            </w:r>
          </w:p>
        </w:tc>
        <w:tc>
          <w:tcPr>
            <w:tcW w:w="1467" w:type="pct"/>
            <w:vMerge/>
            <w:tcBorders>
              <w:left w:val="single" w:sz="4" w:space="0" w:color="2E74B5"/>
              <w:right w:val="single" w:sz="8" w:space="0" w:color="2F5496" w:themeColor="accent5" w:themeShade="BF"/>
            </w:tcBorders>
            <w:vAlign w:val="center"/>
          </w:tcPr>
          <w:p w14:paraId="11506B5C" w14:textId="77777777" w:rsidR="00190CBE" w:rsidRPr="00F575E6" w:rsidRDefault="00190CBE" w:rsidP="00190CBE">
            <w:pPr>
              <w:rPr>
                <w:sz w:val="20"/>
                <w:szCs w:val="20"/>
              </w:rPr>
            </w:pPr>
          </w:p>
        </w:tc>
      </w:tr>
      <w:tr w:rsidR="00190CBE" w:rsidRPr="00F575E6" w14:paraId="35C7A6A3"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2E81966B" w14:textId="119B4229"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34</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3C744CEE" w14:textId="546FDFE8"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 xml:space="preserve">Construction de la Ligne 225 kV double terne Ségou </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Markala </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Niono </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Sokolo </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Nampala </w:t>
            </w:r>
            <w:r w:rsidR="000E6FB3" w:rsidRPr="00F575E6">
              <w:rPr>
                <w:rFonts w:eastAsia="Times New Roman"/>
                <w:color w:val="000000"/>
                <w:sz w:val="20"/>
                <w:szCs w:val="20"/>
                <w:lang w:eastAsia="fr-FR"/>
              </w:rPr>
              <w:t>-</w:t>
            </w:r>
            <w:r w:rsidRPr="00F575E6">
              <w:rPr>
                <w:rFonts w:eastAsia="Times New Roman"/>
                <w:color w:val="000000"/>
                <w:sz w:val="20"/>
                <w:szCs w:val="20"/>
                <w:lang w:eastAsia="fr-FR"/>
              </w:rPr>
              <w:t xml:space="preserve"> Léré - Niafounké </w:t>
            </w:r>
          </w:p>
        </w:tc>
        <w:tc>
          <w:tcPr>
            <w:tcW w:w="1467" w:type="pct"/>
            <w:vMerge/>
            <w:tcBorders>
              <w:left w:val="single" w:sz="4" w:space="0" w:color="2E74B5"/>
              <w:right w:val="single" w:sz="8" w:space="0" w:color="2F5496" w:themeColor="accent5" w:themeShade="BF"/>
            </w:tcBorders>
            <w:vAlign w:val="center"/>
          </w:tcPr>
          <w:p w14:paraId="54B819EE" w14:textId="77777777" w:rsidR="00190CBE" w:rsidRPr="00F575E6" w:rsidRDefault="00190CBE" w:rsidP="00190CBE">
            <w:pPr>
              <w:rPr>
                <w:sz w:val="20"/>
                <w:szCs w:val="20"/>
              </w:rPr>
            </w:pPr>
          </w:p>
        </w:tc>
      </w:tr>
      <w:tr w:rsidR="00190CBE" w:rsidRPr="00F575E6" w14:paraId="7AEC3164"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475099A0" w14:textId="6E0BD386"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35</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7A2263DE" w14:textId="33BF68B6"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 xml:space="preserve">Réalisation de la ligne/ Poste 225 kV Félou-Sandaré-Diéma (avec la bretelle vers Nioro du Sahel) </w:t>
            </w:r>
          </w:p>
        </w:tc>
        <w:tc>
          <w:tcPr>
            <w:tcW w:w="1467" w:type="pct"/>
            <w:vMerge/>
            <w:tcBorders>
              <w:left w:val="single" w:sz="4" w:space="0" w:color="2E74B5"/>
              <w:right w:val="single" w:sz="8" w:space="0" w:color="2F5496" w:themeColor="accent5" w:themeShade="BF"/>
            </w:tcBorders>
            <w:vAlign w:val="center"/>
          </w:tcPr>
          <w:p w14:paraId="145E2633" w14:textId="77777777" w:rsidR="00190CBE" w:rsidRPr="00F575E6" w:rsidRDefault="00190CBE" w:rsidP="00190CBE">
            <w:pPr>
              <w:rPr>
                <w:sz w:val="20"/>
                <w:szCs w:val="20"/>
              </w:rPr>
            </w:pPr>
          </w:p>
        </w:tc>
      </w:tr>
      <w:tr w:rsidR="00190CBE" w:rsidRPr="00F575E6" w14:paraId="23167063"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522FB260" w14:textId="38B74D7A" w:rsidR="00190CBE" w:rsidRPr="00F575E6" w:rsidRDefault="00D70631" w:rsidP="00190CBE">
            <w:pPr>
              <w:jc w:val="center"/>
              <w:rPr>
                <w:b/>
                <w:color w:val="FFFFFF" w:themeColor="background1"/>
                <w:sz w:val="20"/>
                <w:szCs w:val="20"/>
                <w:lang w:eastAsia="en-US"/>
              </w:rPr>
            </w:pPr>
            <w:r w:rsidRPr="00F575E6">
              <w:rPr>
                <w:b/>
                <w:color w:val="FFFFFF" w:themeColor="background1"/>
                <w:sz w:val="20"/>
                <w:szCs w:val="20"/>
                <w:lang w:eastAsia="en-US"/>
              </w:rPr>
              <w:t>36</w:t>
            </w:r>
          </w:p>
        </w:tc>
        <w:tc>
          <w:tcPr>
            <w:tcW w:w="3249" w:type="pct"/>
            <w:tcBorders>
              <w:top w:val="single" w:sz="4" w:space="0" w:color="2E74B5"/>
              <w:left w:val="single" w:sz="8" w:space="0" w:color="2F5496" w:themeColor="accent5" w:themeShade="BF"/>
              <w:bottom w:val="single" w:sz="8" w:space="0" w:color="2F5496" w:themeColor="accent5" w:themeShade="BF"/>
              <w:right w:val="single" w:sz="4" w:space="0" w:color="2E74B5"/>
            </w:tcBorders>
            <w:vAlign w:val="center"/>
          </w:tcPr>
          <w:p w14:paraId="0ADB0031" w14:textId="5120E050" w:rsidR="00190CBE" w:rsidRPr="00F575E6" w:rsidRDefault="00190CBE" w:rsidP="00190CBE">
            <w:pPr>
              <w:jc w:val="both"/>
              <w:rPr>
                <w:rFonts w:eastAsia="Times New Roman"/>
                <w:color w:val="000000"/>
                <w:sz w:val="20"/>
                <w:szCs w:val="20"/>
                <w:lang w:eastAsia="fr-FR"/>
              </w:rPr>
            </w:pPr>
            <w:r w:rsidRPr="00F575E6">
              <w:rPr>
                <w:rFonts w:eastAsia="Times New Roman"/>
                <w:color w:val="000000"/>
                <w:sz w:val="20"/>
                <w:szCs w:val="20"/>
                <w:lang w:eastAsia="fr-FR"/>
              </w:rPr>
              <w:t xml:space="preserve">Réalisation de la boucle minière 225 kV de Kayes (ligne Felou-Diamou-Sadiola-Tabacoto/Loulou-Manantali) </w:t>
            </w:r>
          </w:p>
        </w:tc>
        <w:tc>
          <w:tcPr>
            <w:tcW w:w="1467" w:type="pct"/>
            <w:vMerge/>
            <w:tcBorders>
              <w:left w:val="single" w:sz="4" w:space="0" w:color="2E74B5"/>
              <w:bottom w:val="single" w:sz="8" w:space="0" w:color="2F5496" w:themeColor="accent5" w:themeShade="BF"/>
              <w:right w:val="single" w:sz="8" w:space="0" w:color="2F5496" w:themeColor="accent5" w:themeShade="BF"/>
            </w:tcBorders>
            <w:vAlign w:val="center"/>
          </w:tcPr>
          <w:p w14:paraId="0EA3202F" w14:textId="77777777" w:rsidR="00190CBE" w:rsidRPr="00F575E6" w:rsidRDefault="00190CBE" w:rsidP="00190CBE">
            <w:pPr>
              <w:rPr>
                <w:sz w:val="20"/>
                <w:szCs w:val="20"/>
              </w:rPr>
            </w:pPr>
          </w:p>
        </w:tc>
      </w:tr>
      <w:tr w:rsidR="00443C5A" w:rsidRPr="00F575E6" w14:paraId="7745D6FB"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26693D46" w14:textId="62EAE8CC" w:rsidR="00443C5A"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37</w:t>
            </w:r>
          </w:p>
        </w:tc>
        <w:tc>
          <w:tcPr>
            <w:tcW w:w="3249" w:type="pct"/>
            <w:tcBorders>
              <w:top w:val="single" w:sz="8" w:space="0" w:color="2F5496" w:themeColor="accent5" w:themeShade="BF"/>
              <w:left w:val="single" w:sz="8" w:space="0" w:color="2F5496" w:themeColor="accent5" w:themeShade="BF"/>
              <w:bottom w:val="single" w:sz="4" w:space="0" w:color="2E74B5"/>
              <w:right w:val="single" w:sz="4" w:space="0" w:color="2E74B5"/>
            </w:tcBorders>
            <w:vAlign w:val="center"/>
          </w:tcPr>
          <w:p w14:paraId="2E6078C7" w14:textId="421A1046" w:rsidR="00443C5A" w:rsidRPr="00F575E6" w:rsidRDefault="00443C5A" w:rsidP="00443C5A">
            <w:pPr>
              <w:jc w:val="both"/>
              <w:rPr>
                <w:rFonts w:eastAsia="Times New Roman"/>
                <w:color w:val="000000"/>
                <w:sz w:val="20"/>
                <w:szCs w:val="20"/>
                <w:lang w:eastAsia="fr-FR"/>
              </w:rPr>
            </w:pPr>
            <w:r w:rsidRPr="00F575E6">
              <w:rPr>
                <w:rFonts w:eastAsia="Times New Roman"/>
                <w:color w:val="000000"/>
                <w:sz w:val="20"/>
                <w:szCs w:val="20"/>
                <w:lang w:eastAsia="fr-FR"/>
              </w:rPr>
              <w:t xml:space="preserve">Electrification rurale de 100 pôles de développement économiques (Les études APD &amp; EIES ainsi que le DAO sont disponibles) </w:t>
            </w:r>
          </w:p>
        </w:tc>
        <w:tc>
          <w:tcPr>
            <w:tcW w:w="1467" w:type="pct"/>
            <w:vMerge w:val="restart"/>
            <w:tcBorders>
              <w:top w:val="single" w:sz="8" w:space="0" w:color="2F5496" w:themeColor="accent5" w:themeShade="BF"/>
              <w:left w:val="single" w:sz="4" w:space="0" w:color="2E74B5"/>
              <w:right w:val="single" w:sz="8" w:space="0" w:color="2F5496" w:themeColor="accent5" w:themeShade="BF"/>
            </w:tcBorders>
            <w:vAlign w:val="center"/>
          </w:tcPr>
          <w:p w14:paraId="460635AC" w14:textId="2B2F1F70" w:rsidR="00443C5A" w:rsidRPr="00F575E6" w:rsidRDefault="00443C5A" w:rsidP="00443C5A">
            <w:pPr>
              <w:rPr>
                <w:sz w:val="20"/>
                <w:szCs w:val="20"/>
              </w:rPr>
            </w:pPr>
            <w:r w:rsidRPr="00F575E6">
              <w:rPr>
                <w:color w:val="000000" w:themeColor="text1"/>
                <w:sz w:val="20"/>
                <w:szCs w:val="20"/>
                <w:lang w:eastAsia="en-US"/>
              </w:rPr>
              <w:t xml:space="preserve">Direction nationale de l’énergie </w:t>
            </w:r>
            <w:r w:rsidR="002C0B8B" w:rsidRPr="00F575E6">
              <w:rPr>
                <w:color w:val="000000" w:themeColor="text1"/>
                <w:sz w:val="20"/>
                <w:szCs w:val="20"/>
                <w:lang w:eastAsia="en-US"/>
              </w:rPr>
              <w:t>(</w:t>
            </w:r>
            <w:r w:rsidRPr="00F575E6">
              <w:rPr>
                <w:color w:val="000000" w:themeColor="text1"/>
                <w:sz w:val="20"/>
                <w:szCs w:val="20"/>
                <w:lang w:eastAsia="en-US"/>
              </w:rPr>
              <w:t>DNE</w:t>
            </w:r>
            <w:r w:rsidR="002C0B8B" w:rsidRPr="00F575E6">
              <w:rPr>
                <w:color w:val="000000" w:themeColor="text1"/>
                <w:sz w:val="20"/>
                <w:szCs w:val="20"/>
                <w:lang w:eastAsia="en-US"/>
              </w:rPr>
              <w:t>)</w:t>
            </w:r>
            <w:r w:rsidRPr="00F575E6">
              <w:rPr>
                <w:color w:val="000000" w:themeColor="text1"/>
                <w:sz w:val="20"/>
                <w:szCs w:val="20"/>
                <w:lang w:eastAsia="en-US"/>
              </w:rPr>
              <w:t xml:space="preserve"> / </w:t>
            </w:r>
            <w:r w:rsidR="006D7888" w:rsidRPr="00F575E6">
              <w:rPr>
                <w:color w:val="000000" w:themeColor="text1"/>
                <w:sz w:val="20"/>
                <w:szCs w:val="20"/>
                <w:lang w:eastAsia="en-US"/>
              </w:rPr>
              <w:t>Agence malienne pour le développement de l’énergie domestique et d’électrification rurale</w:t>
            </w:r>
            <w:r w:rsidR="002C0B8B" w:rsidRPr="00F575E6">
              <w:rPr>
                <w:color w:val="000000" w:themeColor="text1"/>
                <w:sz w:val="20"/>
                <w:szCs w:val="20"/>
                <w:lang w:eastAsia="en-US"/>
              </w:rPr>
              <w:t xml:space="preserve"> (AMADER)</w:t>
            </w:r>
          </w:p>
        </w:tc>
      </w:tr>
      <w:tr w:rsidR="00443C5A" w:rsidRPr="00F575E6" w14:paraId="27358F8A"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4D5550AC" w14:textId="1F73D634" w:rsidR="00443C5A"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38</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5D04A921" w14:textId="7CEF3833" w:rsidR="00443C5A" w:rsidRPr="00F575E6" w:rsidRDefault="00443C5A" w:rsidP="00443C5A">
            <w:pPr>
              <w:jc w:val="both"/>
              <w:rPr>
                <w:rFonts w:eastAsia="Times New Roman"/>
                <w:color w:val="000000"/>
                <w:sz w:val="20"/>
                <w:szCs w:val="20"/>
                <w:lang w:eastAsia="fr-FR"/>
              </w:rPr>
            </w:pPr>
            <w:r w:rsidRPr="00F575E6">
              <w:rPr>
                <w:rFonts w:eastAsia="Times New Roman"/>
                <w:color w:val="000000"/>
                <w:sz w:val="20"/>
                <w:szCs w:val="20"/>
                <w:lang w:eastAsia="fr-FR"/>
              </w:rPr>
              <w:t>Production Hybride et Accès Rural à l’Electricité de 33 localités (Etudes APD et DAO disponible)</w:t>
            </w:r>
          </w:p>
        </w:tc>
        <w:tc>
          <w:tcPr>
            <w:tcW w:w="1467" w:type="pct"/>
            <w:vMerge/>
            <w:tcBorders>
              <w:left w:val="single" w:sz="4" w:space="0" w:color="2E74B5"/>
              <w:right w:val="single" w:sz="8" w:space="0" w:color="2F5496" w:themeColor="accent5" w:themeShade="BF"/>
            </w:tcBorders>
            <w:vAlign w:val="center"/>
          </w:tcPr>
          <w:p w14:paraId="16D93E3E" w14:textId="77777777" w:rsidR="00443C5A" w:rsidRPr="00F575E6" w:rsidRDefault="00443C5A" w:rsidP="00443C5A">
            <w:pPr>
              <w:rPr>
                <w:sz w:val="20"/>
                <w:szCs w:val="20"/>
              </w:rPr>
            </w:pPr>
          </w:p>
        </w:tc>
      </w:tr>
      <w:tr w:rsidR="00443C5A" w:rsidRPr="00F575E6" w14:paraId="4316A7F8"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27E2A1AD" w14:textId="61A66E99" w:rsidR="00443C5A"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39</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3C612857" w14:textId="004BF684" w:rsidR="00443C5A" w:rsidRPr="00F575E6" w:rsidRDefault="00443C5A" w:rsidP="00443C5A">
            <w:pPr>
              <w:jc w:val="both"/>
              <w:rPr>
                <w:rFonts w:eastAsia="Times New Roman"/>
                <w:color w:val="000000"/>
                <w:sz w:val="20"/>
                <w:szCs w:val="20"/>
                <w:lang w:eastAsia="fr-FR"/>
              </w:rPr>
            </w:pPr>
            <w:r w:rsidRPr="00F575E6">
              <w:rPr>
                <w:rFonts w:eastAsia="Times New Roman"/>
                <w:color w:val="000000"/>
                <w:sz w:val="20"/>
                <w:szCs w:val="20"/>
                <w:lang w:eastAsia="fr-FR"/>
              </w:rPr>
              <w:t>Production Hybride et Accès Rural à l’Electricité de 27 localités (Etudes de faisabilité disponible)</w:t>
            </w:r>
          </w:p>
        </w:tc>
        <w:tc>
          <w:tcPr>
            <w:tcW w:w="1467" w:type="pct"/>
            <w:vMerge/>
            <w:tcBorders>
              <w:left w:val="single" w:sz="4" w:space="0" w:color="2E74B5"/>
              <w:right w:val="single" w:sz="8" w:space="0" w:color="2F5496" w:themeColor="accent5" w:themeShade="BF"/>
            </w:tcBorders>
            <w:vAlign w:val="center"/>
          </w:tcPr>
          <w:p w14:paraId="765557CF" w14:textId="77777777" w:rsidR="00443C5A" w:rsidRPr="00F575E6" w:rsidRDefault="00443C5A" w:rsidP="00443C5A">
            <w:pPr>
              <w:rPr>
                <w:sz w:val="20"/>
                <w:szCs w:val="20"/>
              </w:rPr>
            </w:pPr>
          </w:p>
        </w:tc>
      </w:tr>
      <w:tr w:rsidR="00443C5A" w:rsidRPr="00F575E6" w14:paraId="062BAC0F"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5736B407" w14:textId="63FBA4BB" w:rsidR="00443C5A"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40</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68A54FB3" w14:textId="7D3CCE56" w:rsidR="00443C5A" w:rsidRPr="00F575E6" w:rsidRDefault="00443C5A" w:rsidP="00443C5A">
            <w:pPr>
              <w:jc w:val="both"/>
              <w:rPr>
                <w:rFonts w:eastAsia="Times New Roman"/>
                <w:color w:val="000000"/>
                <w:sz w:val="20"/>
                <w:szCs w:val="20"/>
                <w:lang w:eastAsia="fr-FR"/>
              </w:rPr>
            </w:pPr>
            <w:r w:rsidRPr="00F575E6">
              <w:rPr>
                <w:rFonts w:eastAsia="Times New Roman"/>
                <w:color w:val="000000"/>
                <w:sz w:val="20"/>
                <w:szCs w:val="20"/>
                <w:lang w:eastAsia="fr-FR"/>
              </w:rPr>
              <w:t>PDM-Hydro : Electrification rurale de 60 localités (Les études et le DAO sont disponibles)</w:t>
            </w:r>
          </w:p>
        </w:tc>
        <w:tc>
          <w:tcPr>
            <w:tcW w:w="1467" w:type="pct"/>
            <w:vMerge/>
            <w:tcBorders>
              <w:left w:val="single" w:sz="4" w:space="0" w:color="2E74B5"/>
              <w:right w:val="single" w:sz="8" w:space="0" w:color="2F5496" w:themeColor="accent5" w:themeShade="BF"/>
            </w:tcBorders>
            <w:vAlign w:val="center"/>
          </w:tcPr>
          <w:p w14:paraId="28EF7A18" w14:textId="77777777" w:rsidR="00443C5A" w:rsidRPr="00F575E6" w:rsidRDefault="00443C5A" w:rsidP="00443C5A">
            <w:pPr>
              <w:rPr>
                <w:sz w:val="20"/>
                <w:szCs w:val="20"/>
              </w:rPr>
            </w:pPr>
          </w:p>
        </w:tc>
      </w:tr>
      <w:tr w:rsidR="00443C5A" w:rsidRPr="00F575E6" w14:paraId="101236C9"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54747DE9" w14:textId="32BED6D2" w:rsidR="00443C5A"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41</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140F31E8" w14:textId="20C4B5C7" w:rsidR="00443C5A" w:rsidRPr="00F575E6" w:rsidRDefault="00443C5A" w:rsidP="00443C5A">
            <w:pPr>
              <w:jc w:val="both"/>
              <w:rPr>
                <w:rFonts w:eastAsia="Times New Roman"/>
                <w:color w:val="000000"/>
                <w:sz w:val="20"/>
                <w:szCs w:val="20"/>
                <w:lang w:eastAsia="fr-FR"/>
              </w:rPr>
            </w:pPr>
            <w:r w:rsidRPr="00F575E6">
              <w:rPr>
                <w:rFonts w:eastAsia="Times New Roman"/>
                <w:color w:val="000000"/>
                <w:sz w:val="20"/>
                <w:szCs w:val="20"/>
                <w:lang w:eastAsia="fr-FR"/>
              </w:rPr>
              <w:t>Electrification de 43 chefs-lieux de cercles et de communes rurales non encore électrifiés (Etude de préfaisabilité disponible)</w:t>
            </w:r>
          </w:p>
        </w:tc>
        <w:tc>
          <w:tcPr>
            <w:tcW w:w="1467" w:type="pct"/>
            <w:vMerge/>
            <w:tcBorders>
              <w:left w:val="single" w:sz="4" w:space="0" w:color="2E74B5"/>
              <w:right w:val="single" w:sz="8" w:space="0" w:color="2F5496" w:themeColor="accent5" w:themeShade="BF"/>
            </w:tcBorders>
            <w:vAlign w:val="center"/>
          </w:tcPr>
          <w:p w14:paraId="25FA5817" w14:textId="77777777" w:rsidR="00443C5A" w:rsidRPr="00F575E6" w:rsidRDefault="00443C5A" w:rsidP="00443C5A">
            <w:pPr>
              <w:rPr>
                <w:sz w:val="20"/>
                <w:szCs w:val="20"/>
              </w:rPr>
            </w:pPr>
          </w:p>
        </w:tc>
      </w:tr>
      <w:tr w:rsidR="00443C5A" w:rsidRPr="00F575E6" w14:paraId="45778278"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25CC7AFD" w14:textId="73F2163E" w:rsidR="00443C5A"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42</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3096F7B4" w14:textId="357E50CF" w:rsidR="00443C5A" w:rsidRPr="00F575E6" w:rsidRDefault="00443C5A" w:rsidP="00443C5A">
            <w:pPr>
              <w:jc w:val="both"/>
              <w:rPr>
                <w:rFonts w:eastAsia="Times New Roman"/>
                <w:color w:val="000000"/>
                <w:sz w:val="20"/>
                <w:szCs w:val="20"/>
                <w:lang w:eastAsia="fr-FR"/>
              </w:rPr>
            </w:pPr>
            <w:r w:rsidRPr="00F575E6">
              <w:rPr>
                <w:rFonts w:eastAsia="Times New Roman"/>
                <w:color w:val="000000"/>
                <w:sz w:val="20"/>
                <w:szCs w:val="20"/>
                <w:lang w:eastAsia="fr-FR"/>
              </w:rPr>
              <w:t>Electrification de 148 chefs-lieux de communes rurales éloignées du réseau interconnecté (Etude de préfaisabilité disponible)</w:t>
            </w:r>
          </w:p>
        </w:tc>
        <w:tc>
          <w:tcPr>
            <w:tcW w:w="1467" w:type="pct"/>
            <w:vMerge/>
            <w:tcBorders>
              <w:left w:val="single" w:sz="4" w:space="0" w:color="2E74B5"/>
              <w:right w:val="single" w:sz="8" w:space="0" w:color="2F5496" w:themeColor="accent5" w:themeShade="BF"/>
            </w:tcBorders>
            <w:vAlign w:val="center"/>
          </w:tcPr>
          <w:p w14:paraId="2AA98C48" w14:textId="77777777" w:rsidR="00443C5A" w:rsidRPr="00F575E6" w:rsidRDefault="00443C5A" w:rsidP="00443C5A">
            <w:pPr>
              <w:rPr>
                <w:sz w:val="20"/>
                <w:szCs w:val="20"/>
              </w:rPr>
            </w:pPr>
          </w:p>
        </w:tc>
      </w:tr>
      <w:tr w:rsidR="00443C5A" w:rsidRPr="00F575E6" w14:paraId="2D7F2A0F"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14D5070B" w14:textId="6F581043" w:rsidR="00443C5A"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43</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4B7BF57B" w14:textId="49EEF3E9" w:rsidR="00443C5A" w:rsidRPr="00F575E6" w:rsidRDefault="00443C5A" w:rsidP="00443C5A">
            <w:pPr>
              <w:jc w:val="both"/>
              <w:rPr>
                <w:rFonts w:eastAsia="Times New Roman"/>
                <w:color w:val="000000"/>
                <w:sz w:val="20"/>
                <w:szCs w:val="20"/>
                <w:lang w:eastAsia="fr-FR"/>
              </w:rPr>
            </w:pPr>
            <w:r w:rsidRPr="00F575E6">
              <w:rPr>
                <w:rFonts w:eastAsia="Times New Roman"/>
                <w:color w:val="000000"/>
                <w:sz w:val="20"/>
                <w:szCs w:val="20"/>
                <w:lang w:eastAsia="fr-FR"/>
              </w:rPr>
              <w:t>Electrification par systèmes solaires autonome de 575 localités</w:t>
            </w:r>
          </w:p>
        </w:tc>
        <w:tc>
          <w:tcPr>
            <w:tcW w:w="1467" w:type="pct"/>
            <w:vMerge/>
            <w:tcBorders>
              <w:left w:val="single" w:sz="4" w:space="0" w:color="2E74B5"/>
              <w:right w:val="single" w:sz="8" w:space="0" w:color="2F5496" w:themeColor="accent5" w:themeShade="BF"/>
            </w:tcBorders>
            <w:vAlign w:val="center"/>
          </w:tcPr>
          <w:p w14:paraId="6D854A45" w14:textId="77777777" w:rsidR="00443C5A" w:rsidRPr="00F575E6" w:rsidRDefault="00443C5A" w:rsidP="00443C5A">
            <w:pPr>
              <w:rPr>
                <w:sz w:val="20"/>
                <w:szCs w:val="20"/>
              </w:rPr>
            </w:pPr>
          </w:p>
        </w:tc>
      </w:tr>
      <w:tr w:rsidR="00443C5A" w:rsidRPr="00F575E6" w14:paraId="76D22220"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027D57FF" w14:textId="3BEE4F51" w:rsidR="00443C5A"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44</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1DA57D3F" w14:textId="0FD6D9E2" w:rsidR="00443C5A" w:rsidRPr="00F575E6" w:rsidRDefault="00443C5A" w:rsidP="00443C5A">
            <w:pPr>
              <w:jc w:val="both"/>
              <w:rPr>
                <w:rFonts w:eastAsia="Times New Roman"/>
                <w:color w:val="000000"/>
                <w:sz w:val="20"/>
                <w:szCs w:val="20"/>
                <w:lang w:eastAsia="fr-FR"/>
              </w:rPr>
            </w:pPr>
            <w:r w:rsidRPr="00F575E6">
              <w:rPr>
                <w:rFonts w:eastAsia="Times New Roman"/>
                <w:color w:val="000000"/>
                <w:sz w:val="20"/>
                <w:szCs w:val="20"/>
                <w:lang w:eastAsia="fr-FR"/>
              </w:rPr>
              <w:t xml:space="preserve">Projet d'appui à la promotion et </w:t>
            </w:r>
            <w:r w:rsidR="003A3FF8" w:rsidRPr="00F575E6">
              <w:rPr>
                <w:rFonts w:eastAsia="Times New Roman"/>
                <w:color w:val="000000"/>
                <w:sz w:val="20"/>
                <w:szCs w:val="20"/>
                <w:lang w:eastAsia="fr-FR"/>
              </w:rPr>
              <w:t>diffusion des</w:t>
            </w:r>
            <w:r w:rsidRPr="00F575E6">
              <w:rPr>
                <w:rFonts w:eastAsia="Times New Roman"/>
                <w:color w:val="000000"/>
                <w:sz w:val="20"/>
                <w:szCs w:val="20"/>
                <w:lang w:eastAsia="fr-FR"/>
              </w:rPr>
              <w:t xml:space="preserve"> équipements de cuisson propre</w:t>
            </w:r>
          </w:p>
        </w:tc>
        <w:tc>
          <w:tcPr>
            <w:tcW w:w="1467" w:type="pct"/>
            <w:vMerge/>
            <w:tcBorders>
              <w:left w:val="single" w:sz="4" w:space="0" w:color="2E74B5"/>
              <w:right w:val="single" w:sz="8" w:space="0" w:color="2F5496" w:themeColor="accent5" w:themeShade="BF"/>
            </w:tcBorders>
            <w:vAlign w:val="center"/>
          </w:tcPr>
          <w:p w14:paraId="70C2A8C9" w14:textId="77777777" w:rsidR="00443C5A" w:rsidRPr="00F575E6" w:rsidRDefault="00443C5A" w:rsidP="00443C5A">
            <w:pPr>
              <w:rPr>
                <w:sz w:val="20"/>
                <w:szCs w:val="20"/>
              </w:rPr>
            </w:pPr>
          </w:p>
        </w:tc>
      </w:tr>
      <w:tr w:rsidR="00443C5A" w:rsidRPr="00F575E6" w14:paraId="3A2AA81B"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7674103F" w14:textId="19670406" w:rsidR="00443C5A"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45</w:t>
            </w:r>
          </w:p>
        </w:tc>
        <w:tc>
          <w:tcPr>
            <w:tcW w:w="3249" w:type="pct"/>
            <w:tcBorders>
              <w:top w:val="single" w:sz="4" w:space="0" w:color="2E74B5"/>
              <w:left w:val="single" w:sz="8" w:space="0" w:color="2F5496" w:themeColor="accent5" w:themeShade="BF"/>
              <w:bottom w:val="single" w:sz="4" w:space="0" w:color="2E74B5"/>
              <w:right w:val="single" w:sz="4" w:space="0" w:color="2E74B5"/>
            </w:tcBorders>
            <w:vAlign w:val="center"/>
          </w:tcPr>
          <w:p w14:paraId="5DA02D02" w14:textId="533F809E" w:rsidR="00443C5A" w:rsidRPr="00F575E6" w:rsidRDefault="00443C5A" w:rsidP="00443C5A">
            <w:pPr>
              <w:jc w:val="both"/>
              <w:rPr>
                <w:rFonts w:eastAsia="Times New Roman"/>
                <w:color w:val="000000"/>
                <w:sz w:val="20"/>
                <w:szCs w:val="20"/>
                <w:lang w:eastAsia="fr-FR"/>
              </w:rPr>
            </w:pPr>
            <w:r w:rsidRPr="00F575E6">
              <w:rPr>
                <w:rFonts w:eastAsia="Times New Roman"/>
                <w:color w:val="000000"/>
                <w:sz w:val="20"/>
                <w:szCs w:val="20"/>
                <w:lang w:eastAsia="fr-FR"/>
              </w:rPr>
              <w:t>Electrification par solutions d’énergie distribuée (68 248 kits domestiques et 4 881 kits non-domestiques)</w:t>
            </w:r>
          </w:p>
        </w:tc>
        <w:tc>
          <w:tcPr>
            <w:tcW w:w="1467" w:type="pct"/>
            <w:vMerge/>
            <w:tcBorders>
              <w:left w:val="single" w:sz="4" w:space="0" w:color="2E74B5"/>
              <w:right w:val="single" w:sz="8" w:space="0" w:color="2F5496" w:themeColor="accent5" w:themeShade="BF"/>
            </w:tcBorders>
            <w:vAlign w:val="center"/>
          </w:tcPr>
          <w:p w14:paraId="64EB83C2" w14:textId="77777777" w:rsidR="00443C5A" w:rsidRPr="00F575E6" w:rsidRDefault="00443C5A" w:rsidP="00443C5A">
            <w:pPr>
              <w:rPr>
                <w:sz w:val="20"/>
                <w:szCs w:val="20"/>
              </w:rPr>
            </w:pPr>
          </w:p>
        </w:tc>
      </w:tr>
      <w:tr w:rsidR="00443C5A" w:rsidRPr="00F575E6" w14:paraId="18FC2D15"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117FEC9A" w14:textId="7001936F" w:rsidR="00443C5A"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lastRenderedPageBreak/>
              <w:t>46</w:t>
            </w:r>
          </w:p>
        </w:tc>
        <w:tc>
          <w:tcPr>
            <w:tcW w:w="3249" w:type="pct"/>
            <w:tcBorders>
              <w:top w:val="single" w:sz="4" w:space="0" w:color="2E74B5"/>
              <w:left w:val="single" w:sz="8" w:space="0" w:color="2F5496" w:themeColor="accent5" w:themeShade="BF"/>
              <w:bottom w:val="single" w:sz="8" w:space="0" w:color="2F5496" w:themeColor="accent5" w:themeShade="BF"/>
              <w:right w:val="single" w:sz="4" w:space="0" w:color="2E74B5"/>
            </w:tcBorders>
            <w:vAlign w:val="center"/>
          </w:tcPr>
          <w:p w14:paraId="73A48CC9" w14:textId="46361420" w:rsidR="00443C5A" w:rsidRPr="00F575E6" w:rsidRDefault="00443C5A" w:rsidP="00443C5A">
            <w:pPr>
              <w:jc w:val="both"/>
              <w:rPr>
                <w:rFonts w:eastAsia="Times New Roman"/>
                <w:color w:val="000000"/>
                <w:sz w:val="20"/>
                <w:szCs w:val="20"/>
                <w:lang w:eastAsia="fr-FR"/>
              </w:rPr>
            </w:pPr>
            <w:r w:rsidRPr="00F575E6">
              <w:rPr>
                <w:rFonts w:eastAsia="Times New Roman"/>
                <w:color w:val="000000"/>
                <w:sz w:val="20"/>
                <w:szCs w:val="20"/>
                <w:lang w:eastAsia="fr-FR"/>
              </w:rPr>
              <w:t>Projet d’Energie Renouvelable pour l’Epanouissement de la Femme Rurale (PEREFeR)</w:t>
            </w:r>
          </w:p>
        </w:tc>
        <w:tc>
          <w:tcPr>
            <w:tcW w:w="1467" w:type="pct"/>
            <w:vMerge/>
            <w:tcBorders>
              <w:left w:val="single" w:sz="4" w:space="0" w:color="2E74B5"/>
              <w:bottom w:val="single" w:sz="8" w:space="0" w:color="2F5496" w:themeColor="accent5" w:themeShade="BF"/>
              <w:right w:val="single" w:sz="8" w:space="0" w:color="2F5496" w:themeColor="accent5" w:themeShade="BF"/>
            </w:tcBorders>
            <w:vAlign w:val="center"/>
          </w:tcPr>
          <w:p w14:paraId="0AB9E7BE" w14:textId="77777777" w:rsidR="00443C5A" w:rsidRPr="00F575E6" w:rsidRDefault="00443C5A" w:rsidP="00443C5A">
            <w:pPr>
              <w:rPr>
                <w:sz w:val="20"/>
                <w:szCs w:val="20"/>
              </w:rPr>
            </w:pPr>
          </w:p>
        </w:tc>
      </w:tr>
      <w:tr w:rsidR="00443C5A" w:rsidRPr="00F575E6" w14:paraId="6C6C11B2" w14:textId="77777777" w:rsidTr="003A3FF8">
        <w:trPr>
          <w:trHeight w:val="397"/>
        </w:trPr>
        <w:tc>
          <w:tcPr>
            <w:tcW w:w="284" w:type="pct"/>
            <w:tcBorders>
              <w:right w:val="single" w:sz="8" w:space="0" w:color="2F5496" w:themeColor="accent5" w:themeShade="BF"/>
            </w:tcBorders>
            <w:shd w:val="clear" w:color="auto" w:fill="1F4E79" w:themeFill="accent1" w:themeFillShade="80"/>
            <w:vAlign w:val="center"/>
          </w:tcPr>
          <w:p w14:paraId="0C0AFB90" w14:textId="1F8116BA" w:rsidR="00443C5A"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47</w:t>
            </w:r>
          </w:p>
        </w:tc>
        <w:tc>
          <w:tcPr>
            <w:tcW w:w="3249" w:type="pct"/>
            <w:tcBorders>
              <w:top w:val="single" w:sz="8" w:space="0" w:color="2F5496" w:themeColor="accent5" w:themeShade="BF"/>
              <w:left w:val="single" w:sz="8" w:space="0" w:color="2F5496" w:themeColor="accent5" w:themeShade="BF"/>
              <w:bottom w:val="single" w:sz="8" w:space="0" w:color="2F5496" w:themeColor="accent5" w:themeShade="BF"/>
            </w:tcBorders>
            <w:vAlign w:val="center"/>
          </w:tcPr>
          <w:p w14:paraId="1C61803B" w14:textId="7A8441B2" w:rsidR="00443C5A" w:rsidRPr="00F575E6" w:rsidRDefault="00FD6E99" w:rsidP="00443C5A">
            <w:pPr>
              <w:rPr>
                <w:color w:val="000000" w:themeColor="text1"/>
                <w:sz w:val="20"/>
                <w:szCs w:val="20"/>
                <w:lang w:eastAsia="en-US"/>
              </w:rPr>
            </w:pPr>
            <w:r w:rsidRPr="00F575E6">
              <w:rPr>
                <w:color w:val="000000" w:themeColor="text1"/>
                <w:sz w:val="20"/>
                <w:szCs w:val="20"/>
                <w:lang w:eastAsia="en-US"/>
              </w:rPr>
              <w:t>Projet de Développement de la Bioénergie et Changements Climatiques.</w:t>
            </w:r>
          </w:p>
        </w:tc>
        <w:tc>
          <w:tcPr>
            <w:tcW w:w="1467" w:type="pct"/>
            <w:tcBorders>
              <w:top w:val="single" w:sz="8" w:space="0" w:color="2F5496" w:themeColor="accent5" w:themeShade="BF"/>
              <w:bottom w:val="single" w:sz="8" w:space="0" w:color="2F5496" w:themeColor="accent5" w:themeShade="BF"/>
              <w:right w:val="single" w:sz="8" w:space="0" w:color="2F5496" w:themeColor="accent5" w:themeShade="BF"/>
            </w:tcBorders>
            <w:vAlign w:val="center"/>
          </w:tcPr>
          <w:p w14:paraId="638124C2" w14:textId="64E3F5ED" w:rsidR="00443C5A" w:rsidRPr="00F575E6" w:rsidRDefault="0034004F" w:rsidP="00443C5A">
            <w:pPr>
              <w:rPr>
                <w:sz w:val="20"/>
                <w:szCs w:val="20"/>
              </w:rPr>
            </w:pPr>
            <w:r w:rsidRPr="00F575E6">
              <w:rPr>
                <w:sz w:val="20"/>
                <w:szCs w:val="20"/>
              </w:rPr>
              <w:t>Agence Nationale des Energies Renouvelables et des Bioénergies (ANERB)</w:t>
            </w:r>
          </w:p>
        </w:tc>
      </w:tr>
      <w:tr w:rsidR="003A3FF8" w:rsidRPr="00F575E6" w14:paraId="0428F8F7" w14:textId="77777777" w:rsidTr="003A3FF8">
        <w:tc>
          <w:tcPr>
            <w:tcW w:w="284" w:type="pct"/>
            <w:tcBorders>
              <w:right w:val="single" w:sz="8" w:space="0" w:color="2F5496" w:themeColor="accent5" w:themeShade="BF"/>
            </w:tcBorders>
            <w:shd w:val="clear" w:color="auto" w:fill="1F4E79" w:themeFill="accent1" w:themeFillShade="80"/>
            <w:vAlign w:val="center"/>
          </w:tcPr>
          <w:p w14:paraId="688B65D0" w14:textId="7E7F2FCA" w:rsidR="003A3FF8"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48</w:t>
            </w:r>
          </w:p>
        </w:tc>
        <w:tc>
          <w:tcPr>
            <w:tcW w:w="3249" w:type="pct"/>
            <w:tcBorders>
              <w:top w:val="single" w:sz="8" w:space="0" w:color="2F5496" w:themeColor="accent5" w:themeShade="BF"/>
              <w:left w:val="single" w:sz="8" w:space="0" w:color="2F5496" w:themeColor="accent5" w:themeShade="BF"/>
            </w:tcBorders>
            <w:vAlign w:val="center"/>
          </w:tcPr>
          <w:p w14:paraId="46CDCE01" w14:textId="77777777" w:rsidR="003A3FF8" w:rsidRPr="00F575E6" w:rsidRDefault="003A3FF8" w:rsidP="00443C5A">
            <w:pPr>
              <w:rPr>
                <w:sz w:val="20"/>
                <w:szCs w:val="20"/>
                <w:lang w:eastAsia="en-US"/>
              </w:rPr>
            </w:pPr>
            <w:r w:rsidRPr="00F575E6">
              <w:rPr>
                <w:sz w:val="20"/>
                <w:szCs w:val="20"/>
                <w:lang w:eastAsia="en-US"/>
              </w:rPr>
              <w:t>Production Hybride et Accès Rural à l'Électricité de 33 localités</w:t>
            </w:r>
          </w:p>
        </w:tc>
        <w:tc>
          <w:tcPr>
            <w:tcW w:w="1467" w:type="pct"/>
            <w:vMerge w:val="restart"/>
            <w:tcBorders>
              <w:top w:val="single" w:sz="8" w:space="0" w:color="2F5496" w:themeColor="accent5" w:themeShade="BF"/>
              <w:right w:val="single" w:sz="8" w:space="0" w:color="2F5496" w:themeColor="accent5" w:themeShade="BF"/>
            </w:tcBorders>
            <w:vAlign w:val="center"/>
          </w:tcPr>
          <w:p w14:paraId="3297C9E4" w14:textId="3F64C503" w:rsidR="003A3FF8" w:rsidRPr="00F575E6" w:rsidRDefault="003A3FF8" w:rsidP="003A3FF8">
            <w:pPr>
              <w:rPr>
                <w:sz w:val="20"/>
                <w:szCs w:val="20"/>
                <w:lang w:eastAsia="en-US"/>
              </w:rPr>
            </w:pPr>
            <w:r w:rsidRPr="00F575E6">
              <w:rPr>
                <w:sz w:val="20"/>
                <w:szCs w:val="20"/>
                <w:lang w:eastAsia="en-US"/>
              </w:rPr>
              <w:t>AMADER</w:t>
            </w:r>
          </w:p>
        </w:tc>
      </w:tr>
      <w:tr w:rsidR="003A3FF8" w:rsidRPr="00F575E6" w14:paraId="08555373" w14:textId="77777777" w:rsidTr="003A3FF8">
        <w:tc>
          <w:tcPr>
            <w:tcW w:w="284" w:type="pct"/>
            <w:tcBorders>
              <w:right w:val="single" w:sz="8" w:space="0" w:color="2F5496" w:themeColor="accent5" w:themeShade="BF"/>
            </w:tcBorders>
            <w:shd w:val="clear" w:color="auto" w:fill="1F4E79" w:themeFill="accent1" w:themeFillShade="80"/>
            <w:vAlign w:val="center"/>
          </w:tcPr>
          <w:p w14:paraId="32E3CAA3" w14:textId="70FF9365" w:rsidR="003A3FF8"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49</w:t>
            </w:r>
          </w:p>
        </w:tc>
        <w:tc>
          <w:tcPr>
            <w:tcW w:w="3249" w:type="pct"/>
            <w:tcBorders>
              <w:left w:val="single" w:sz="8" w:space="0" w:color="2F5496" w:themeColor="accent5" w:themeShade="BF"/>
            </w:tcBorders>
            <w:vAlign w:val="center"/>
          </w:tcPr>
          <w:p w14:paraId="67E19DD0" w14:textId="77777777" w:rsidR="003A3FF8" w:rsidRPr="00F575E6" w:rsidRDefault="003A3FF8" w:rsidP="00443C5A">
            <w:pPr>
              <w:rPr>
                <w:sz w:val="20"/>
                <w:szCs w:val="20"/>
                <w:lang w:eastAsia="en-US"/>
              </w:rPr>
            </w:pPr>
            <w:r w:rsidRPr="00F575E6">
              <w:rPr>
                <w:sz w:val="20"/>
                <w:szCs w:val="20"/>
                <w:lang w:eastAsia="en-US"/>
              </w:rPr>
              <w:t>Réalisation des études et des mini centrales solaires au Mali</w:t>
            </w:r>
          </w:p>
        </w:tc>
        <w:tc>
          <w:tcPr>
            <w:tcW w:w="1467" w:type="pct"/>
            <w:vMerge/>
            <w:tcBorders>
              <w:right w:val="single" w:sz="8" w:space="0" w:color="2F5496" w:themeColor="accent5" w:themeShade="BF"/>
            </w:tcBorders>
            <w:vAlign w:val="center"/>
          </w:tcPr>
          <w:p w14:paraId="4B048B00" w14:textId="38613F4D" w:rsidR="003A3FF8" w:rsidRPr="00F575E6" w:rsidRDefault="003A3FF8" w:rsidP="00443C5A">
            <w:pPr>
              <w:rPr>
                <w:sz w:val="20"/>
                <w:szCs w:val="20"/>
                <w:lang w:eastAsia="en-US"/>
              </w:rPr>
            </w:pPr>
          </w:p>
        </w:tc>
      </w:tr>
      <w:tr w:rsidR="003A3FF8" w:rsidRPr="00F575E6" w14:paraId="404B6A32" w14:textId="77777777" w:rsidTr="003A3FF8">
        <w:tc>
          <w:tcPr>
            <w:tcW w:w="284" w:type="pct"/>
            <w:tcBorders>
              <w:right w:val="single" w:sz="8" w:space="0" w:color="2F5496" w:themeColor="accent5" w:themeShade="BF"/>
            </w:tcBorders>
            <w:shd w:val="clear" w:color="auto" w:fill="1F4E79" w:themeFill="accent1" w:themeFillShade="80"/>
            <w:vAlign w:val="center"/>
          </w:tcPr>
          <w:p w14:paraId="4C6F0B17" w14:textId="17C68D6B" w:rsidR="003A3FF8" w:rsidRPr="00F575E6" w:rsidRDefault="003A3FF8" w:rsidP="00443C5A">
            <w:pPr>
              <w:jc w:val="center"/>
              <w:rPr>
                <w:b/>
                <w:color w:val="FFFFFF" w:themeColor="background1"/>
                <w:sz w:val="20"/>
                <w:szCs w:val="20"/>
                <w:lang w:eastAsia="en-US"/>
              </w:rPr>
            </w:pPr>
            <w:r w:rsidRPr="00F575E6">
              <w:rPr>
                <w:b/>
                <w:color w:val="FFFFFF" w:themeColor="background1"/>
                <w:sz w:val="20"/>
                <w:szCs w:val="20"/>
                <w:lang w:eastAsia="en-US"/>
              </w:rPr>
              <w:t>5</w:t>
            </w:r>
            <w:r w:rsidR="00D70631" w:rsidRPr="00F575E6">
              <w:rPr>
                <w:b/>
                <w:color w:val="FFFFFF" w:themeColor="background1"/>
                <w:sz w:val="20"/>
                <w:szCs w:val="20"/>
                <w:lang w:eastAsia="en-US"/>
              </w:rPr>
              <w:t>0</w:t>
            </w:r>
          </w:p>
        </w:tc>
        <w:tc>
          <w:tcPr>
            <w:tcW w:w="3249" w:type="pct"/>
            <w:tcBorders>
              <w:left w:val="single" w:sz="8" w:space="0" w:color="2F5496" w:themeColor="accent5" w:themeShade="BF"/>
            </w:tcBorders>
            <w:vAlign w:val="center"/>
          </w:tcPr>
          <w:p w14:paraId="5B09408E" w14:textId="77777777" w:rsidR="003A3FF8" w:rsidRPr="00F575E6" w:rsidRDefault="003A3FF8" w:rsidP="00443C5A">
            <w:pPr>
              <w:rPr>
                <w:sz w:val="20"/>
                <w:szCs w:val="20"/>
                <w:lang w:eastAsia="en-US"/>
              </w:rPr>
            </w:pPr>
            <w:r w:rsidRPr="00F575E6">
              <w:rPr>
                <w:sz w:val="20"/>
                <w:szCs w:val="20"/>
              </w:rPr>
              <w:t>Électrification rurale de 100 pôles de développement économiques</w:t>
            </w:r>
          </w:p>
        </w:tc>
        <w:tc>
          <w:tcPr>
            <w:tcW w:w="1467" w:type="pct"/>
            <w:vMerge/>
            <w:tcBorders>
              <w:right w:val="single" w:sz="8" w:space="0" w:color="2F5496" w:themeColor="accent5" w:themeShade="BF"/>
            </w:tcBorders>
            <w:vAlign w:val="center"/>
          </w:tcPr>
          <w:p w14:paraId="1D722D95" w14:textId="55DFC9F3" w:rsidR="003A3FF8" w:rsidRPr="00F575E6" w:rsidRDefault="003A3FF8" w:rsidP="00443C5A">
            <w:pPr>
              <w:rPr>
                <w:sz w:val="20"/>
                <w:szCs w:val="20"/>
                <w:lang w:eastAsia="en-US"/>
              </w:rPr>
            </w:pPr>
          </w:p>
        </w:tc>
      </w:tr>
      <w:tr w:rsidR="003A3FF8" w:rsidRPr="00F575E6" w14:paraId="004E13FA" w14:textId="77777777" w:rsidTr="003A3FF8">
        <w:tc>
          <w:tcPr>
            <w:tcW w:w="284" w:type="pct"/>
            <w:tcBorders>
              <w:right w:val="single" w:sz="8" w:space="0" w:color="2F5496" w:themeColor="accent5" w:themeShade="BF"/>
            </w:tcBorders>
            <w:shd w:val="clear" w:color="auto" w:fill="1F4E79" w:themeFill="accent1" w:themeFillShade="80"/>
            <w:vAlign w:val="center"/>
          </w:tcPr>
          <w:p w14:paraId="2835DB6E" w14:textId="44176262" w:rsidR="003A3FF8"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51</w:t>
            </w:r>
          </w:p>
        </w:tc>
        <w:tc>
          <w:tcPr>
            <w:tcW w:w="3249" w:type="pct"/>
            <w:tcBorders>
              <w:left w:val="single" w:sz="8" w:space="0" w:color="2F5496" w:themeColor="accent5" w:themeShade="BF"/>
            </w:tcBorders>
            <w:vAlign w:val="center"/>
          </w:tcPr>
          <w:p w14:paraId="352FC794" w14:textId="77777777" w:rsidR="003A3FF8" w:rsidRPr="00F575E6" w:rsidRDefault="003A3FF8" w:rsidP="00443C5A">
            <w:pPr>
              <w:rPr>
                <w:sz w:val="20"/>
                <w:szCs w:val="20"/>
                <w:lang w:eastAsia="en-US"/>
              </w:rPr>
            </w:pPr>
            <w:r w:rsidRPr="00F575E6">
              <w:rPr>
                <w:sz w:val="20"/>
                <w:szCs w:val="20"/>
              </w:rPr>
              <w:t>Projet électrification 32 localités rurales par système hybride (PERSHY32)</w:t>
            </w:r>
          </w:p>
        </w:tc>
        <w:tc>
          <w:tcPr>
            <w:tcW w:w="1467" w:type="pct"/>
            <w:vMerge/>
            <w:tcBorders>
              <w:right w:val="single" w:sz="8" w:space="0" w:color="2F5496" w:themeColor="accent5" w:themeShade="BF"/>
            </w:tcBorders>
            <w:vAlign w:val="center"/>
          </w:tcPr>
          <w:p w14:paraId="0B45655B" w14:textId="6097A3CC" w:rsidR="003A3FF8" w:rsidRPr="00F575E6" w:rsidRDefault="003A3FF8" w:rsidP="00443C5A">
            <w:pPr>
              <w:rPr>
                <w:sz w:val="20"/>
                <w:szCs w:val="20"/>
                <w:lang w:eastAsia="en-US"/>
              </w:rPr>
            </w:pPr>
          </w:p>
        </w:tc>
      </w:tr>
      <w:tr w:rsidR="003A3FF8" w:rsidRPr="00F575E6" w14:paraId="514B0FCD" w14:textId="77777777" w:rsidTr="003A3FF8">
        <w:tc>
          <w:tcPr>
            <w:tcW w:w="284" w:type="pct"/>
            <w:tcBorders>
              <w:right w:val="single" w:sz="8" w:space="0" w:color="2F5496" w:themeColor="accent5" w:themeShade="BF"/>
            </w:tcBorders>
            <w:shd w:val="clear" w:color="auto" w:fill="1F4E79" w:themeFill="accent1" w:themeFillShade="80"/>
            <w:vAlign w:val="center"/>
          </w:tcPr>
          <w:p w14:paraId="4E610EF9" w14:textId="210B3FCA" w:rsidR="003A3FF8"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52</w:t>
            </w:r>
          </w:p>
        </w:tc>
        <w:tc>
          <w:tcPr>
            <w:tcW w:w="3249" w:type="pct"/>
            <w:tcBorders>
              <w:left w:val="single" w:sz="8" w:space="0" w:color="2F5496" w:themeColor="accent5" w:themeShade="BF"/>
            </w:tcBorders>
            <w:vAlign w:val="center"/>
          </w:tcPr>
          <w:p w14:paraId="7C88464A" w14:textId="77777777" w:rsidR="003A3FF8" w:rsidRPr="00F575E6" w:rsidRDefault="003A3FF8" w:rsidP="00443C5A">
            <w:pPr>
              <w:rPr>
                <w:sz w:val="20"/>
                <w:szCs w:val="20"/>
                <w:lang w:eastAsia="en-US"/>
              </w:rPr>
            </w:pPr>
            <w:r w:rsidRPr="00F575E6">
              <w:rPr>
                <w:sz w:val="20"/>
                <w:szCs w:val="20"/>
              </w:rPr>
              <w:t>Production Hybride et Accès Rural à l'Électricité de 27 localités</w:t>
            </w:r>
          </w:p>
        </w:tc>
        <w:tc>
          <w:tcPr>
            <w:tcW w:w="1467" w:type="pct"/>
            <w:vMerge/>
            <w:tcBorders>
              <w:right w:val="single" w:sz="8" w:space="0" w:color="2F5496" w:themeColor="accent5" w:themeShade="BF"/>
            </w:tcBorders>
            <w:vAlign w:val="center"/>
          </w:tcPr>
          <w:p w14:paraId="558E5B22" w14:textId="3EFBAF26" w:rsidR="003A3FF8" w:rsidRPr="00F575E6" w:rsidRDefault="003A3FF8" w:rsidP="00443C5A">
            <w:pPr>
              <w:rPr>
                <w:sz w:val="20"/>
                <w:szCs w:val="20"/>
                <w:lang w:eastAsia="en-US"/>
              </w:rPr>
            </w:pPr>
          </w:p>
        </w:tc>
      </w:tr>
      <w:tr w:rsidR="003A3FF8" w:rsidRPr="00F575E6" w14:paraId="3F03E6E5" w14:textId="77777777" w:rsidTr="003A3FF8">
        <w:tc>
          <w:tcPr>
            <w:tcW w:w="284" w:type="pct"/>
            <w:tcBorders>
              <w:right w:val="single" w:sz="8" w:space="0" w:color="2F5496" w:themeColor="accent5" w:themeShade="BF"/>
            </w:tcBorders>
            <w:shd w:val="clear" w:color="auto" w:fill="1F4E79" w:themeFill="accent1" w:themeFillShade="80"/>
            <w:vAlign w:val="center"/>
          </w:tcPr>
          <w:p w14:paraId="47AA0D41" w14:textId="74ECE918" w:rsidR="003A3FF8"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53</w:t>
            </w:r>
          </w:p>
        </w:tc>
        <w:tc>
          <w:tcPr>
            <w:tcW w:w="3249" w:type="pct"/>
            <w:tcBorders>
              <w:left w:val="single" w:sz="8" w:space="0" w:color="2F5496" w:themeColor="accent5" w:themeShade="BF"/>
            </w:tcBorders>
            <w:vAlign w:val="center"/>
          </w:tcPr>
          <w:p w14:paraId="61CB5206" w14:textId="77777777" w:rsidR="003A3FF8" w:rsidRPr="00F575E6" w:rsidRDefault="003A3FF8" w:rsidP="00443C5A">
            <w:pPr>
              <w:rPr>
                <w:sz w:val="20"/>
                <w:szCs w:val="20"/>
                <w:lang w:eastAsia="en-US"/>
              </w:rPr>
            </w:pPr>
            <w:r w:rsidRPr="00F575E6">
              <w:rPr>
                <w:sz w:val="20"/>
                <w:szCs w:val="20"/>
              </w:rPr>
              <w:t>PDM-Hydro : Électrification rurale de 60 localités</w:t>
            </w:r>
          </w:p>
        </w:tc>
        <w:tc>
          <w:tcPr>
            <w:tcW w:w="1467" w:type="pct"/>
            <w:vMerge/>
            <w:tcBorders>
              <w:right w:val="single" w:sz="8" w:space="0" w:color="2F5496" w:themeColor="accent5" w:themeShade="BF"/>
            </w:tcBorders>
            <w:vAlign w:val="center"/>
          </w:tcPr>
          <w:p w14:paraId="48E61D6E" w14:textId="3FBFDBE0" w:rsidR="003A3FF8" w:rsidRPr="00F575E6" w:rsidRDefault="003A3FF8" w:rsidP="00443C5A">
            <w:pPr>
              <w:rPr>
                <w:sz w:val="20"/>
                <w:szCs w:val="20"/>
                <w:lang w:eastAsia="en-US"/>
              </w:rPr>
            </w:pPr>
          </w:p>
        </w:tc>
      </w:tr>
      <w:tr w:rsidR="003A3FF8" w:rsidRPr="00F575E6" w14:paraId="62ECCD84" w14:textId="77777777" w:rsidTr="003A3FF8">
        <w:tc>
          <w:tcPr>
            <w:tcW w:w="284" w:type="pct"/>
            <w:tcBorders>
              <w:right w:val="single" w:sz="8" w:space="0" w:color="2F5496" w:themeColor="accent5" w:themeShade="BF"/>
            </w:tcBorders>
            <w:shd w:val="clear" w:color="auto" w:fill="1F4E79" w:themeFill="accent1" w:themeFillShade="80"/>
            <w:vAlign w:val="center"/>
          </w:tcPr>
          <w:p w14:paraId="13BDA22E" w14:textId="024EF7EC" w:rsidR="003A3FF8"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54</w:t>
            </w:r>
          </w:p>
        </w:tc>
        <w:tc>
          <w:tcPr>
            <w:tcW w:w="3249" w:type="pct"/>
            <w:tcBorders>
              <w:left w:val="single" w:sz="8" w:space="0" w:color="2F5496" w:themeColor="accent5" w:themeShade="BF"/>
            </w:tcBorders>
            <w:vAlign w:val="center"/>
          </w:tcPr>
          <w:p w14:paraId="6D038105" w14:textId="77777777" w:rsidR="003A3FF8" w:rsidRPr="00F575E6" w:rsidRDefault="003A3FF8" w:rsidP="00443C5A">
            <w:pPr>
              <w:rPr>
                <w:sz w:val="20"/>
                <w:szCs w:val="20"/>
                <w:lang w:eastAsia="en-US"/>
              </w:rPr>
            </w:pPr>
            <w:r w:rsidRPr="00F575E6">
              <w:rPr>
                <w:sz w:val="20"/>
                <w:szCs w:val="20"/>
              </w:rPr>
              <w:t>Électrification par systèmes solaires autonomes de 575 localités</w:t>
            </w:r>
          </w:p>
        </w:tc>
        <w:tc>
          <w:tcPr>
            <w:tcW w:w="1467" w:type="pct"/>
            <w:vMerge/>
            <w:tcBorders>
              <w:right w:val="single" w:sz="8" w:space="0" w:color="2F5496" w:themeColor="accent5" w:themeShade="BF"/>
            </w:tcBorders>
            <w:vAlign w:val="center"/>
          </w:tcPr>
          <w:p w14:paraId="1D1FAAEB" w14:textId="0DED4AB2" w:rsidR="003A3FF8" w:rsidRPr="00F575E6" w:rsidRDefault="003A3FF8" w:rsidP="00443C5A">
            <w:pPr>
              <w:rPr>
                <w:sz w:val="20"/>
                <w:szCs w:val="20"/>
                <w:lang w:eastAsia="en-US"/>
              </w:rPr>
            </w:pPr>
          </w:p>
        </w:tc>
      </w:tr>
      <w:tr w:rsidR="003A3FF8" w:rsidRPr="00F575E6" w14:paraId="37BEC05F" w14:textId="77777777" w:rsidTr="003A3FF8">
        <w:tc>
          <w:tcPr>
            <w:tcW w:w="284" w:type="pct"/>
            <w:tcBorders>
              <w:right w:val="single" w:sz="8" w:space="0" w:color="2F5496" w:themeColor="accent5" w:themeShade="BF"/>
            </w:tcBorders>
            <w:shd w:val="clear" w:color="auto" w:fill="1F4E79" w:themeFill="accent1" w:themeFillShade="80"/>
            <w:vAlign w:val="center"/>
          </w:tcPr>
          <w:p w14:paraId="3195259F" w14:textId="4FEC401D" w:rsidR="003A3FF8" w:rsidRPr="00F575E6" w:rsidRDefault="00D70631" w:rsidP="00443C5A">
            <w:pPr>
              <w:jc w:val="center"/>
              <w:rPr>
                <w:b/>
                <w:color w:val="FFFFFF" w:themeColor="background1"/>
                <w:sz w:val="20"/>
                <w:szCs w:val="20"/>
                <w:lang w:eastAsia="en-US"/>
              </w:rPr>
            </w:pPr>
            <w:r w:rsidRPr="00F575E6">
              <w:rPr>
                <w:b/>
                <w:color w:val="FFFFFF" w:themeColor="background1"/>
                <w:sz w:val="20"/>
                <w:szCs w:val="20"/>
                <w:lang w:eastAsia="en-US"/>
              </w:rPr>
              <w:t>5</w:t>
            </w:r>
            <w:r w:rsidR="00E7755D" w:rsidRPr="00F575E6">
              <w:rPr>
                <w:b/>
                <w:color w:val="FFFFFF" w:themeColor="background1"/>
                <w:sz w:val="20"/>
                <w:szCs w:val="20"/>
                <w:lang w:eastAsia="en-US"/>
              </w:rPr>
              <w:t>5</w:t>
            </w:r>
          </w:p>
        </w:tc>
        <w:tc>
          <w:tcPr>
            <w:tcW w:w="3249" w:type="pct"/>
            <w:tcBorders>
              <w:left w:val="single" w:sz="8" w:space="0" w:color="2F5496" w:themeColor="accent5" w:themeShade="BF"/>
              <w:bottom w:val="single" w:sz="8" w:space="0" w:color="2F5496" w:themeColor="accent5" w:themeShade="BF"/>
            </w:tcBorders>
            <w:vAlign w:val="center"/>
          </w:tcPr>
          <w:p w14:paraId="41D10CB1" w14:textId="77777777" w:rsidR="003A3FF8" w:rsidRPr="00F575E6" w:rsidRDefault="003A3FF8" w:rsidP="00443C5A">
            <w:pPr>
              <w:rPr>
                <w:sz w:val="20"/>
                <w:szCs w:val="20"/>
                <w:lang w:eastAsia="en-US"/>
              </w:rPr>
            </w:pPr>
            <w:r w:rsidRPr="00F575E6">
              <w:rPr>
                <w:sz w:val="20"/>
                <w:szCs w:val="20"/>
              </w:rPr>
              <w:t>Projet d'énergie solaire pour le développement rural et la cuisson propre au Mali</w:t>
            </w:r>
          </w:p>
        </w:tc>
        <w:tc>
          <w:tcPr>
            <w:tcW w:w="1467" w:type="pct"/>
            <w:vMerge/>
            <w:tcBorders>
              <w:bottom w:val="single" w:sz="8" w:space="0" w:color="2F5496" w:themeColor="accent5" w:themeShade="BF"/>
              <w:right w:val="single" w:sz="8" w:space="0" w:color="2F5496" w:themeColor="accent5" w:themeShade="BF"/>
            </w:tcBorders>
            <w:vAlign w:val="center"/>
          </w:tcPr>
          <w:p w14:paraId="2DA1EAF0" w14:textId="332704F5" w:rsidR="003A3FF8" w:rsidRPr="00F575E6" w:rsidRDefault="003A3FF8" w:rsidP="00443C5A">
            <w:pPr>
              <w:rPr>
                <w:sz w:val="20"/>
                <w:szCs w:val="20"/>
                <w:lang w:eastAsia="en-US"/>
              </w:rPr>
            </w:pPr>
          </w:p>
        </w:tc>
      </w:tr>
      <w:tr w:rsidR="002511AC" w:rsidRPr="00F575E6" w14:paraId="176C9FBA" w14:textId="77777777" w:rsidTr="003A3FF8">
        <w:tc>
          <w:tcPr>
            <w:tcW w:w="284" w:type="pct"/>
            <w:tcBorders>
              <w:right w:val="single" w:sz="8" w:space="0" w:color="2F5496" w:themeColor="accent5" w:themeShade="BF"/>
            </w:tcBorders>
            <w:shd w:val="clear" w:color="auto" w:fill="1F4E79" w:themeFill="accent1" w:themeFillShade="80"/>
            <w:vAlign w:val="center"/>
          </w:tcPr>
          <w:p w14:paraId="429B1629" w14:textId="1659BEC7" w:rsidR="002511AC" w:rsidRPr="00F575E6" w:rsidRDefault="00E7755D">
            <w:pPr>
              <w:jc w:val="center"/>
              <w:rPr>
                <w:b/>
                <w:color w:val="FFFFFF" w:themeColor="background1"/>
                <w:sz w:val="20"/>
                <w:szCs w:val="20"/>
                <w:lang w:eastAsia="en-US"/>
              </w:rPr>
            </w:pPr>
            <w:r w:rsidRPr="00F575E6">
              <w:rPr>
                <w:b/>
                <w:color w:val="FFFFFF" w:themeColor="background1"/>
                <w:sz w:val="20"/>
                <w:szCs w:val="20"/>
                <w:lang w:eastAsia="en-US"/>
              </w:rPr>
              <w:t>56</w:t>
            </w:r>
          </w:p>
        </w:tc>
        <w:tc>
          <w:tcPr>
            <w:tcW w:w="3249" w:type="pct"/>
            <w:tcBorders>
              <w:top w:val="single" w:sz="8" w:space="0" w:color="2F5496" w:themeColor="accent5" w:themeShade="BF"/>
              <w:left w:val="single" w:sz="8" w:space="0" w:color="2F5496" w:themeColor="accent5" w:themeShade="BF"/>
            </w:tcBorders>
            <w:vAlign w:val="center"/>
          </w:tcPr>
          <w:p w14:paraId="52AE06D9" w14:textId="77777777" w:rsidR="002511AC" w:rsidRPr="00F575E6" w:rsidRDefault="002511AC">
            <w:pPr>
              <w:rPr>
                <w:sz w:val="20"/>
                <w:szCs w:val="20"/>
                <w:lang w:eastAsia="en-US"/>
              </w:rPr>
            </w:pPr>
            <w:r w:rsidRPr="00F575E6">
              <w:rPr>
                <w:sz w:val="20"/>
                <w:szCs w:val="20"/>
              </w:rPr>
              <w:t>Centre de Certification des Technologies et des Carburants destinés à la Cuisine Propre (C2TC2P)</w:t>
            </w:r>
          </w:p>
        </w:tc>
        <w:tc>
          <w:tcPr>
            <w:tcW w:w="1467" w:type="pct"/>
            <w:tcBorders>
              <w:top w:val="single" w:sz="8" w:space="0" w:color="2F5496" w:themeColor="accent5" w:themeShade="BF"/>
              <w:right w:val="single" w:sz="8" w:space="0" w:color="2F5496" w:themeColor="accent5" w:themeShade="BF"/>
            </w:tcBorders>
            <w:vAlign w:val="center"/>
          </w:tcPr>
          <w:p w14:paraId="79499882" w14:textId="77777777" w:rsidR="002511AC" w:rsidRPr="00F575E6" w:rsidRDefault="002511AC">
            <w:pPr>
              <w:rPr>
                <w:sz w:val="20"/>
                <w:szCs w:val="20"/>
                <w:lang w:eastAsia="en-US"/>
              </w:rPr>
            </w:pPr>
            <w:r w:rsidRPr="00F575E6">
              <w:rPr>
                <w:sz w:val="20"/>
                <w:szCs w:val="20"/>
              </w:rPr>
              <w:t>Alliance Cuisson Propre Mali &amp; Yiriimex (M-ACC)</w:t>
            </w:r>
          </w:p>
        </w:tc>
      </w:tr>
      <w:tr w:rsidR="002511AC" w:rsidRPr="00F575E6" w14:paraId="21C6CB75" w14:textId="77777777" w:rsidTr="003A3FF8">
        <w:tc>
          <w:tcPr>
            <w:tcW w:w="284" w:type="pct"/>
            <w:tcBorders>
              <w:right w:val="single" w:sz="8" w:space="0" w:color="2F5496" w:themeColor="accent5" w:themeShade="BF"/>
            </w:tcBorders>
            <w:shd w:val="clear" w:color="auto" w:fill="1F4E79" w:themeFill="accent1" w:themeFillShade="80"/>
            <w:vAlign w:val="center"/>
          </w:tcPr>
          <w:p w14:paraId="3D3856A5" w14:textId="3A5B392F" w:rsidR="002511AC" w:rsidRPr="00F575E6" w:rsidRDefault="002511AC">
            <w:pPr>
              <w:jc w:val="center"/>
              <w:rPr>
                <w:b/>
                <w:color w:val="FFFFFF" w:themeColor="background1"/>
                <w:sz w:val="20"/>
                <w:szCs w:val="20"/>
                <w:lang w:eastAsia="en-US"/>
              </w:rPr>
            </w:pPr>
          </w:p>
        </w:tc>
        <w:tc>
          <w:tcPr>
            <w:tcW w:w="3249" w:type="pct"/>
            <w:tcBorders>
              <w:left w:val="single" w:sz="8" w:space="0" w:color="2F5496" w:themeColor="accent5" w:themeShade="BF"/>
            </w:tcBorders>
            <w:vAlign w:val="center"/>
          </w:tcPr>
          <w:p w14:paraId="3560DAFF" w14:textId="77777777" w:rsidR="002511AC" w:rsidRPr="00F575E6" w:rsidRDefault="002511AC">
            <w:pPr>
              <w:rPr>
                <w:sz w:val="20"/>
                <w:szCs w:val="20"/>
                <w:lang w:eastAsia="en-US"/>
              </w:rPr>
            </w:pPr>
            <w:r w:rsidRPr="00F575E6">
              <w:rPr>
                <w:sz w:val="20"/>
                <w:szCs w:val="20"/>
              </w:rPr>
              <w:t>Étude de faisabilité pour l'implantation d'une unité de production de briquettes à Bamako</w:t>
            </w:r>
          </w:p>
        </w:tc>
        <w:tc>
          <w:tcPr>
            <w:tcW w:w="1467" w:type="pct"/>
            <w:tcBorders>
              <w:right w:val="single" w:sz="8" w:space="0" w:color="2F5496" w:themeColor="accent5" w:themeShade="BF"/>
            </w:tcBorders>
            <w:vAlign w:val="center"/>
          </w:tcPr>
          <w:p w14:paraId="5FBE476B" w14:textId="77777777" w:rsidR="002511AC" w:rsidRPr="00F575E6" w:rsidRDefault="002511AC">
            <w:pPr>
              <w:rPr>
                <w:sz w:val="20"/>
                <w:szCs w:val="20"/>
                <w:lang w:eastAsia="en-US"/>
              </w:rPr>
            </w:pPr>
            <w:r w:rsidRPr="00F575E6">
              <w:rPr>
                <w:sz w:val="20"/>
                <w:szCs w:val="20"/>
              </w:rPr>
              <w:t>Groupe Yiriimex-SA</w:t>
            </w:r>
          </w:p>
        </w:tc>
      </w:tr>
      <w:tr w:rsidR="00443C5A" w:rsidRPr="00F575E6" w14:paraId="032EE02C" w14:textId="77777777" w:rsidTr="003A3FF8">
        <w:tc>
          <w:tcPr>
            <w:tcW w:w="284" w:type="pct"/>
            <w:tcBorders>
              <w:right w:val="single" w:sz="8" w:space="0" w:color="2F5496" w:themeColor="accent5" w:themeShade="BF"/>
            </w:tcBorders>
            <w:shd w:val="clear" w:color="auto" w:fill="1F4E79" w:themeFill="accent1" w:themeFillShade="80"/>
            <w:vAlign w:val="center"/>
          </w:tcPr>
          <w:p w14:paraId="2BE6C56B" w14:textId="2345CF0D" w:rsidR="00443C5A" w:rsidRPr="00F575E6" w:rsidRDefault="00713E28" w:rsidP="00443C5A">
            <w:pPr>
              <w:jc w:val="center"/>
              <w:rPr>
                <w:b/>
                <w:color w:val="FFFFFF" w:themeColor="background1"/>
                <w:sz w:val="20"/>
                <w:szCs w:val="20"/>
                <w:lang w:eastAsia="en-US"/>
              </w:rPr>
            </w:pPr>
            <w:r w:rsidRPr="00F575E6">
              <w:rPr>
                <w:b/>
                <w:color w:val="FFFFFF" w:themeColor="background1"/>
                <w:sz w:val="20"/>
                <w:szCs w:val="20"/>
                <w:lang w:eastAsia="en-US"/>
              </w:rPr>
              <w:t>57</w:t>
            </w:r>
          </w:p>
        </w:tc>
        <w:tc>
          <w:tcPr>
            <w:tcW w:w="3249" w:type="pct"/>
            <w:tcBorders>
              <w:left w:val="single" w:sz="8" w:space="0" w:color="2F5496" w:themeColor="accent5" w:themeShade="BF"/>
            </w:tcBorders>
            <w:vAlign w:val="center"/>
          </w:tcPr>
          <w:p w14:paraId="4F306998" w14:textId="77777777" w:rsidR="00443C5A" w:rsidRPr="00F575E6" w:rsidRDefault="00443C5A" w:rsidP="00443C5A">
            <w:pPr>
              <w:rPr>
                <w:sz w:val="20"/>
                <w:szCs w:val="20"/>
                <w:lang w:eastAsia="en-US"/>
              </w:rPr>
            </w:pPr>
            <w:r w:rsidRPr="00F575E6">
              <w:rPr>
                <w:sz w:val="20"/>
                <w:szCs w:val="20"/>
              </w:rPr>
              <w:t>Construction des Ports secs de Kayes et de Sikasso</w:t>
            </w:r>
          </w:p>
        </w:tc>
        <w:tc>
          <w:tcPr>
            <w:tcW w:w="1467" w:type="pct"/>
            <w:tcBorders>
              <w:right w:val="single" w:sz="8" w:space="0" w:color="2F5496" w:themeColor="accent5" w:themeShade="BF"/>
            </w:tcBorders>
            <w:vAlign w:val="center"/>
          </w:tcPr>
          <w:p w14:paraId="6FF77420" w14:textId="77777777" w:rsidR="00443C5A" w:rsidRPr="00F575E6" w:rsidRDefault="00443C5A" w:rsidP="00443C5A">
            <w:pPr>
              <w:rPr>
                <w:sz w:val="20"/>
                <w:szCs w:val="20"/>
                <w:lang w:eastAsia="en-US"/>
              </w:rPr>
            </w:pPr>
            <w:r w:rsidRPr="00F575E6">
              <w:rPr>
                <w:sz w:val="20"/>
                <w:szCs w:val="20"/>
                <w:lang w:eastAsia="en-US"/>
              </w:rPr>
              <w:t>DGT</w:t>
            </w:r>
          </w:p>
        </w:tc>
      </w:tr>
      <w:tr w:rsidR="00443C5A" w:rsidRPr="00F575E6" w14:paraId="1C403F58" w14:textId="77777777" w:rsidTr="003A3FF8">
        <w:tc>
          <w:tcPr>
            <w:tcW w:w="284" w:type="pct"/>
            <w:tcBorders>
              <w:right w:val="single" w:sz="8" w:space="0" w:color="2F5496" w:themeColor="accent5" w:themeShade="BF"/>
            </w:tcBorders>
            <w:shd w:val="clear" w:color="auto" w:fill="1F4E79" w:themeFill="accent1" w:themeFillShade="80"/>
            <w:vAlign w:val="center"/>
          </w:tcPr>
          <w:p w14:paraId="385AA4DE" w14:textId="26381C2E" w:rsidR="00443C5A" w:rsidRPr="00F575E6" w:rsidRDefault="00713E28" w:rsidP="00443C5A">
            <w:pPr>
              <w:jc w:val="center"/>
              <w:rPr>
                <w:b/>
                <w:color w:val="FFFFFF" w:themeColor="background1"/>
                <w:sz w:val="20"/>
                <w:szCs w:val="20"/>
                <w:lang w:eastAsia="en-US"/>
              </w:rPr>
            </w:pPr>
            <w:r w:rsidRPr="00F575E6">
              <w:rPr>
                <w:b/>
                <w:color w:val="FFFFFF" w:themeColor="background1"/>
                <w:sz w:val="20"/>
                <w:szCs w:val="20"/>
                <w:lang w:eastAsia="en-US"/>
              </w:rPr>
              <w:t>58</w:t>
            </w:r>
          </w:p>
        </w:tc>
        <w:tc>
          <w:tcPr>
            <w:tcW w:w="3249" w:type="pct"/>
            <w:tcBorders>
              <w:left w:val="single" w:sz="8" w:space="0" w:color="2F5496" w:themeColor="accent5" w:themeShade="BF"/>
            </w:tcBorders>
            <w:vAlign w:val="center"/>
          </w:tcPr>
          <w:p w14:paraId="0873AAED" w14:textId="77777777" w:rsidR="00443C5A" w:rsidRPr="00F575E6" w:rsidRDefault="00443C5A" w:rsidP="00443C5A">
            <w:pPr>
              <w:rPr>
                <w:sz w:val="20"/>
                <w:szCs w:val="20"/>
                <w:lang w:eastAsia="en-US"/>
              </w:rPr>
            </w:pPr>
            <w:r w:rsidRPr="00F575E6">
              <w:rPr>
                <w:sz w:val="20"/>
                <w:szCs w:val="20"/>
              </w:rPr>
              <w:t>Renouvellement du Parc Automobile des Transports Commercial</w:t>
            </w:r>
          </w:p>
        </w:tc>
        <w:tc>
          <w:tcPr>
            <w:tcW w:w="1467" w:type="pct"/>
            <w:tcBorders>
              <w:right w:val="single" w:sz="8" w:space="0" w:color="2F5496" w:themeColor="accent5" w:themeShade="BF"/>
            </w:tcBorders>
            <w:vAlign w:val="center"/>
          </w:tcPr>
          <w:p w14:paraId="180BEAED" w14:textId="77777777" w:rsidR="00443C5A" w:rsidRPr="00F575E6" w:rsidRDefault="00443C5A" w:rsidP="00443C5A">
            <w:pPr>
              <w:rPr>
                <w:sz w:val="20"/>
                <w:szCs w:val="20"/>
                <w:lang w:eastAsia="en-US"/>
              </w:rPr>
            </w:pPr>
            <w:r w:rsidRPr="00F575E6">
              <w:rPr>
                <w:sz w:val="20"/>
                <w:szCs w:val="20"/>
                <w:lang w:eastAsia="en-US"/>
              </w:rPr>
              <w:t>DGT</w:t>
            </w:r>
          </w:p>
        </w:tc>
      </w:tr>
      <w:tr w:rsidR="00443C5A" w:rsidRPr="00F575E6" w14:paraId="0EB2D78D" w14:textId="77777777" w:rsidTr="003A3FF8">
        <w:tc>
          <w:tcPr>
            <w:tcW w:w="284" w:type="pct"/>
            <w:tcBorders>
              <w:right w:val="single" w:sz="8" w:space="0" w:color="2F5496" w:themeColor="accent5" w:themeShade="BF"/>
            </w:tcBorders>
            <w:shd w:val="clear" w:color="auto" w:fill="1F4E79" w:themeFill="accent1" w:themeFillShade="80"/>
            <w:vAlign w:val="center"/>
          </w:tcPr>
          <w:p w14:paraId="67CAE41D" w14:textId="7B589570" w:rsidR="00443C5A" w:rsidRPr="00F575E6" w:rsidRDefault="00713E28" w:rsidP="00443C5A">
            <w:pPr>
              <w:jc w:val="center"/>
              <w:rPr>
                <w:b/>
                <w:color w:val="FFFFFF" w:themeColor="background1"/>
                <w:sz w:val="20"/>
                <w:szCs w:val="20"/>
                <w:lang w:eastAsia="en-US"/>
              </w:rPr>
            </w:pPr>
            <w:r w:rsidRPr="00F575E6">
              <w:rPr>
                <w:b/>
                <w:color w:val="FFFFFF" w:themeColor="background1"/>
                <w:sz w:val="20"/>
                <w:szCs w:val="20"/>
                <w:lang w:eastAsia="en-US"/>
              </w:rPr>
              <w:t>59</w:t>
            </w:r>
          </w:p>
        </w:tc>
        <w:tc>
          <w:tcPr>
            <w:tcW w:w="3249" w:type="pct"/>
            <w:tcBorders>
              <w:left w:val="single" w:sz="8" w:space="0" w:color="2F5496" w:themeColor="accent5" w:themeShade="BF"/>
            </w:tcBorders>
            <w:vAlign w:val="center"/>
          </w:tcPr>
          <w:p w14:paraId="6D9E21DF" w14:textId="77777777" w:rsidR="00443C5A" w:rsidRPr="00F575E6" w:rsidRDefault="00443C5A" w:rsidP="00443C5A">
            <w:pPr>
              <w:rPr>
                <w:sz w:val="20"/>
                <w:szCs w:val="20"/>
                <w:lang w:eastAsia="en-US"/>
              </w:rPr>
            </w:pPr>
            <w:r w:rsidRPr="00F575E6">
              <w:rPr>
                <w:sz w:val="20"/>
                <w:szCs w:val="20"/>
              </w:rPr>
              <w:t>Tramway dans la ville de Bamako</w:t>
            </w:r>
          </w:p>
        </w:tc>
        <w:tc>
          <w:tcPr>
            <w:tcW w:w="1467" w:type="pct"/>
            <w:tcBorders>
              <w:right w:val="single" w:sz="8" w:space="0" w:color="2F5496" w:themeColor="accent5" w:themeShade="BF"/>
            </w:tcBorders>
            <w:vAlign w:val="center"/>
          </w:tcPr>
          <w:p w14:paraId="687C96D2" w14:textId="77777777" w:rsidR="00443C5A" w:rsidRPr="00F575E6" w:rsidRDefault="00443C5A" w:rsidP="00443C5A">
            <w:pPr>
              <w:rPr>
                <w:sz w:val="20"/>
                <w:szCs w:val="20"/>
                <w:lang w:eastAsia="en-US"/>
              </w:rPr>
            </w:pPr>
            <w:r w:rsidRPr="00F575E6">
              <w:rPr>
                <w:sz w:val="20"/>
                <w:szCs w:val="20"/>
                <w:lang w:eastAsia="en-US"/>
              </w:rPr>
              <w:t>DGT</w:t>
            </w:r>
          </w:p>
        </w:tc>
      </w:tr>
      <w:tr w:rsidR="00443C5A" w:rsidRPr="00F575E6" w14:paraId="1092E2C4" w14:textId="77777777" w:rsidTr="003A3FF8">
        <w:tc>
          <w:tcPr>
            <w:tcW w:w="284" w:type="pct"/>
            <w:tcBorders>
              <w:right w:val="single" w:sz="8" w:space="0" w:color="2F5496" w:themeColor="accent5" w:themeShade="BF"/>
            </w:tcBorders>
            <w:shd w:val="clear" w:color="auto" w:fill="1F4E79" w:themeFill="accent1" w:themeFillShade="80"/>
            <w:vAlign w:val="center"/>
          </w:tcPr>
          <w:p w14:paraId="7E03E6DA" w14:textId="4ED76F3D" w:rsidR="00443C5A" w:rsidRPr="00F575E6" w:rsidRDefault="00713E28" w:rsidP="00443C5A">
            <w:pPr>
              <w:jc w:val="center"/>
              <w:rPr>
                <w:b/>
                <w:color w:val="FFFFFF" w:themeColor="background1"/>
                <w:sz w:val="20"/>
                <w:szCs w:val="20"/>
                <w:lang w:eastAsia="en-US"/>
              </w:rPr>
            </w:pPr>
            <w:r w:rsidRPr="00F575E6">
              <w:rPr>
                <w:b/>
                <w:color w:val="FFFFFF" w:themeColor="background1"/>
                <w:sz w:val="20"/>
                <w:szCs w:val="20"/>
                <w:lang w:eastAsia="en-US"/>
              </w:rPr>
              <w:t>60</w:t>
            </w:r>
          </w:p>
        </w:tc>
        <w:tc>
          <w:tcPr>
            <w:tcW w:w="3249" w:type="pct"/>
            <w:tcBorders>
              <w:left w:val="single" w:sz="8" w:space="0" w:color="2F5496" w:themeColor="accent5" w:themeShade="BF"/>
              <w:bottom w:val="single" w:sz="8" w:space="0" w:color="2F5496" w:themeColor="accent5" w:themeShade="BF"/>
            </w:tcBorders>
            <w:vAlign w:val="center"/>
          </w:tcPr>
          <w:p w14:paraId="76BC46F5" w14:textId="77777777" w:rsidR="00443C5A" w:rsidRPr="00F575E6" w:rsidRDefault="00443C5A" w:rsidP="00443C5A">
            <w:pPr>
              <w:rPr>
                <w:sz w:val="20"/>
                <w:szCs w:val="20"/>
              </w:rPr>
            </w:pPr>
            <w:r w:rsidRPr="00F575E6">
              <w:rPr>
                <w:sz w:val="20"/>
                <w:szCs w:val="20"/>
              </w:rPr>
              <w:t>Transition vers une industrie bas-carbone</w:t>
            </w:r>
          </w:p>
        </w:tc>
        <w:tc>
          <w:tcPr>
            <w:tcW w:w="1467" w:type="pct"/>
            <w:tcBorders>
              <w:bottom w:val="single" w:sz="8" w:space="0" w:color="2F5496" w:themeColor="accent5" w:themeShade="BF"/>
              <w:right w:val="single" w:sz="8" w:space="0" w:color="2F5496" w:themeColor="accent5" w:themeShade="BF"/>
            </w:tcBorders>
            <w:vAlign w:val="center"/>
          </w:tcPr>
          <w:p w14:paraId="59223688" w14:textId="383EC5E4" w:rsidR="00443C5A" w:rsidRPr="00F575E6" w:rsidRDefault="00443C5A" w:rsidP="00443C5A">
            <w:pPr>
              <w:rPr>
                <w:sz w:val="20"/>
                <w:szCs w:val="20"/>
                <w:lang w:val="en-US"/>
              </w:rPr>
            </w:pPr>
            <w:r w:rsidRPr="00F575E6">
              <w:rPr>
                <w:sz w:val="20"/>
                <w:szCs w:val="20"/>
              </w:rPr>
              <w:t>CNPM</w:t>
            </w:r>
          </w:p>
        </w:tc>
      </w:tr>
    </w:tbl>
    <w:p w14:paraId="14B6D5A4" w14:textId="4632A3B1" w:rsidR="00D73467" w:rsidRPr="00305789" w:rsidRDefault="00D73467" w:rsidP="00F575E6">
      <w:pPr>
        <w:spacing w:before="120" w:after="120"/>
        <w:jc w:val="both"/>
        <w:rPr>
          <w:lang w:eastAsia="en-US"/>
        </w:rPr>
      </w:pPr>
      <w:r w:rsidRPr="00D73467">
        <w:rPr>
          <w:lang w:eastAsia="en-US"/>
        </w:rPr>
        <w:t>Le portefeuille ainsi constitué couvre plusieurs sous-secteurs et mobilise un ensemble diversifié de porteurs institutionnels. Il présente toutefois une hétérogénéité marquée en termes de niveau de structuration : certaines propositions sont à un stade avancé de préparation (en cours de réalisation, études détaillées disponibles, dossiers d'appel d'offres finalisés), tandis que d'autres se présentent encore sous forme d'idées de projet ou de programmes en cours de formalisation. Par ailleurs, certaines mesures figurent à deux reprises dans le tableau, ayant été soumises simultanément par différentes structures : d'une part par la DNE, qui exerce une fonction de tutelle sectorielle et consolide à ce titre l'ensemble des initiatives énergétiques, et d'autre part par les entités opérationnelles qui en assurent directement la mise en œuvre, telles que l'AMADER pour les projets d'électrification rurale. Plusieurs initiatives relèvent en outre de logiques d'intervention similaires, ce qui appelle un travail de consolidation et de mise en cohérence afin de dégager des mesures sectorielles intégrées, lisibles et suivables à l'échelle de la CDN 3.0.</w:t>
      </w:r>
    </w:p>
    <w:p w14:paraId="22CE74F5" w14:textId="77777777" w:rsidR="00305789" w:rsidRPr="00305789" w:rsidRDefault="00305789" w:rsidP="00305789">
      <w:pPr>
        <w:spacing w:after="120"/>
        <w:jc w:val="both"/>
        <w:rPr>
          <w:lang w:eastAsia="en-US"/>
        </w:rPr>
      </w:pPr>
      <w:r w:rsidRPr="00305789">
        <w:rPr>
          <w:lang w:eastAsia="en-US"/>
        </w:rPr>
        <w:t>C'est l'objet de la section suivante, qui présente le travail de structuration du portefeuille en mesures consolidées ainsi que les scénarios d'atténuation associés.</w:t>
      </w:r>
    </w:p>
    <w:p w14:paraId="7D017C68" w14:textId="5649D5F6" w:rsidR="001F64BE" w:rsidRDefault="001F64BE" w:rsidP="002C3767">
      <w:pPr>
        <w:pStyle w:val="Titre3"/>
        <w:numPr>
          <w:ilvl w:val="2"/>
          <w:numId w:val="21"/>
        </w:numPr>
        <w:rPr>
          <w:lang w:eastAsia="en-US"/>
        </w:rPr>
      </w:pPr>
      <w:bookmarkStart w:id="36" w:name="_Toc234853867"/>
      <w:r>
        <w:rPr>
          <w:lang w:eastAsia="en-US"/>
        </w:rPr>
        <w:t>Ligne de base et projections des émissions</w:t>
      </w:r>
      <w:bookmarkEnd w:id="36"/>
      <w:r w:rsidR="002A7F49">
        <w:rPr>
          <w:lang w:eastAsia="en-US"/>
        </w:rPr>
        <w:t xml:space="preserve"> </w:t>
      </w:r>
    </w:p>
    <w:p w14:paraId="773E8E08" w14:textId="557563F4" w:rsidR="00044227" w:rsidRDefault="00044227" w:rsidP="00044227">
      <w:pPr>
        <w:spacing w:after="120"/>
        <w:jc w:val="both"/>
        <w:rPr>
          <w:lang w:eastAsia="en-US"/>
        </w:rPr>
      </w:pPr>
      <w:r>
        <w:rPr>
          <w:lang w:eastAsia="en-US"/>
        </w:rPr>
        <w:t xml:space="preserve">La présente section décrit la construction de la ligne de base du secteur de l'énergie pour la CDN 3.0 du Mali. Elle présente le cadre méthodologique retenu, les sources de données utilisées, la structure sectorielle adoptée pour la modélisation, les résultats de l'année de référence ainsi que les projections à l'horizon 2035 selon le scénario tendanciel (Business as Usual </w:t>
      </w:r>
      <w:r w:rsidR="000E6FB3">
        <w:rPr>
          <w:lang w:eastAsia="en-US"/>
        </w:rPr>
        <w:t>-</w:t>
      </w:r>
      <w:r>
        <w:rPr>
          <w:lang w:eastAsia="en-US"/>
        </w:rPr>
        <w:t xml:space="preserve"> BAU).</w:t>
      </w:r>
    </w:p>
    <w:p w14:paraId="004EB5C0" w14:textId="06E2853A" w:rsidR="00284254" w:rsidRDefault="00044227" w:rsidP="00284254">
      <w:pPr>
        <w:spacing w:after="120"/>
        <w:jc w:val="both"/>
        <w:rPr>
          <w:lang w:eastAsia="en-US"/>
        </w:rPr>
      </w:pPr>
      <w:r>
        <w:rPr>
          <w:lang w:eastAsia="en-US"/>
        </w:rPr>
        <w:t>La ligne de base constitue le scénario de référence à partir duquel sont évaluées les réductions d'émissions associées aux mesures d'atténuation retenues dans le cadre de la CDN 3.0. Elle a été élaborée à l'aide du logiciel LEAP (Low Emissions Analysis Platform), en s'appuyant sur les données de l'inventaire national des émissions de GES (</w:t>
      </w:r>
      <w:r w:rsidR="003D37B2">
        <w:rPr>
          <w:lang w:eastAsia="en-US"/>
        </w:rPr>
        <w:t xml:space="preserve">Quatrième communication nationale </w:t>
      </w:r>
      <w:r>
        <w:rPr>
          <w:lang w:eastAsia="en-US"/>
        </w:rPr>
        <w:t>QCN 2025), le bilan énergétique du SIE-UEMOA,</w:t>
      </w:r>
      <w:r w:rsidR="00284254" w:rsidRPr="00284254">
        <w:rPr>
          <w:lang w:eastAsia="en-US"/>
        </w:rPr>
        <w:t xml:space="preserve"> </w:t>
      </w:r>
      <w:r w:rsidR="00284254" w:rsidRPr="00284254">
        <w:rPr>
          <w:lang w:eastAsia="en-US"/>
        </w:rPr>
        <w:lastRenderedPageBreak/>
        <w:t>ainsi que sur les profils de consommation énergétique par sous-secteur et les indicateurs socioéconomiques disponibles au niveau national</w:t>
      </w:r>
    </w:p>
    <w:p w14:paraId="2B35166C" w14:textId="45FB16EF" w:rsidR="00044227" w:rsidRPr="00044227" w:rsidRDefault="00044227" w:rsidP="00284254">
      <w:pPr>
        <w:spacing w:after="120"/>
        <w:jc w:val="both"/>
        <w:rPr>
          <w:b/>
          <w:bCs/>
          <w:i/>
          <w:iCs/>
          <w:lang w:eastAsia="en-US"/>
        </w:rPr>
      </w:pPr>
      <w:r w:rsidRPr="00044227">
        <w:rPr>
          <w:b/>
          <w:bCs/>
          <w:i/>
          <w:iCs/>
          <w:lang w:eastAsia="en-US"/>
        </w:rPr>
        <w:t>Cadre méthodologique :</w:t>
      </w:r>
    </w:p>
    <w:p w14:paraId="0CACD4F4" w14:textId="77777777" w:rsidR="005E310D" w:rsidRDefault="005E310D" w:rsidP="00044227">
      <w:pPr>
        <w:spacing w:after="120"/>
        <w:jc w:val="both"/>
        <w:rPr>
          <w:lang w:eastAsia="en-US"/>
        </w:rPr>
      </w:pPr>
      <w:r>
        <w:rPr>
          <w:lang w:eastAsia="en-US"/>
        </w:rPr>
        <w:t>La modélisation des émissions du secteur de l'énergie repose sur l'outil LEAP, qui permet de construire des scénarios intégrés de demande, de transformation et d'offre énergétique, et d'en déduire les émissions de GES associées. Le modèle LEAP du Mali couvre l'ensemble des sous-secteurs de consommation finale d'énergie (résidentiel, transport, tertiaire/commercial, industrie, agriculture et pêche) ainsi que le module de transformation (production d'électricité, carbonisation du bois en charbon de bois).</w:t>
      </w:r>
    </w:p>
    <w:p w14:paraId="34240DFF" w14:textId="4728DD69" w:rsidR="00530F34" w:rsidRDefault="00530F34" w:rsidP="00044227">
      <w:pPr>
        <w:spacing w:after="120"/>
        <w:jc w:val="both"/>
        <w:rPr>
          <w:lang w:eastAsia="en-US"/>
        </w:rPr>
      </w:pPr>
      <w:r w:rsidRPr="00530F34">
        <w:rPr>
          <w:lang w:eastAsia="en-US"/>
        </w:rPr>
        <w:t>La structure sectorielle du modèle LEAP du Mali est représentée dans la figure ci-dessous, qui détaille les sous-secteurs de demande finale et les modules de transformation pris en compte.</w:t>
      </w:r>
    </w:p>
    <w:p w14:paraId="3C5FA9D9" w14:textId="77777777" w:rsidR="00AB26A1" w:rsidRDefault="00727815" w:rsidP="00AB26A1">
      <w:pPr>
        <w:keepNext/>
        <w:spacing w:after="120"/>
        <w:jc w:val="center"/>
      </w:pPr>
      <w:r w:rsidRPr="00727815">
        <w:rPr>
          <w:noProof/>
          <w:lang w:eastAsia="en-US"/>
        </w:rPr>
        <w:drawing>
          <wp:inline distT="0" distB="0" distL="0" distR="0" wp14:anchorId="216A7EC4" wp14:editId="1527C48B">
            <wp:extent cx="5826466" cy="3040057"/>
            <wp:effectExtent l="0" t="0" r="3175" b="8255"/>
            <wp:docPr id="1899005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005404" name=""/>
                    <pic:cNvPicPr/>
                  </pic:nvPicPr>
                  <pic:blipFill>
                    <a:blip r:embed="rId16"/>
                    <a:stretch>
                      <a:fillRect/>
                    </a:stretch>
                  </pic:blipFill>
                  <pic:spPr>
                    <a:xfrm>
                      <a:off x="0" y="0"/>
                      <a:ext cx="5829569" cy="3041676"/>
                    </a:xfrm>
                    <a:prstGeom prst="rect">
                      <a:avLst/>
                    </a:prstGeom>
                  </pic:spPr>
                </pic:pic>
              </a:graphicData>
            </a:graphic>
          </wp:inline>
        </w:drawing>
      </w:r>
    </w:p>
    <w:p w14:paraId="4E737A50" w14:textId="02D9D0C1" w:rsidR="00727815" w:rsidRDefault="00AB26A1" w:rsidP="00AB26A1">
      <w:pPr>
        <w:pStyle w:val="Lgende"/>
        <w:jc w:val="center"/>
        <w:rPr>
          <w:lang w:eastAsia="en-US"/>
        </w:rPr>
      </w:pPr>
      <w:bookmarkStart w:id="37" w:name="_Toc234853911"/>
      <w:r>
        <w:t xml:space="preserve">Figure </w:t>
      </w:r>
      <w:r>
        <w:fldChar w:fldCharType="begin"/>
      </w:r>
      <w:r>
        <w:instrText xml:space="preserve"> SEQ Figure \* ARABIC </w:instrText>
      </w:r>
      <w:r>
        <w:fldChar w:fldCharType="separate"/>
      </w:r>
      <w:r w:rsidR="004D5580">
        <w:rPr>
          <w:noProof/>
        </w:rPr>
        <w:t>1</w:t>
      </w:r>
      <w:r>
        <w:fldChar w:fldCharType="end"/>
      </w:r>
      <w:r w:rsidRPr="00BE0D23">
        <w:t xml:space="preserve"> :</w:t>
      </w:r>
      <w:r w:rsidR="005F728A" w:rsidRPr="00BE0D23">
        <w:t xml:space="preserve"> Répar</w:t>
      </w:r>
      <w:r w:rsidR="00CA328D" w:rsidRPr="00BE0D23">
        <w:t xml:space="preserve">tition </w:t>
      </w:r>
      <w:r w:rsidR="00FE2746" w:rsidRPr="00BE0D23">
        <w:t>sectorielle et sous sectorielle</w:t>
      </w:r>
      <w:r w:rsidR="00CA328D" w:rsidRPr="00BE0D23">
        <w:t xml:space="preserve"> dans </w:t>
      </w:r>
      <w:r w:rsidR="00FE2746" w:rsidRPr="00BE0D23">
        <w:t>le LEAP</w:t>
      </w:r>
      <w:bookmarkEnd w:id="37"/>
      <w:r w:rsidR="00FE2746" w:rsidRPr="00BE0D23">
        <w:t xml:space="preserve"> </w:t>
      </w:r>
    </w:p>
    <w:p w14:paraId="4F171908" w14:textId="77777777" w:rsidR="00430494" w:rsidRDefault="00430494" w:rsidP="00044227">
      <w:pPr>
        <w:spacing w:after="120"/>
        <w:jc w:val="both"/>
        <w:rPr>
          <w:lang w:eastAsia="en-US"/>
        </w:rPr>
      </w:pPr>
      <w:r w:rsidRPr="00430494">
        <w:rPr>
          <w:lang w:eastAsia="en-US"/>
        </w:rPr>
        <w:t>Les émissions sont calculées conformément aux lignes directrices du GIEC 2006, en appliquant les facteurs d'émission par défaut (Tier 1) pour l'ensemble des combustibles. Pour la biomasse énergie (bois de chauffe et charbon de bois), les émissions de CH₄ et N₂O liées à la combustion sont comptabilisées dans le secteur de l'énergie, tandis que le CO₂ biogénique est reporté à titre d'information conformément aux conventions du GIEC, sa comptabilisation relevant du secteur AFAT.</w:t>
      </w:r>
    </w:p>
    <w:p w14:paraId="40EAE56C" w14:textId="3B4BBCA5" w:rsidR="0047797B" w:rsidRPr="0047797B" w:rsidRDefault="0047797B" w:rsidP="000B2D5E">
      <w:pPr>
        <w:pStyle w:val="ExhibitHeading5"/>
        <w:numPr>
          <w:ilvl w:val="0"/>
          <w:numId w:val="0"/>
        </w:numPr>
        <w:spacing w:after="120"/>
        <w:jc w:val="both"/>
        <w:rPr>
          <w:rFonts w:ascii="Calibri" w:eastAsia="Calibri" w:hAnsi="Calibri" w:cs="Calibri"/>
          <w:i w:val="0"/>
          <w:color w:val="auto"/>
          <w:sz w:val="22"/>
          <w:szCs w:val="22"/>
          <w:lang w:eastAsia="en-US"/>
        </w:rPr>
      </w:pPr>
      <w:r w:rsidRPr="0047797B">
        <w:rPr>
          <w:rFonts w:ascii="Calibri" w:eastAsia="Calibri" w:hAnsi="Calibri" w:cs="Calibri"/>
          <w:i w:val="0"/>
          <w:color w:val="auto"/>
          <w:sz w:val="22"/>
          <w:szCs w:val="22"/>
          <w:lang w:eastAsia="en-US"/>
        </w:rPr>
        <w:t>L'année de base retenue est 2022, correspondant à la dernière année couverte par l'inventaire national des émissions de GES de la QCN 2025. Les projections couvrent la période 2023</w:t>
      </w:r>
      <w:r>
        <w:rPr>
          <w:rFonts w:ascii="Calibri" w:eastAsia="Calibri" w:hAnsi="Calibri" w:cs="Calibri"/>
          <w:i w:val="0"/>
          <w:color w:val="auto"/>
          <w:sz w:val="22"/>
          <w:szCs w:val="22"/>
          <w:lang w:eastAsia="en-US"/>
        </w:rPr>
        <w:t>-</w:t>
      </w:r>
      <w:r w:rsidRPr="0047797B">
        <w:rPr>
          <w:rFonts w:ascii="Calibri" w:eastAsia="Calibri" w:hAnsi="Calibri" w:cs="Calibri"/>
          <w:i w:val="0"/>
          <w:color w:val="auto"/>
          <w:sz w:val="22"/>
          <w:szCs w:val="22"/>
          <w:lang w:eastAsia="en-US"/>
        </w:rPr>
        <w:t>2035.</w:t>
      </w:r>
    </w:p>
    <w:p w14:paraId="591A3AE6" w14:textId="49E303EC" w:rsidR="00C87AFA" w:rsidRPr="00203A65" w:rsidRDefault="00C87AFA" w:rsidP="00203A65">
      <w:pPr>
        <w:pStyle w:val="Corpsdetexte"/>
        <w:spacing w:after="240"/>
        <w:ind w:left="0"/>
        <w:jc w:val="both"/>
        <w:rPr>
          <w:rFonts w:ascii="Calibri" w:eastAsia="Calibri" w:hAnsi="Calibri"/>
          <w:sz w:val="22"/>
          <w:szCs w:val="22"/>
          <w:lang w:val="fr-FR" w:eastAsia="en-US"/>
        </w:rPr>
      </w:pPr>
      <w:r w:rsidRPr="00C87AFA">
        <w:rPr>
          <w:rFonts w:ascii="Calibri" w:eastAsia="Calibri" w:hAnsi="Calibri"/>
          <w:sz w:val="22"/>
          <w:szCs w:val="22"/>
          <w:lang w:val="fr-FR" w:eastAsia="en-US"/>
        </w:rPr>
        <w:t xml:space="preserve">La construction du modèle s'est appuyée sur une mobilisation systématique des sources nationales et régionales de référence. Les paramètres transversaux (démographie, croissance économique) ont été calés sur les projections de l'INSTAT et du RGPH5. Les données de demande énergétique par sous-secteur </w:t>
      </w:r>
      <w:r w:rsidRPr="00106336">
        <w:rPr>
          <w:rFonts w:ascii="Calibri" w:eastAsia="Calibri" w:hAnsi="Calibri"/>
          <w:sz w:val="22"/>
          <w:szCs w:val="22"/>
          <w:lang w:val="fr-FR" w:eastAsia="en-US"/>
        </w:rPr>
        <w:t>sont issues du Système d'Information Énergétique de l'UEMOA (SIE-UEMOA). Le paramétrage du</w:t>
      </w:r>
      <w:r w:rsidRPr="00C87AFA">
        <w:rPr>
          <w:rFonts w:ascii="Calibri" w:eastAsia="Calibri" w:hAnsi="Calibri"/>
          <w:sz w:val="22"/>
          <w:szCs w:val="22"/>
          <w:lang w:val="fr-FR" w:eastAsia="en-US"/>
        </w:rPr>
        <w:t xml:space="preserve"> module Transformation s'est appuyé sur les données fournies par EDM-SA pour le réseau interconnecté et les centres isolés, complétées par les statistiques d'échanges régionaux. Le tableau ci-dessous récapitule les principales hypothèses et données mobilisées par module ainsi que leurs sources.</w:t>
      </w:r>
    </w:p>
    <w:p w14:paraId="42BBC9CF" w14:textId="2EAFA19E" w:rsidR="007A2EFB" w:rsidRPr="007A2EFB" w:rsidRDefault="007A2EFB" w:rsidP="007A2EFB">
      <w:pPr>
        <w:pStyle w:val="Lgende"/>
        <w:keepNext/>
        <w:rPr>
          <w:sz w:val="20"/>
          <w:szCs w:val="20"/>
        </w:rPr>
      </w:pPr>
      <w:bookmarkStart w:id="38" w:name="_Toc234853938"/>
      <w:r w:rsidRPr="007A2EFB">
        <w:rPr>
          <w:sz w:val="20"/>
          <w:szCs w:val="20"/>
        </w:rPr>
        <w:lastRenderedPageBreak/>
        <w:t xml:space="preserve">Tableau </w:t>
      </w:r>
      <w:r w:rsidRPr="007A2EFB">
        <w:rPr>
          <w:sz w:val="20"/>
          <w:szCs w:val="20"/>
        </w:rPr>
        <w:fldChar w:fldCharType="begin"/>
      </w:r>
      <w:r w:rsidRPr="007A2EFB">
        <w:rPr>
          <w:sz w:val="20"/>
          <w:szCs w:val="20"/>
        </w:rPr>
        <w:instrText xml:space="preserve"> SEQ Tableau \* ARABIC </w:instrText>
      </w:r>
      <w:r w:rsidRPr="007A2EFB">
        <w:rPr>
          <w:sz w:val="20"/>
          <w:szCs w:val="20"/>
        </w:rPr>
        <w:fldChar w:fldCharType="separate"/>
      </w:r>
      <w:r w:rsidR="0018772E">
        <w:rPr>
          <w:noProof/>
          <w:sz w:val="20"/>
          <w:szCs w:val="20"/>
        </w:rPr>
        <w:t>14</w:t>
      </w:r>
      <w:r w:rsidRPr="007A2EFB">
        <w:rPr>
          <w:sz w:val="20"/>
          <w:szCs w:val="20"/>
        </w:rPr>
        <w:fldChar w:fldCharType="end"/>
      </w:r>
      <w:r w:rsidRPr="00E35393">
        <w:rPr>
          <w:sz w:val="20"/>
          <w:szCs w:val="20"/>
        </w:rPr>
        <w:t xml:space="preserve"> : Hypothèses retenues pour l'élaboration de la ligne de base de l'énergie - CDN 3.0</w:t>
      </w:r>
      <w:bookmarkEnd w:id="3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89"/>
        <w:gridCol w:w="4252"/>
        <w:gridCol w:w="2419"/>
      </w:tblGrid>
      <w:tr w:rsidR="0054563D" w:rsidRPr="00E40FD1" w14:paraId="3AF366C5" w14:textId="77777777" w:rsidTr="004A6097">
        <w:trPr>
          <w:trHeight w:val="213"/>
        </w:trPr>
        <w:tc>
          <w:tcPr>
            <w:tcW w:w="2689" w:type="dxa"/>
            <w:shd w:val="clear" w:color="auto" w:fill="2F5496"/>
            <w:tcMar>
              <w:top w:w="80" w:type="dxa"/>
              <w:left w:w="120" w:type="dxa"/>
              <w:bottom w:w="80" w:type="dxa"/>
              <w:right w:w="120" w:type="dxa"/>
            </w:tcMar>
            <w:vAlign w:val="center"/>
            <w:hideMark/>
          </w:tcPr>
          <w:p w14:paraId="55A87D6F" w14:textId="77777777" w:rsidR="0054563D" w:rsidRPr="00E40FD1" w:rsidRDefault="0054563D" w:rsidP="00E40FD1">
            <w:pPr>
              <w:spacing w:after="0"/>
              <w:jc w:val="center"/>
              <w:rPr>
                <w:rFonts w:asciiTheme="minorHAnsi" w:hAnsiTheme="minorHAnsi" w:cstheme="minorHAnsi"/>
                <w:b/>
                <w:sz w:val="20"/>
                <w:szCs w:val="20"/>
                <w:lang w:val="en-US"/>
              </w:rPr>
            </w:pPr>
            <w:r w:rsidRPr="00E40FD1">
              <w:rPr>
                <w:rFonts w:asciiTheme="minorHAnsi" w:hAnsiTheme="minorHAnsi" w:cstheme="minorHAnsi"/>
                <w:b/>
                <w:color w:val="FFFFFF"/>
                <w:sz w:val="20"/>
                <w:szCs w:val="20"/>
              </w:rPr>
              <w:t>Module LEAP</w:t>
            </w:r>
          </w:p>
        </w:tc>
        <w:tc>
          <w:tcPr>
            <w:tcW w:w="4252" w:type="dxa"/>
            <w:shd w:val="clear" w:color="auto" w:fill="2F5496"/>
            <w:tcMar>
              <w:top w:w="80" w:type="dxa"/>
              <w:left w:w="120" w:type="dxa"/>
              <w:bottom w:w="80" w:type="dxa"/>
              <w:right w:w="120" w:type="dxa"/>
            </w:tcMar>
            <w:vAlign w:val="center"/>
            <w:hideMark/>
          </w:tcPr>
          <w:p w14:paraId="3BE0DCFF" w14:textId="77777777" w:rsidR="0054563D" w:rsidRPr="00E40FD1" w:rsidRDefault="0054563D" w:rsidP="00E40FD1">
            <w:pPr>
              <w:spacing w:after="0"/>
              <w:jc w:val="center"/>
              <w:rPr>
                <w:rFonts w:asciiTheme="minorHAnsi" w:hAnsiTheme="minorHAnsi" w:cstheme="minorHAnsi"/>
                <w:sz w:val="20"/>
                <w:szCs w:val="20"/>
              </w:rPr>
            </w:pPr>
            <w:r w:rsidRPr="00E40FD1">
              <w:rPr>
                <w:rFonts w:asciiTheme="minorHAnsi" w:hAnsiTheme="minorHAnsi" w:cstheme="minorHAnsi"/>
                <w:b/>
                <w:color w:val="FFFFFF"/>
                <w:sz w:val="20"/>
                <w:szCs w:val="20"/>
              </w:rPr>
              <w:t>Hypothèses et données clés</w:t>
            </w:r>
          </w:p>
        </w:tc>
        <w:tc>
          <w:tcPr>
            <w:tcW w:w="2419" w:type="dxa"/>
            <w:shd w:val="clear" w:color="auto" w:fill="2F5496"/>
            <w:tcMar>
              <w:top w:w="80" w:type="dxa"/>
              <w:left w:w="120" w:type="dxa"/>
              <w:bottom w:w="80" w:type="dxa"/>
              <w:right w:w="120" w:type="dxa"/>
            </w:tcMar>
            <w:vAlign w:val="center"/>
            <w:hideMark/>
          </w:tcPr>
          <w:p w14:paraId="3C8AFC07" w14:textId="77777777" w:rsidR="0054563D" w:rsidRPr="00E40FD1" w:rsidRDefault="0054563D" w:rsidP="00E40FD1">
            <w:pPr>
              <w:spacing w:after="0"/>
              <w:jc w:val="center"/>
              <w:rPr>
                <w:rFonts w:asciiTheme="minorHAnsi" w:hAnsiTheme="minorHAnsi" w:cstheme="minorHAnsi"/>
                <w:sz w:val="20"/>
                <w:szCs w:val="20"/>
              </w:rPr>
            </w:pPr>
            <w:r w:rsidRPr="00E40FD1">
              <w:rPr>
                <w:rFonts w:asciiTheme="minorHAnsi" w:hAnsiTheme="minorHAnsi" w:cstheme="minorHAnsi"/>
                <w:b/>
                <w:color w:val="FFFFFF"/>
                <w:sz w:val="20"/>
                <w:szCs w:val="20"/>
              </w:rPr>
              <w:t>Source</w:t>
            </w:r>
          </w:p>
        </w:tc>
      </w:tr>
      <w:tr w:rsidR="00795486" w:rsidRPr="00E40FD1" w14:paraId="48D5F5BC" w14:textId="77777777" w:rsidTr="00F34CCA">
        <w:trPr>
          <w:trHeight w:val="20"/>
        </w:trPr>
        <w:tc>
          <w:tcPr>
            <w:tcW w:w="9360" w:type="dxa"/>
            <w:gridSpan w:val="3"/>
            <w:shd w:val="clear" w:color="auto" w:fill="D6E4F0"/>
            <w:tcMar>
              <w:top w:w="80" w:type="dxa"/>
              <w:left w:w="120" w:type="dxa"/>
              <w:bottom w:w="80" w:type="dxa"/>
              <w:right w:w="120" w:type="dxa"/>
            </w:tcMar>
            <w:vAlign w:val="center"/>
            <w:hideMark/>
          </w:tcPr>
          <w:p w14:paraId="5A675287" w14:textId="77777777" w:rsidR="00795486" w:rsidRPr="00E40FD1" w:rsidRDefault="00795486" w:rsidP="00E40FD1">
            <w:pPr>
              <w:spacing w:after="0"/>
              <w:jc w:val="both"/>
              <w:rPr>
                <w:rFonts w:asciiTheme="minorHAnsi" w:hAnsiTheme="minorHAnsi" w:cstheme="minorHAnsi"/>
                <w:b/>
                <w:sz w:val="20"/>
                <w:szCs w:val="20"/>
              </w:rPr>
            </w:pPr>
            <w:r w:rsidRPr="00E40FD1">
              <w:rPr>
                <w:rFonts w:asciiTheme="minorHAnsi" w:hAnsiTheme="minorHAnsi" w:cstheme="minorHAnsi"/>
                <w:b/>
                <w:color w:val="1F3864"/>
                <w:sz w:val="20"/>
                <w:szCs w:val="20"/>
              </w:rPr>
              <w:t>Paramètres transversaux</w:t>
            </w:r>
          </w:p>
        </w:tc>
      </w:tr>
      <w:tr w:rsidR="00795486" w:rsidRPr="00E40FD1" w14:paraId="067CCAC1" w14:textId="77777777" w:rsidTr="004A6097">
        <w:trPr>
          <w:trHeight w:val="361"/>
        </w:trPr>
        <w:tc>
          <w:tcPr>
            <w:tcW w:w="2689" w:type="dxa"/>
            <w:tcMar>
              <w:top w:w="80" w:type="dxa"/>
              <w:left w:w="120" w:type="dxa"/>
              <w:bottom w:w="80" w:type="dxa"/>
              <w:right w:w="120" w:type="dxa"/>
            </w:tcMar>
            <w:vAlign w:val="center"/>
            <w:hideMark/>
          </w:tcPr>
          <w:p w14:paraId="53410E54" w14:textId="77777777" w:rsidR="00795486" w:rsidRPr="00E40FD1" w:rsidRDefault="00795486"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Démographie</w:t>
            </w:r>
          </w:p>
        </w:tc>
        <w:tc>
          <w:tcPr>
            <w:tcW w:w="4252" w:type="dxa"/>
            <w:tcMar>
              <w:top w:w="80" w:type="dxa"/>
              <w:left w:w="120" w:type="dxa"/>
              <w:bottom w:w="80" w:type="dxa"/>
              <w:right w:w="120" w:type="dxa"/>
            </w:tcMar>
            <w:vAlign w:val="center"/>
            <w:hideMark/>
          </w:tcPr>
          <w:p w14:paraId="01CF8EFA" w14:textId="4D5442E3" w:rsidR="00795486" w:rsidRPr="00E40FD1" w:rsidRDefault="00795486"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 xml:space="preserve">Population totale ; taux de croissance (~3,3%/an)  </w:t>
            </w:r>
          </w:p>
        </w:tc>
        <w:tc>
          <w:tcPr>
            <w:tcW w:w="2419" w:type="dxa"/>
            <w:tcMar>
              <w:top w:w="80" w:type="dxa"/>
              <w:left w:w="120" w:type="dxa"/>
              <w:bottom w:w="80" w:type="dxa"/>
              <w:right w:w="120" w:type="dxa"/>
            </w:tcMar>
            <w:vAlign w:val="center"/>
            <w:hideMark/>
          </w:tcPr>
          <w:p w14:paraId="12ACB3DC" w14:textId="77777777" w:rsidR="00795486" w:rsidRPr="00E40FD1" w:rsidRDefault="00795486"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RGPH5 / INSTAT / EMOP</w:t>
            </w:r>
          </w:p>
        </w:tc>
      </w:tr>
      <w:tr w:rsidR="00795486" w:rsidRPr="00E40FD1" w14:paraId="3ED47127" w14:textId="77777777" w:rsidTr="004A6097">
        <w:trPr>
          <w:trHeight w:val="386"/>
        </w:trPr>
        <w:tc>
          <w:tcPr>
            <w:tcW w:w="2689" w:type="dxa"/>
            <w:tcMar>
              <w:top w:w="80" w:type="dxa"/>
              <w:left w:w="120" w:type="dxa"/>
              <w:bottom w:w="80" w:type="dxa"/>
              <w:right w:w="120" w:type="dxa"/>
            </w:tcMar>
            <w:vAlign w:val="center"/>
          </w:tcPr>
          <w:p w14:paraId="3E48071D" w14:textId="14EEE259" w:rsidR="00795486" w:rsidRPr="00E40FD1" w:rsidRDefault="00E35311"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Croissance économique</w:t>
            </w:r>
          </w:p>
        </w:tc>
        <w:tc>
          <w:tcPr>
            <w:tcW w:w="4252" w:type="dxa"/>
            <w:tcMar>
              <w:top w:w="80" w:type="dxa"/>
              <w:left w:w="120" w:type="dxa"/>
              <w:bottom w:w="80" w:type="dxa"/>
              <w:right w:w="120" w:type="dxa"/>
            </w:tcMar>
            <w:vAlign w:val="center"/>
          </w:tcPr>
          <w:p w14:paraId="6C45C5C4" w14:textId="18D52F24" w:rsidR="00795486" w:rsidRPr="00E40FD1" w:rsidRDefault="00B62670"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 xml:space="preserve">PIB </w:t>
            </w:r>
            <w:r w:rsidR="00DD6168" w:rsidRPr="00E40FD1">
              <w:rPr>
                <w:rFonts w:asciiTheme="minorHAnsi" w:hAnsiTheme="minorHAnsi" w:cstheme="minorHAnsi"/>
                <w:sz w:val="20"/>
                <w:szCs w:val="20"/>
              </w:rPr>
              <w:t>total ;</w:t>
            </w:r>
            <w:r w:rsidRPr="00E40FD1">
              <w:rPr>
                <w:rFonts w:asciiTheme="minorHAnsi" w:hAnsiTheme="minorHAnsi" w:cstheme="minorHAnsi"/>
                <w:sz w:val="20"/>
                <w:szCs w:val="20"/>
              </w:rPr>
              <w:t xml:space="preserve"> PIB par secteur (primaire, secondaire, tertiaire)</w:t>
            </w:r>
            <w:r w:rsidR="00DD6168" w:rsidRPr="00E40FD1">
              <w:rPr>
                <w:rFonts w:asciiTheme="minorHAnsi" w:hAnsiTheme="minorHAnsi" w:cstheme="minorHAnsi"/>
                <w:sz w:val="20"/>
                <w:szCs w:val="20"/>
              </w:rPr>
              <w:t> ; taux de croissance</w:t>
            </w:r>
          </w:p>
        </w:tc>
        <w:tc>
          <w:tcPr>
            <w:tcW w:w="2419" w:type="dxa"/>
            <w:tcMar>
              <w:top w:w="80" w:type="dxa"/>
              <w:left w:w="120" w:type="dxa"/>
              <w:bottom w:w="80" w:type="dxa"/>
              <w:right w:w="120" w:type="dxa"/>
            </w:tcMar>
            <w:vAlign w:val="center"/>
          </w:tcPr>
          <w:p w14:paraId="4BC0CF10" w14:textId="7036CBD9" w:rsidR="00795486" w:rsidRPr="00E40FD1" w:rsidRDefault="00C02ED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INSTAT</w:t>
            </w:r>
          </w:p>
        </w:tc>
      </w:tr>
      <w:tr w:rsidR="0054563D" w:rsidRPr="00E40FD1" w14:paraId="56E798C4" w14:textId="77777777" w:rsidTr="00F34CCA">
        <w:trPr>
          <w:trHeight w:val="20"/>
        </w:trPr>
        <w:tc>
          <w:tcPr>
            <w:tcW w:w="9360" w:type="dxa"/>
            <w:gridSpan w:val="3"/>
            <w:shd w:val="clear" w:color="auto" w:fill="D6E4F0"/>
            <w:tcMar>
              <w:top w:w="80" w:type="dxa"/>
              <w:left w:w="120" w:type="dxa"/>
              <w:bottom w:w="80" w:type="dxa"/>
              <w:right w:w="120" w:type="dxa"/>
            </w:tcMar>
            <w:vAlign w:val="center"/>
            <w:hideMark/>
          </w:tcPr>
          <w:p w14:paraId="26BA5F52" w14:textId="77777777"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color w:val="1F3864"/>
                <w:sz w:val="20"/>
                <w:szCs w:val="20"/>
              </w:rPr>
              <w:t>Demande</w:t>
            </w:r>
          </w:p>
        </w:tc>
      </w:tr>
      <w:tr w:rsidR="0054563D" w:rsidRPr="00E40FD1" w14:paraId="39E27BE0" w14:textId="77777777" w:rsidTr="004A6097">
        <w:trPr>
          <w:trHeight w:val="813"/>
        </w:trPr>
        <w:tc>
          <w:tcPr>
            <w:tcW w:w="2689" w:type="dxa"/>
            <w:tcMar>
              <w:top w:w="80" w:type="dxa"/>
              <w:left w:w="120" w:type="dxa"/>
              <w:bottom w:w="80" w:type="dxa"/>
              <w:right w:w="120" w:type="dxa"/>
            </w:tcMar>
            <w:vAlign w:val="center"/>
            <w:hideMark/>
          </w:tcPr>
          <w:p w14:paraId="0DDC7817" w14:textId="2982F27D"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 xml:space="preserve">Résidentiel </w:t>
            </w:r>
          </w:p>
        </w:tc>
        <w:tc>
          <w:tcPr>
            <w:tcW w:w="4252" w:type="dxa"/>
            <w:tcMar>
              <w:top w:w="80" w:type="dxa"/>
              <w:left w:w="120" w:type="dxa"/>
              <w:bottom w:w="80" w:type="dxa"/>
              <w:right w:w="120" w:type="dxa"/>
            </w:tcMar>
            <w:vAlign w:val="center"/>
            <w:hideMark/>
          </w:tcPr>
          <w:p w14:paraId="5DF7B883" w14:textId="16BDB3EB"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Consommation par source d'énergie (bois, charbon de bois, GPL, électricité) ; nombre de ménages ; consommation annuelle par ménage</w:t>
            </w:r>
          </w:p>
        </w:tc>
        <w:tc>
          <w:tcPr>
            <w:tcW w:w="2419" w:type="dxa"/>
            <w:tcMar>
              <w:top w:w="80" w:type="dxa"/>
              <w:left w:w="120" w:type="dxa"/>
              <w:bottom w:w="80" w:type="dxa"/>
              <w:right w:w="120" w:type="dxa"/>
            </w:tcMar>
            <w:vAlign w:val="center"/>
            <w:hideMark/>
          </w:tcPr>
          <w:p w14:paraId="036E4F3D" w14:textId="06AC0ABA"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SIE-UEMOA ; INSTAT ; RGPH5</w:t>
            </w:r>
          </w:p>
        </w:tc>
      </w:tr>
      <w:tr w:rsidR="0054563D" w:rsidRPr="00E40FD1" w14:paraId="5C295714" w14:textId="77777777" w:rsidTr="004A6097">
        <w:trPr>
          <w:trHeight w:val="234"/>
        </w:trPr>
        <w:tc>
          <w:tcPr>
            <w:tcW w:w="2689" w:type="dxa"/>
            <w:tcMar>
              <w:top w:w="80" w:type="dxa"/>
              <w:left w:w="120" w:type="dxa"/>
              <w:bottom w:w="80" w:type="dxa"/>
              <w:right w:w="120" w:type="dxa"/>
            </w:tcMar>
            <w:vAlign w:val="center"/>
            <w:hideMark/>
          </w:tcPr>
          <w:p w14:paraId="40B71A5D" w14:textId="77777777"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Transport</w:t>
            </w:r>
          </w:p>
        </w:tc>
        <w:tc>
          <w:tcPr>
            <w:tcW w:w="4252" w:type="dxa"/>
            <w:tcMar>
              <w:top w:w="80" w:type="dxa"/>
              <w:left w:w="120" w:type="dxa"/>
              <w:bottom w:w="80" w:type="dxa"/>
              <w:right w:w="120" w:type="dxa"/>
            </w:tcMar>
            <w:vAlign w:val="center"/>
            <w:hideMark/>
          </w:tcPr>
          <w:p w14:paraId="4B7B4165"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Consommation par source (essence, gasoil, jet kérosène)</w:t>
            </w:r>
          </w:p>
        </w:tc>
        <w:tc>
          <w:tcPr>
            <w:tcW w:w="2419" w:type="dxa"/>
            <w:tcMar>
              <w:top w:w="80" w:type="dxa"/>
              <w:left w:w="120" w:type="dxa"/>
              <w:bottom w:w="80" w:type="dxa"/>
              <w:right w:w="120" w:type="dxa"/>
            </w:tcMar>
            <w:vAlign w:val="center"/>
            <w:hideMark/>
          </w:tcPr>
          <w:p w14:paraId="528890D7"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SIE-UEMOA</w:t>
            </w:r>
          </w:p>
        </w:tc>
      </w:tr>
      <w:tr w:rsidR="0054563D" w:rsidRPr="00E40FD1" w14:paraId="2AABA6C4" w14:textId="77777777" w:rsidTr="004A6097">
        <w:trPr>
          <w:trHeight w:val="20"/>
        </w:trPr>
        <w:tc>
          <w:tcPr>
            <w:tcW w:w="2689" w:type="dxa"/>
            <w:tcMar>
              <w:top w:w="80" w:type="dxa"/>
              <w:left w:w="120" w:type="dxa"/>
              <w:bottom w:w="80" w:type="dxa"/>
              <w:right w:w="120" w:type="dxa"/>
            </w:tcMar>
            <w:vAlign w:val="center"/>
            <w:hideMark/>
          </w:tcPr>
          <w:p w14:paraId="38FE8557" w14:textId="77777777"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Commercial / Institutionnel</w:t>
            </w:r>
          </w:p>
        </w:tc>
        <w:tc>
          <w:tcPr>
            <w:tcW w:w="4252" w:type="dxa"/>
            <w:tcMar>
              <w:top w:w="80" w:type="dxa"/>
              <w:left w:w="120" w:type="dxa"/>
              <w:bottom w:w="80" w:type="dxa"/>
              <w:right w:w="120" w:type="dxa"/>
            </w:tcMar>
            <w:vAlign w:val="center"/>
            <w:hideMark/>
          </w:tcPr>
          <w:p w14:paraId="174E23BD"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Consommation par source (électricité, diesel, GPL)</w:t>
            </w:r>
          </w:p>
        </w:tc>
        <w:tc>
          <w:tcPr>
            <w:tcW w:w="2419" w:type="dxa"/>
            <w:tcMar>
              <w:top w:w="80" w:type="dxa"/>
              <w:left w:w="120" w:type="dxa"/>
              <w:bottom w:w="80" w:type="dxa"/>
              <w:right w:w="120" w:type="dxa"/>
            </w:tcMar>
            <w:vAlign w:val="center"/>
            <w:hideMark/>
          </w:tcPr>
          <w:p w14:paraId="2BBDC7ED"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SIE-UEMOA</w:t>
            </w:r>
          </w:p>
        </w:tc>
      </w:tr>
      <w:tr w:rsidR="0054563D" w:rsidRPr="00E40FD1" w14:paraId="5D3964EF" w14:textId="77777777" w:rsidTr="004A6097">
        <w:trPr>
          <w:trHeight w:val="20"/>
        </w:trPr>
        <w:tc>
          <w:tcPr>
            <w:tcW w:w="2689" w:type="dxa"/>
            <w:tcMar>
              <w:top w:w="80" w:type="dxa"/>
              <w:left w:w="120" w:type="dxa"/>
              <w:bottom w:w="80" w:type="dxa"/>
              <w:right w:w="120" w:type="dxa"/>
            </w:tcMar>
            <w:vAlign w:val="center"/>
            <w:hideMark/>
          </w:tcPr>
          <w:p w14:paraId="1629749D" w14:textId="77777777"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Industrie</w:t>
            </w:r>
          </w:p>
        </w:tc>
        <w:tc>
          <w:tcPr>
            <w:tcW w:w="4252" w:type="dxa"/>
            <w:tcMar>
              <w:top w:w="80" w:type="dxa"/>
              <w:left w:w="120" w:type="dxa"/>
              <w:bottom w:w="80" w:type="dxa"/>
              <w:right w:w="120" w:type="dxa"/>
            </w:tcMar>
            <w:vAlign w:val="center"/>
            <w:hideMark/>
          </w:tcPr>
          <w:p w14:paraId="4F6B627B" w14:textId="1D086910"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Consommation par source</w:t>
            </w:r>
            <w:r w:rsidR="003A3148" w:rsidRPr="00E40FD1">
              <w:rPr>
                <w:rFonts w:asciiTheme="minorHAnsi" w:hAnsiTheme="minorHAnsi" w:cstheme="minorHAnsi"/>
                <w:sz w:val="20"/>
                <w:szCs w:val="20"/>
              </w:rPr>
              <w:t xml:space="preserve"> </w:t>
            </w:r>
            <w:r w:rsidR="00DB6A4A" w:rsidRPr="00E40FD1">
              <w:rPr>
                <w:rFonts w:asciiTheme="minorHAnsi" w:hAnsiTheme="minorHAnsi" w:cstheme="minorHAnsi"/>
                <w:sz w:val="20"/>
                <w:szCs w:val="20"/>
              </w:rPr>
              <w:t>(électricité, fuel)</w:t>
            </w:r>
          </w:p>
        </w:tc>
        <w:tc>
          <w:tcPr>
            <w:tcW w:w="2419" w:type="dxa"/>
            <w:tcMar>
              <w:top w:w="80" w:type="dxa"/>
              <w:left w:w="120" w:type="dxa"/>
              <w:bottom w:w="80" w:type="dxa"/>
              <w:right w:w="120" w:type="dxa"/>
            </w:tcMar>
            <w:vAlign w:val="center"/>
            <w:hideMark/>
          </w:tcPr>
          <w:p w14:paraId="65ADF268"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SIE-UEMOA</w:t>
            </w:r>
          </w:p>
        </w:tc>
      </w:tr>
      <w:tr w:rsidR="0054563D" w:rsidRPr="00E40FD1" w14:paraId="23747B3A" w14:textId="77777777" w:rsidTr="004A6097">
        <w:trPr>
          <w:trHeight w:val="20"/>
        </w:trPr>
        <w:tc>
          <w:tcPr>
            <w:tcW w:w="2689" w:type="dxa"/>
            <w:tcMar>
              <w:top w:w="80" w:type="dxa"/>
              <w:left w:w="120" w:type="dxa"/>
              <w:bottom w:w="80" w:type="dxa"/>
              <w:right w:w="120" w:type="dxa"/>
            </w:tcMar>
            <w:vAlign w:val="center"/>
            <w:hideMark/>
          </w:tcPr>
          <w:p w14:paraId="7DE206E7" w14:textId="77777777"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Agriculture et pêche</w:t>
            </w:r>
          </w:p>
        </w:tc>
        <w:tc>
          <w:tcPr>
            <w:tcW w:w="4252" w:type="dxa"/>
            <w:tcMar>
              <w:top w:w="80" w:type="dxa"/>
              <w:left w:w="120" w:type="dxa"/>
              <w:bottom w:w="80" w:type="dxa"/>
              <w:right w:w="120" w:type="dxa"/>
            </w:tcMar>
            <w:vAlign w:val="center"/>
            <w:hideMark/>
          </w:tcPr>
          <w:p w14:paraId="632FC334"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Consommation par source (diesel, bois)</w:t>
            </w:r>
          </w:p>
        </w:tc>
        <w:tc>
          <w:tcPr>
            <w:tcW w:w="2419" w:type="dxa"/>
            <w:tcMar>
              <w:top w:w="80" w:type="dxa"/>
              <w:left w:w="120" w:type="dxa"/>
              <w:bottom w:w="80" w:type="dxa"/>
              <w:right w:w="120" w:type="dxa"/>
            </w:tcMar>
            <w:vAlign w:val="center"/>
            <w:hideMark/>
          </w:tcPr>
          <w:p w14:paraId="3A608253"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SIE-UEMOA</w:t>
            </w:r>
          </w:p>
        </w:tc>
      </w:tr>
      <w:tr w:rsidR="0054563D" w:rsidRPr="00E40FD1" w14:paraId="3C165019" w14:textId="77777777" w:rsidTr="00E56072">
        <w:trPr>
          <w:trHeight w:val="78"/>
        </w:trPr>
        <w:tc>
          <w:tcPr>
            <w:tcW w:w="9360" w:type="dxa"/>
            <w:gridSpan w:val="3"/>
            <w:shd w:val="clear" w:color="auto" w:fill="D6E4F0"/>
            <w:tcMar>
              <w:top w:w="80" w:type="dxa"/>
              <w:left w:w="120" w:type="dxa"/>
              <w:bottom w:w="80" w:type="dxa"/>
              <w:right w:w="120" w:type="dxa"/>
            </w:tcMar>
            <w:vAlign w:val="center"/>
            <w:hideMark/>
          </w:tcPr>
          <w:p w14:paraId="46A82814" w14:textId="77777777"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color w:val="1F3864"/>
                <w:sz w:val="20"/>
                <w:szCs w:val="20"/>
              </w:rPr>
              <w:t>Transformation</w:t>
            </w:r>
          </w:p>
        </w:tc>
      </w:tr>
      <w:tr w:rsidR="0054563D" w:rsidRPr="00E40FD1" w14:paraId="07EC79FC" w14:textId="77777777" w:rsidTr="004A6097">
        <w:trPr>
          <w:trHeight w:val="20"/>
        </w:trPr>
        <w:tc>
          <w:tcPr>
            <w:tcW w:w="2689" w:type="dxa"/>
            <w:tcMar>
              <w:top w:w="80" w:type="dxa"/>
              <w:left w:w="120" w:type="dxa"/>
              <w:bottom w:w="80" w:type="dxa"/>
              <w:right w:w="120" w:type="dxa"/>
            </w:tcMar>
            <w:vAlign w:val="center"/>
            <w:hideMark/>
          </w:tcPr>
          <w:p w14:paraId="3F0B97D6" w14:textId="77777777"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Réseau interconnecté (thermique)</w:t>
            </w:r>
          </w:p>
        </w:tc>
        <w:tc>
          <w:tcPr>
            <w:tcW w:w="4252" w:type="dxa"/>
            <w:tcMar>
              <w:top w:w="80" w:type="dxa"/>
              <w:left w:w="120" w:type="dxa"/>
              <w:bottom w:w="80" w:type="dxa"/>
              <w:right w:w="120" w:type="dxa"/>
            </w:tcMar>
            <w:vAlign w:val="center"/>
            <w:hideMark/>
          </w:tcPr>
          <w:p w14:paraId="3ACCD4E5"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Capacité installée ; production historique (GWh) ; consommation HFO/DDO/Diesel</w:t>
            </w:r>
          </w:p>
        </w:tc>
        <w:tc>
          <w:tcPr>
            <w:tcW w:w="2419" w:type="dxa"/>
            <w:tcMar>
              <w:top w:w="80" w:type="dxa"/>
              <w:left w:w="120" w:type="dxa"/>
              <w:bottom w:w="80" w:type="dxa"/>
              <w:right w:w="120" w:type="dxa"/>
            </w:tcMar>
            <w:vAlign w:val="center"/>
            <w:hideMark/>
          </w:tcPr>
          <w:p w14:paraId="5F101B19"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EDM-SA</w:t>
            </w:r>
          </w:p>
        </w:tc>
      </w:tr>
      <w:tr w:rsidR="0054563D" w:rsidRPr="00E40FD1" w14:paraId="070FDA4D" w14:textId="77777777" w:rsidTr="004A6097">
        <w:trPr>
          <w:trHeight w:val="20"/>
        </w:trPr>
        <w:tc>
          <w:tcPr>
            <w:tcW w:w="2689" w:type="dxa"/>
            <w:tcMar>
              <w:top w:w="80" w:type="dxa"/>
              <w:left w:w="120" w:type="dxa"/>
              <w:bottom w:w="80" w:type="dxa"/>
              <w:right w:w="120" w:type="dxa"/>
            </w:tcMar>
            <w:vAlign w:val="center"/>
            <w:hideMark/>
          </w:tcPr>
          <w:p w14:paraId="16105B3E" w14:textId="77777777"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Réseau interconnecté (hydro)</w:t>
            </w:r>
          </w:p>
        </w:tc>
        <w:tc>
          <w:tcPr>
            <w:tcW w:w="4252" w:type="dxa"/>
            <w:tcMar>
              <w:top w:w="80" w:type="dxa"/>
              <w:left w:w="120" w:type="dxa"/>
              <w:bottom w:w="80" w:type="dxa"/>
              <w:right w:w="120" w:type="dxa"/>
            </w:tcMar>
            <w:vAlign w:val="center"/>
            <w:hideMark/>
          </w:tcPr>
          <w:p w14:paraId="0C8910D3"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Capacité installée ; production historique (GWh)</w:t>
            </w:r>
          </w:p>
        </w:tc>
        <w:tc>
          <w:tcPr>
            <w:tcW w:w="2419" w:type="dxa"/>
            <w:tcMar>
              <w:top w:w="80" w:type="dxa"/>
              <w:left w:w="120" w:type="dxa"/>
              <w:bottom w:w="80" w:type="dxa"/>
              <w:right w:w="120" w:type="dxa"/>
            </w:tcMar>
            <w:vAlign w:val="center"/>
            <w:hideMark/>
          </w:tcPr>
          <w:p w14:paraId="01572415"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EDM-SA</w:t>
            </w:r>
          </w:p>
        </w:tc>
      </w:tr>
      <w:tr w:rsidR="0054563D" w:rsidRPr="00E40FD1" w14:paraId="25201374" w14:textId="77777777" w:rsidTr="004A6097">
        <w:trPr>
          <w:trHeight w:val="20"/>
        </w:trPr>
        <w:tc>
          <w:tcPr>
            <w:tcW w:w="2689" w:type="dxa"/>
            <w:tcMar>
              <w:top w:w="80" w:type="dxa"/>
              <w:left w:w="120" w:type="dxa"/>
              <w:bottom w:w="80" w:type="dxa"/>
              <w:right w:w="120" w:type="dxa"/>
            </w:tcMar>
            <w:vAlign w:val="center"/>
            <w:hideMark/>
          </w:tcPr>
          <w:p w14:paraId="063676F2" w14:textId="77777777"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Réseau interconnecté (solaire PV)</w:t>
            </w:r>
          </w:p>
        </w:tc>
        <w:tc>
          <w:tcPr>
            <w:tcW w:w="4252" w:type="dxa"/>
            <w:tcMar>
              <w:top w:w="80" w:type="dxa"/>
              <w:left w:w="120" w:type="dxa"/>
              <w:bottom w:w="80" w:type="dxa"/>
              <w:right w:w="120" w:type="dxa"/>
            </w:tcMar>
            <w:vAlign w:val="center"/>
            <w:hideMark/>
          </w:tcPr>
          <w:p w14:paraId="727DDF04"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Capacité installée ; production historique (GWh)</w:t>
            </w:r>
          </w:p>
        </w:tc>
        <w:tc>
          <w:tcPr>
            <w:tcW w:w="2419" w:type="dxa"/>
            <w:tcMar>
              <w:top w:w="80" w:type="dxa"/>
              <w:left w:w="120" w:type="dxa"/>
              <w:bottom w:w="80" w:type="dxa"/>
              <w:right w:w="120" w:type="dxa"/>
            </w:tcMar>
            <w:vAlign w:val="center"/>
            <w:hideMark/>
          </w:tcPr>
          <w:p w14:paraId="61E18E61"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EDM-SA</w:t>
            </w:r>
          </w:p>
        </w:tc>
      </w:tr>
      <w:tr w:rsidR="0054563D" w:rsidRPr="00E40FD1" w14:paraId="764DD5E9" w14:textId="77777777" w:rsidTr="004A6097">
        <w:trPr>
          <w:trHeight w:val="20"/>
        </w:trPr>
        <w:tc>
          <w:tcPr>
            <w:tcW w:w="2689" w:type="dxa"/>
            <w:tcMar>
              <w:top w:w="80" w:type="dxa"/>
              <w:left w:w="120" w:type="dxa"/>
              <w:bottom w:w="80" w:type="dxa"/>
              <w:right w:w="120" w:type="dxa"/>
            </w:tcMar>
            <w:vAlign w:val="center"/>
            <w:hideMark/>
          </w:tcPr>
          <w:p w14:paraId="5A97186A" w14:textId="06889A0A"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 xml:space="preserve">Centres isolés </w:t>
            </w:r>
          </w:p>
        </w:tc>
        <w:tc>
          <w:tcPr>
            <w:tcW w:w="4252" w:type="dxa"/>
            <w:tcMar>
              <w:top w:w="80" w:type="dxa"/>
              <w:left w:w="120" w:type="dxa"/>
              <w:bottom w:w="80" w:type="dxa"/>
              <w:right w:w="120" w:type="dxa"/>
            </w:tcMar>
            <w:vAlign w:val="center"/>
            <w:hideMark/>
          </w:tcPr>
          <w:p w14:paraId="71907B16"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Capacité installée ; production ; consommation diesel</w:t>
            </w:r>
          </w:p>
        </w:tc>
        <w:tc>
          <w:tcPr>
            <w:tcW w:w="2419" w:type="dxa"/>
            <w:tcMar>
              <w:top w:w="80" w:type="dxa"/>
              <w:left w:w="120" w:type="dxa"/>
              <w:bottom w:w="80" w:type="dxa"/>
              <w:right w:w="120" w:type="dxa"/>
            </w:tcMar>
            <w:vAlign w:val="center"/>
            <w:hideMark/>
          </w:tcPr>
          <w:p w14:paraId="4ECF005D" w14:textId="155DDD4F" w:rsidR="0054563D" w:rsidRPr="00E40FD1" w:rsidRDefault="001F6BF3"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EDM-SA</w:t>
            </w:r>
          </w:p>
        </w:tc>
      </w:tr>
      <w:tr w:rsidR="0054563D" w:rsidRPr="00E40FD1" w14:paraId="218C169F" w14:textId="77777777" w:rsidTr="004A6097">
        <w:trPr>
          <w:trHeight w:val="20"/>
        </w:trPr>
        <w:tc>
          <w:tcPr>
            <w:tcW w:w="2689" w:type="dxa"/>
            <w:tcMar>
              <w:top w:w="80" w:type="dxa"/>
              <w:left w:w="120" w:type="dxa"/>
              <w:bottom w:w="80" w:type="dxa"/>
              <w:right w:w="120" w:type="dxa"/>
            </w:tcMar>
            <w:vAlign w:val="center"/>
            <w:hideMark/>
          </w:tcPr>
          <w:p w14:paraId="23143B97" w14:textId="77777777"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Interconnexions régionales</w:t>
            </w:r>
          </w:p>
        </w:tc>
        <w:tc>
          <w:tcPr>
            <w:tcW w:w="4252" w:type="dxa"/>
            <w:tcMar>
              <w:top w:w="80" w:type="dxa"/>
              <w:left w:w="120" w:type="dxa"/>
              <w:bottom w:w="80" w:type="dxa"/>
              <w:right w:w="120" w:type="dxa"/>
            </w:tcMar>
            <w:vAlign w:val="center"/>
            <w:hideMark/>
          </w:tcPr>
          <w:p w14:paraId="5A3ED1B7"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Importations (GWh)</w:t>
            </w:r>
          </w:p>
        </w:tc>
        <w:tc>
          <w:tcPr>
            <w:tcW w:w="2419" w:type="dxa"/>
            <w:tcMar>
              <w:top w:w="80" w:type="dxa"/>
              <w:left w:w="120" w:type="dxa"/>
              <w:bottom w:w="80" w:type="dxa"/>
              <w:right w:w="120" w:type="dxa"/>
            </w:tcMar>
            <w:vAlign w:val="center"/>
            <w:hideMark/>
          </w:tcPr>
          <w:p w14:paraId="37004CB9"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EDM-SA / WAPP</w:t>
            </w:r>
          </w:p>
        </w:tc>
      </w:tr>
      <w:tr w:rsidR="0054563D" w:rsidRPr="00E40FD1" w14:paraId="01624935" w14:textId="77777777" w:rsidTr="004A6097">
        <w:trPr>
          <w:trHeight w:val="20"/>
        </w:trPr>
        <w:tc>
          <w:tcPr>
            <w:tcW w:w="2689" w:type="dxa"/>
            <w:tcMar>
              <w:top w:w="80" w:type="dxa"/>
              <w:left w:w="120" w:type="dxa"/>
              <w:bottom w:w="80" w:type="dxa"/>
              <w:right w:w="120" w:type="dxa"/>
            </w:tcMar>
            <w:vAlign w:val="center"/>
            <w:hideMark/>
          </w:tcPr>
          <w:p w14:paraId="164C9B32" w14:textId="77777777" w:rsidR="0054563D" w:rsidRPr="00E40FD1" w:rsidRDefault="0054563D" w:rsidP="00E40FD1">
            <w:pPr>
              <w:spacing w:after="0"/>
              <w:jc w:val="both"/>
              <w:rPr>
                <w:rFonts w:asciiTheme="minorHAnsi" w:hAnsiTheme="minorHAnsi" w:cstheme="minorHAnsi"/>
                <w:b/>
                <w:sz w:val="20"/>
                <w:szCs w:val="20"/>
              </w:rPr>
            </w:pPr>
            <w:r w:rsidRPr="00E40FD1">
              <w:rPr>
                <w:rFonts w:asciiTheme="minorHAnsi" w:hAnsiTheme="minorHAnsi" w:cstheme="minorHAnsi"/>
                <w:b/>
                <w:sz w:val="20"/>
                <w:szCs w:val="20"/>
              </w:rPr>
              <w:t>Pertes réseau</w:t>
            </w:r>
          </w:p>
        </w:tc>
        <w:tc>
          <w:tcPr>
            <w:tcW w:w="4252" w:type="dxa"/>
            <w:tcMar>
              <w:top w:w="80" w:type="dxa"/>
              <w:left w:w="120" w:type="dxa"/>
              <w:bottom w:w="80" w:type="dxa"/>
              <w:right w:w="120" w:type="dxa"/>
            </w:tcMar>
            <w:vAlign w:val="center"/>
            <w:hideMark/>
          </w:tcPr>
          <w:p w14:paraId="13EA80F1"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Taux de pertes techniques et non techniques (%)</w:t>
            </w:r>
          </w:p>
        </w:tc>
        <w:tc>
          <w:tcPr>
            <w:tcW w:w="2419" w:type="dxa"/>
            <w:tcMar>
              <w:top w:w="80" w:type="dxa"/>
              <w:left w:w="120" w:type="dxa"/>
              <w:bottom w:w="80" w:type="dxa"/>
              <w:right w:w="120" w:type="dxa"/>
            </w:tcMar>
            <w:vAlign w:val="center"/>
            <w:hideMark/>
          </w:tcPr>
          <w:p w14:paraId="266164BC" w14:textId="77777777" w:rsidR="0054563D" w:rsidRPr="00E40FD1" w:rsidRDefault="0054563D" w:rsidP="00E40FD1">
            <w:pPr>
              <w:spacing w:after="0"/>
              <w:jc w:val="both"/>
              <w:rPr>
                <w:rFonts w:asciiTheme="minorHAnsi" w:hAnsiTheme="minorHAnsi" w:cstheme="minorHAnsi"/>
                <w:sz w:val="20"/>
                <w:szCs w:val="20"/>
              </w:rPr>
            </w:pPr>
            <w:r w:rsidRPr="00E40FD1">
              <w:rPr>
                <w:rFonts w:asciiTheme="minorHAnsi" w:hAnsiTheme="minorHAnsi" w:cstheme="minorHAnsi"/>
                <w:sz w:val="20"/>
                <w:szCs w:val="20"/>
              </w:rPr>
              <w:t>EDM-SA</w:t>
            </w:r>
          </w:p>
        </w:tc>
      </w:tr>
    </w:tbl>
    <w:p w14:paraId="72BC3D63" w14:textId="753F58BE" w:rsidR="00903924" w:rsidRPr="007E3375" w:rsidRDefault="00903924" w:rsidP="000B2D5E">
      <w:pPr>
        <w:pStyle w:val="Corpsdetexte"/>
        <w:spacing w:before="240" w:after="240"/>
        <w:ind w:left="0"/>
        <w:jc w:val="both"/>
        <w:rPr>
          <w:rFonts w:ascii="Calibri" w:eastAsia="Calibri" w:hAnsi="Calibri"/>
          <w:sz w:val="22"/>
          <w:szCs w:val="22"/>
          <w:lang w:val="fr-FR" w:eastAsia="en-US"/>
        </w:rPr>
      </w:pPr>
      <w:r w:rsidRPr="00903924">
        <w:rPr>
          <w:rFonts w:ascii="Calibri" w:eastAsia="Calibri" w:hAnsi="Calibri"/>
          <w:sz w:val="22"/>
          <w:szCs w:val="22"/>
          <w:lang w:val="fr-FR" w:eastAsia="en-US"/>
        </w:rPr>
        <w:t>Le paramétrage a été conduit à un niveau de granularité fin, en particulier pour le module électrique : chaque centrale du parc national a été renseignée individuellement (hydroélectriques, thermiques EDM, IPP et centres isolés), avec ses caractéristiques propres et ses trajectoires de capacité, comme l'illustre la figure ci-dessous.</w:t>
      </w:r>
    </w:p>
    <w:p w14:paraId="583F280D" w14:textId="34E80490" w:rsidR="006874D8" w:rsidRDefault="00751F2B" w:rsidP="007D2BB8">
      <w:pPr>
        <w:keepNext/>
        <w:jc w:val="center"/>
        <w:rPr>
          <w:lang w:eastAsia="en-US"/>
        </w:rPr>
      </w:pPr>
      <w:r w:rsidRPr="00751F2B">
        <w:rPr>
          <w:noProof/>
          <w:lang w:eastAsia="en-US"/>
        </w:rPr>
        <w:lastRenderedPageBreak/>
        <w:drawing>
          <wp:inline distT="0" distB="0" distL="0" distR="0" wp14:anchorId="7AD5ACC8" wp14:editId="511578C7">
            <wp:extent cx="5324030" cy="2884745"/>
            <wp:effectExtent l="0" t="0" r="0" b="0"/>
            <wp:docPr id="1871617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617911" name=""/>
                    <pic:cNvPicPr/>
                  </pic:nvPicPr>
                  <pic:blipFill>
                    <a:blip r:embed="rId17"/>
                    <a:stretch>
                      <a:fillRect/>
                    </a:stretch>
                  </pic:blipFill>
                  <pic:spPr>
                    <a:xfrm>
                      <a:off x="0" y="0"/>
                      <a:ext cx="5343577" cy="2895336"/>
                    </a:xfrm>
                    <a:prstGeom prst="rect">
                      <a:avLst/>
                    </a:prstGeom>
                  </pic:spPr>
                </pic:pic>
              </a:graphicData>
            </a:graphic>
          </wp:inline>
        </w:drawing>
      </w:r>
    </w:p>
    <w:p w14:paraId="5DF7D82C" w14:textId="29B08509" w:rsidR="007D2BB8" w:rsidRDefault="007D2BB8" w:rsidP="007D2BB8">
      <w:pPr>
        <w:pStyle w:val="Lgende"/>
        <w:jc w:val="center"/>
      </w:pPr>
      <w:bookmarkStart w:id="39" w:name="_Toc234853912"/>
      <w:r>
        <w:t xml:space="preserve">Figure </w:t>
      </w:r>
      <w:r>
        <w:fldChar w:fldCharType="begin"/>
      </w:r>
      <w:r>
        <w:instrText xml:space="preserve"> SEQ Figure \* ARABIC </w:instrText>
      </w:r>
      <w:r>
        <w:fldChar w:fldCharType="separate"/>
      </w:r>
      <w:r w:rsidR="004D5580">
        <w:rPr>
          <w:noProof/>
        </w:rPr>
        <w:t>2</w:t>
      </w:r>
      <w:r>
        <w:fldChar w:fldCharType="end"/>
      </w:r>
      <w:r w:rsidRPr="00036B0E">
        <w:t xml:space="preserve"> : Extrait du paramétrage du parc de production électrique malien sous LEAP</w:t>
      </w:r>
      <w:bookmarkEnd w:id="39"/>
    </w:p>
    <w:p w14:paraId="6761EF28" w14:textId="6DC2763E" w:rsidR="00B430EC" w:rsidRPr="00B430EC" w:rsidRDefault="00B430EC" w:rsidP="00D713D0">
      <w:pPr>
        <w:jc w:val="both"/>
        <w:rPr>
          <w:lang w:eastAsia="en-US"/>
        </w:rPr>
      </w:pPr>
      <w:r w:rsidRPr="00B430EC">
        <w:rPr>
          <w:lang w:eastAsia="en-US"/>
        </w:rPr>
        <w:t>Le tableau ci-dessous présente les résultats de la ligne de base pour le secteur de l'énergie, comparant les émissions de l'année de référence (2022) aux projections à l'horizon 2035 selon le scénario tendanciel (BAU). Les émissions sont exprimées en milliers de tonnes métriques d'équivalent CO₂ (kt CO₂éq).</w:t>
      </w:r>
    </w:p>
    <w:p w14:paraId="361EA6B8" w14:textId="0A458F78" w:rsidR="00AC0672" w:rsidRPr="00845ADB" w:rsidRDefault="00AC0672" w:rsidP="00AC0672">
      <w:pPr>
        <w:pStyle w:val="Lgende"/>
        <w:keepNext/>
        <w:rPr>
          <w:sz w:val="20"/>
          <w:szCs w:val="20"/>
        </w:rPr>
      </w:pPr>
      <w:bookmarkStart w:id="40" w:name="_Toc234853939"/>
      <w:r w:rsidRPr="00845ADB">
        <w:rPr>
          <w:sz w:val="20"/>
          <w:szCs w:val="20"/>
        </w:rPr>
        <w:t xml:space="preserve">Tableau </w:t>
      </w:r>
      <w:r w:rsidRPr="00845ADB">
        <w:rPr>
          <w:sz w:val="20"/>
          <w:szCs w:val="20"/>
        </w:rPr>
        <w:fldChar w:fldCharType="begin"/>
      </w:r>
      <w:r w:rsidRPr="00845ADB">
        <w:rPr>
          <w:sz w:val="20"/>
          <w:szCs w:val="20"/>
        </w:rPr>
        <w:instrText xml:space="preserve"> SEQ Tableau \* ARABIC </w:instrText>
      </w:r>
      <w:r w:rsidRPr="00845ADB">
        <w:rPr>
          <w:sz w:val="20"/>
          <w:szCs w:val="20"/>
        </w:rPr>
        <w:fldChar w:fldCharType="separate"/>
      </w:r>
      <w:r w:rsidR="0018772E">
        <w:rPr>
          <w:noProof/>
          <w:sz w:val="20"/>
          <w:szCs w:val="20"/>
        </w:rPr>
        <w:t>15</w:t>
      </w:r>
      <w:r w:rsidRPr="00845ADB">
        <w:rPr>
          <w:sz w:val="20"/>
          <w:szCs w:val="20"/>
        </w:rPr>
        <w:fldChar w:fldCharType="end"/>
      </w:r>
      <w:r w:rsidRPr="00E35393">
        <w:rPr>
          <w:sz w:val="20"/>
          <w:szCs w:val="20"/>
        </w:rPr>
        <w:t xml:space="preserve"> : Résultats des émissions </w:t>
      </w:r>
      <w:r w:rsidR="00507325" w:rsidRPr="00E35393">
        <w:rPr>
          <w:sz w:val="20"/>
          <w:szCs w:val="20"/>
        </w:rPr>
        <w:t>de la</w:t>
      </w:r>
      <w:r w:rsidRPr="00E35393">
        <w:rPr>
          <w:sz w:val="20"/>
          <w:szCs w:val="20"/>
        </w:rPr>
        <w:t xml:space="preserve"> ligne de base pour le secteur de l’énergie </w:t>
      </w:r>
      <w:r w:rsidR="00595A5A" w:rsidRPr="00E35393">
        <w:rPr>
          <w:sz w:val="20"/>
          <w:szCs w:val="20"/>
        </w:rPr>
        <w:t xml:space="preserve">en </w:t>
      </w:r>
      <w:r w:rsidR="00C71A28" w:rsidRPr="00E35393">
        <w:rPr>
          <w:sz w:val="20"/>
          <w:szCs w:val="20"/>
        </w:rPr>
        <w:t>kT</w:t>
      </w:r>
      <w:r w:rsidR="00595A5A" w:rsidRPr="00E35393">
        <w:rPr>
          <w:sz w:val="20"/>
          <w:szCs w:val="20"/>
        </w:rPr>
        <w:t>CO</w:t>
      </w:r>
      <w:r w:rsidR="00595A5A" w:rsidRPr="00E35393">
        <w:rPr>
          <w:sz w:val="20"/>
          <w:szCs w:val="20"/>
          <w:vertAlign w:val="subscript"/>
        </w:rPr>
        <w:t>2</w:t>
      </w:r>
      <w:r w:rsidR="00595A5A" w:rsidRPr="00E35393">
        <w:rPr>
          <w:sz w:val="20"/>
          <w:szCs w:val="20"/>
        </w:rPr>
        <w:t>éq</w:t>
      </w:r>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44"/>
        <w:gridCol w:w="1337"/>
        <w:gridCol w:w="1248"/>
        <w:gridCol w:w="1337"/>
        <w:gridCol w:w="1246"/>
      </w:tblGrid>
      <w:tr w:rsidR="00630FB8" w:rsidRPr="00650047" w14:paraId="5CB23EB1" w14:textId="77777777" w:rsidTr="00650047">
        <w:tc>
          <w:tcPr>
            <w:tcW w:w="2255" w:type="pct"/>
            <w:tcBorders>
              <w:top w:val="single" w:sz="2" w:space="0" w:color="B4C6E7"/>
              <w:left w:val="single" w:sz="2" w:space="0" w:color="B4C6E7"/>
              <w:bottom w:val="single" w:sz="2" w:space="0" w:color="B4C6E7"/>
              <w:right w:val="single" w:sz="2" w:space="0" w:color="B4C6E7"/>
            </w:tcBorders>
            <w:shd w:val="clear" w:color="auto" w:fill="1F4E79" w:themeFill="accent1" w:themeFillShade="80"/>
            <w:tcMar>
              <w:top w:w="80" w:type="dxa"/>
              <w:left w:w="120" w:type="dxa"/>
              <w:bottom w:w="80" w:type="dxa"/>
              <w:right w:w="120" w:type="dxa"/>
            </w:tcMar>
            <w:vAlign w:val="center"/>
            <w:hideMark/>
          </w:tcPr>
          <w:p w14:paraId="3320CA9E" w14:textId="77777777" w:rsidR="00B430EC" w:rsidRPr="00150AAC" w:rsidRDefault="00B430EC" w:rsidP="00650047">
            <w:pPr>
              <w:spacing w:after="0" w:line="240" w:lineRule="auto"/>
              <w:jc w:val="center"/>
              <w:rPr>
                <w:color w:val="FFFFFF" w:themeColor="background1"/>
                <w:sz w:val="20"/>
                <w:szCs w:val="20"/>
                <w:lang w:eastAsia="en-US"/>
              </w:rPr>
            </w:pPr>
            <w:r w:rsidRPr="00150AAC">
              <w:rPr>
                <w:b/>
                <w:color w:val="FFFFFF" w:themeColor="background1"/>
                <w:sz w:val="20"/>
                <w:szCs w:val="20"/>
                <w:lang w:eastAsia="en-US"/>
              </w:rPr>
              <w:t>Sous-secteur</w:t>
            </w:r>
          </w:p>
        </w:tc>
        <w:tc>
          <w:tcPr>
            <w:tcW w:w="710" w:type="pct"/>
            <w:tcBorders>
              <w:top w:val="single" w:sz="2" w:space="0" w:color="B4C6E7"/>
              <w:left w:val="single" w:sz="2" w:space="0" w:color="B4C6E7"/>
              <w:bottom w:val="single" w:sz="2" w:space="0" w:color="B4C6E7"/>
              <w:right w:val="single" w:sz="2" w:space="0" w:color="B4C6E7"/>
            </w:tcBorders>
            <w:shd w:val="clear" w:color="auto" w:fill="1F4E79" w:themeFill="accent1" w:themeFillShade="80"/>
            <w:tcMar>
              <w:top w:w="80" w:type="dxa"/>
              <w:left w:w="120" w:type="dxa"/>
              <w:bottom w:w="80" w:type="dxa"/>
              <w:right w:w="120" w:type="dxa"/>
            </w:tcMar>
            <w:vAlign w:val="center"/>
            <w:hideMark/>
          </w:tcPr>
          <w:p w14:paraId="0C09D742" w14:textId="5F157B2F" w:rsidR="00B430EC" w:rsidRPr="00150AAC" w:rsidRDefault="00EA19B9" w:rsidP="00650047">
            <w:pPr>
              <w:spacing w:after="0" w:line="240" w:lineRule="auto"/>
              <w:jc w:val="center"/>
              <w:rPr>
                <w:color w:val="FFFFFF" w:themeColor="background1"/>
                <w:sz w:val="20"/>
                <w:szCs w:val="20"/>
                <w:lang w:eastAsia="en-US"/>
              </w:rPr>
            </w:pPr>
            <w:r w:rsidRPr="00150AAC">
              <w:rPr>
                <w:b/>
                <w:color w:val="FFFFFF" w:themeColor="background1"/>
                <w:sz w:val="20"/>
                <w:szCs w:val="20"/>
                <w:lang w:eastAsia="en-US"/>
              </w:rPr>
              <w:t xml:space="preserve">Emissions en </w:t>
            </w:r>
            <w:r w:rsidR="00B430EC" w:rsidRPr="00150AAC">
              <w:rPr>
                <w:b/>
                <w:color w:val="FFFFFF" w:themeColor="background1"/>
                <w:sz w:val="20"/>
                <w:szCs w:val="20"/>
                <w:lang w:eastAsia="en-US"/>
              </w:rPr>
              <w:t>2022</w:t>
            </w:r>
            <w:r w:rsidRPr="00150AAC">
              <w:rPr>
                <w:b/>
                <w:color w:val="FFFFFF" w:themeColor="background1"/>
                <w:sz w:val="20"/>
                <w:szCs w:val="20"/>
                <w:lang w:eastAsia="en-US"/>
              </w:rPr>
              <w:t xml:space="preserve"> (kTCO</w:t>
            </w:r>
            <w:r w:rsidRPr="00150AAC">
              <w:rPr>
                <w:b/>
                <w:color w:val="FFFFFF" w:themeColor="background1"/>
                <w:sz w:val="20"/>
                <w:szCs w:val="20"/>
                <w:vertAlign w:val="subscript"/>
                <w:lang w:eastAsia="en-US"/>
              </w:rPr>
              <w:t>2</w:t>
            </w:r>
            <w:r w:rsidRPr="00150AAC">
              <w:rPr>
                <w:b/>
                <w:color w:val="FFFFFF" w:themeColor="background1"/>
                <w:sz w:val="20"/>
                <w:szCs w:val="20"/>
                <w:lang w:eastAsia="en-US"/>
              </w:rPr>
              <w:t>éq)</w:t>
            </w:r>
          </w:p>
        </w:tc>
        <w:tc>
          <w:tcPr>
            <w:tcW w:w="663" w:type="pct"/>
            <w:tcBorders>
              <w:top w:val="single" w:sz="2" w:space="0" w:color="B4C6E7"/>
              <w:left w:val="single" w:sz="2" w:space="0" w:color="B4C6E7"/>
              <w:bottom w:val="single" w:sz="2" w:space="0" w:color="B4C6E7"/>
              <w:right w:val="single" w:sz="2" w:space="0" w:color="B4C6E7"/>
            </w:tcBorders>
            <w:shd w:val="clear" w:color="auto" w:fill="1F4E79" w:themeFill="accent1" w:themeFillShade="80"/>
            <w:tcMar>
              <w:top w:w="80" w:type="dxa"/>
              <w:left w:w="120" w:type="dxa"/>
              <w:bottom w:w="80" w:type="dxa"/>
              <w:right w:w="120" w:type="dxa"/>
            </w:tcMar>
            <w:vAlign w:val="center"/>
            <w:hideMark/>
          </w:tcPr>
          <w:p w14:paraId="7093B9DE" w14:textId="44987B2B" w:rsidR="00B430EC" w:rsidRPr="00150AAC" w:rsidRDefault="00B430EC" w:rsidP="00650047">
            <w:pPr>
              <w:spacing w:after="0" w:line="240" w:lineRule="auto"/>
              <w:jc w:val="center"/>
              <w:rPr>
                <w:color w:val="FFFFFF" w:themeColor="background1"/>
                <w:sz w:val="20"/>
                <w:szCs w:val="20"/>
                <w:lang w:eastAsia="en-US"/>
              </w:rPr>
            </w:pPr>
            <w:r w:rsidRPr="00150AAC">
              <w:rPr>
                <w:b/>
                <w:color w:val="FFFFFF" w:themeColor="background1"/>
                <w:sz w:val="20"/>
                <w:szCs w:val="20"/>
                <w:lang w:eastAsia="en-US"/>
              </w:rPr>
              <w:t>Part</w:t>
            </w:r>
            <w:r w:rsidR="00EA19B9" w:rsidRPr="00150AAC">
              <w:rPr>
                <w:b/>
                <w:color w:val="FFFFFF" w:themeColor="background1"/>
                <w:sz w:val="20"/>
                <w:szCs w:val="20"/>
                <w:lang w:eastAsia="en-US"/>
              </w:rPr>
              <w:t xml:space="preserve"> </w:t>
            </w:r>
          </w:p>
        </w:tc>
        <w:tc>
          <w:tcPr>
            <w:tcW w:w="710" w:type="pct"/>
            <w:tcBorders>
              <w:top w:val="single" w:sz="2" w:space="0" w:color="B4C6E7"/>
              <w:left w:val="single" w:sz="2" w:space="0" w:color="B4C6E7"/>
              <w:bottom w:val="single" w:sz="2" w:space="0" w:color="B4C6E7"/>
              <w:right w:val="single" w:sz="2" w:space="0" w:color="B4C6E7"/>
            </w:tcBorders>
            <w:shd w:val="clear" w:color="auto" w:fill="1F4E79" w:themeFill="accent1" w:themeFillShade="80"/>
            <w:tcMar>
              <w:top w:w="80" w:type="dxa"/>
              <w:left w:w="120" w:type="dxa"/>
              <w:bottom w:w="80" w:type="dxa"/>
              <w:right w:w="120" w:type="dxa"/>
            </w:tcMar>
            <w:vAlign w:val="center"/>
            <w:hideMark/>
          </w:tcPr>
          <w:p w14:paraId="6E4E7102" w14:textId="1816AAAD" w:rsidR="00B430EC" w:rsidRPr="00150AAC" w:rsidRDefault="00EA19B9" w:rsidP="00650047">
            <w:pPr>
              <w:spacing w:after="0" w:line="240" w:lineRule="auto"/>
              <w:jc w:val="center"/>
              <w:rPr>
                <w:color w:val="FFFFFF" w:themeColor="background1"/>
                <w:sz w:val="20"/>
                <w:szCs w:val="20"/>
                <w:lang w:eastAsia="en-US"/>
              </w:rPr>
            </w:pPr>
            <w:r w:rsidRPr="00150AAC">
              <w:rPr>
                <w:b/>
                <w:color w:val="FFFFFF" w:themeColor="background1"/>
                <w:sz w:val="20"/>
                <w:szCs w:val="20"/>
                <w:lang w:eastAsia="en-US"/>
              </w:rPr>
              <w:t>Emissions en 2035 (kTCO</w:t>
            </w:r>
            <w:r w:rsidRPr="00150AAC">
              <w:rPr>
                <w:b/>
                <w:color w:val="FFFFFF" w:themeColor="background1"/>
                <w:sz w:val="20"/>
                <w:szCs w:val="20"/>
                <w:vertAlign w:val="subscript"/>
                <w:lang w:eastAsia="en-US"/>
              </w:rPr>
              <w:t>2</w:t>
            </w:r>
            <w:r w:rsidRPr="00150AAC">
              <w:rPr>
                <w:b/>
                <w:color w:val="FFFFFF" w:themeColor="background1"/>
                <w:sz w:val="20"/>
                <w:szCs w:val="20"/>
                <w:lang w:eastAsia="en-US"/>
              </w:rPr>
              <w:t>éq)</w:t>
            </w:r>
          </w:p>
        </w:tc>
        <w:tc>
          <w:tcPr>
            <w:tcW w:w="662" w:type="pct"/>
            <w:tcBorders>
              <w:top w:val="single" w:sz="2" w:space="0" w:color="B4C6E7"/>
              <w:left w:val="single" w:sz="2" w:space="0" w:color="B4C6E7"/>
              <w:bottom w:val="single" w:sz="2" w:space="0" w:color="B4C6E7"/>
              <w:right w:val="single" w:sz="2" w:space="0" w:color="B4C6E7"/>
            </w:tcBorders>
            <w:shd w:val="clear" w:color="auto" w:fill="1F4E79" w:themeFill="accent1" w:themeFillShade="80"/>
            <w:tcMar>
              <w:top w:w="80" w:type="dxa"/>
              <w:left w:w="120" w:type="dxa"/>
              <w:bottom w:w="80" w:type="dxa"/>
              <w:right w:w="120" w:type="dxa"/>
            </w:tcMar>
            <w:vAlign w:val="center"/>
            <w:hideMark/>
          </w:tcPr>
          <w:p w14:paraId="52524134" w14:textId="77777777" w:rsidR="00B430EC" w:rsidRPr="00150AAC" w:rsidRDefault="00B430EC" w:rsidP="00650047">
            <w:pPr>
              <w:spacing w:after="0" w:line="240" w:lineRule="auto"/>
              <w:jc w:val="center"/>
              <w:rPr>
                <w:color w:val="FFFFFF" w:themeColor="background1"/>
                <w:sz w:val="20"/>
                <w:szCs w:val="20"/>
                <w:lang w:eastAsia="en-US"/>
              </w:rPr>
            </w:pPr>
            <w:r w:rsidRPr="00150AAC">
              <w:rPr>
                <w:b/>
                <w:color w:val="FFFFFF" w:themeColor="background1"/>
                <w:sz w:val="20"/>
                <w:szCs w:val="20"/>
                <w:lang w:eastAsia="en-US"/>
              </w:rPr>
              <w:t>Part</w:t>
            </w:r>
          </w:p>
        </w:tc>
      </w:tr>
      <w:tr w:rsidR="00630FB8" w:rsidRPr="00650047" w14:paraId="71E7E609" w14:textId="77777777" w:rsidTr="0024143B">
        <w:tc>
          <w:tcPr>
            <w:tcW w:w="2255"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hideMark/>
          </w:tcPr>
          <w:p w14:paraId="4E369695" w14:textId="77777777" w:rsidR="00B430EC" w:rsidRPr="00650047" w:rsidRDefault="00B430EC" w:rsidP="00650047">
            <w:pPr>
              <w:spacing w:after="0" w:line="240" w:lineRule="auto"/>
              <w:rPr>
                <w:b/>
                <w:sz w:val="20"/>
                <w:szCs w:val="20"/>
                <w:lang w:eastAsia="en-US"/>
              </w:rPr>
            </w:pPr>
            <w:r w:rsidRPr="00650047">
              <w:rPr>
                <w:b/>
                <w:sz w:val="20"/>
                <w:szCs w:val="20"/>
                <w:lang w:eastAsia="en-US"/>
              </w:rPr>
              <w:t>Résidentiel</w:t>
            </w:r>
          </w:p>
        </w:tc>
        <w:tc>
          <w:tcPr>
            <w:tcW w:w="710"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1F3BC080"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1 740</w:t>
            </w:r>
          </w:p>
        </w:tc>
        <w:tc>
          <w:tcPr>
            <w:tcW w:w="663"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5254B754"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16,8%</w:t>
            </w:r>
          </w:p>
        </w:tc>
        <w:tc>
          <w:tcPr>
            <w:tcW w:w="710"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170A00A3"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4 345</w:t>
            </w:r>
          </w:p>
        </w:tc>
        <w:tc>
          <w:tcPr>
            <w:tcW w:w="662"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75C72F00"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19,3%</w:t>
            </w:r>
          </w:p>
        </w:tc>
      </w:tr>
      <w:tr w:rsidR="00630FB8" w:rsidRPr="00650047" w14:paraId="10A5A1F8" w14:textId="77777777" w:rsidTr="0024143B">
        <w:tc>
          <w:tcPr>
            <w:tcW w:w="2255"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hideMark/>
          </w:tcPr>
          <w:p w14:paraId="6870DDBB" w14:textId="77777777" w:rsidR="00B430EC" w:rsidRPr="00650047" w:rsidRDefault="00B430EC" w:rsidP="00650047">
            <w:pPr>
              <w:spacing w:after="0" w:line="240" w:lineRule="auto"/>
              <w:rPr>
                <w:b/>
                <w:sz w:val="20"/>
                <w:szCs w:val="20"/>
                <w:lang w:eastAsia="en-US"/>
              </w:rPr>
            </w:pPr>
            <w:r w:rsidRPr="00650047">
              <w:rPr>
                <w:b/>
                <w:sz w:val="20"/>
                <w:szCs w:val="20"/>
                <w:lang w:eastAsia="en-US"/>
              </w:rPr>
              <w:t>Transport</w:t>
            </w:r>
          </w:p>
        </w:tc>
        <w:tc>
          <w:tcPr>
            <w:tcW w:w="710"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4CF72F84"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5 725</w:t>
            </w:r>
          </w:p>
        </w:tc>
        <w:tc>
          <w:tcPr>
            <w:tcW w:w="663"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41E6B9F6"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55,3%</w:t>
            </w:r>
          </w:p>
        </w:tc>
        <w:tc>
          <w:tcPr>
            <w:tcW w:w="710"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4B78F87E"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10 293</w:t>
            </w:r>
          </w:p>
        </w:tc>
        <w:tc>
          <w:tcPr>
            <w:tcW w:w="662"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7AE1E9B7"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45,8%</w:t>
            </w:r>
          </w:p>
        </w:tc>
      </w:tr>
      <w:tr w:rsidR="00630FB8" w:rsidRPr="00650047" w14:paraId="23DF2D82" w14:textId="77777777" w:rsidTr="0024143B">
        <w:tc>
          <w:tcPr>
            <w:tcW w:w="2255"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hideMark/>
          </w:tcPr>
          <w:p w14:paraId="3D43515B" w14:textId="77777777" w:rsidR="00B430EC" w:rsidRPr="00650047" w:rsidRDefault="00B430EC" w:rsidP="00650047">
            <w:pPr>
              <w:spacing w:after="0" w:line="240" w:lineRule="auto"/>
              <w:rPr>
                <w:b/>
                <w:sz w:val="20"/>
                <w:szCs w:val="20"/>
                <w:lang w:eastAsia="en-US"/>
              </w:rPr>
            </w:pPr>
            <w:r w:rsidRPr="00650047">
              <w:rPr>
                <w:b/>
                <w:sz w:val="20"/>
                <w:szCs w:val="20"/>
                <w:lang w:eastAsia="en-US"/>
              </w:rPr>
              <w:t>Tertiaire / Commercial</w:t>
            </w:r>
          </w:p>
        </w:tc>
        <w:tc>
          <w:tcPr>
            <w:tcW w:w="710"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5A94D49E"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259</w:t>
            </w:r>
          </w:p>
        </w:tc>
        <w:tc>
          <w:tcPr>
            <w:tcW w:w="663"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1AAD92F5"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2,5%</w:t>
            </w:r>
          </w:p>
        </w:tc>
        <w:tc>
          <w:tcPr>
            <w:tcW w:w="710"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0FEB8784"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458</w:t>
            </w:r>
          </w:p>
        </w:tc>
        <w:tc>
          <w:tcPr>
            <w:tcW w:w="662"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59BA8381"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2,0%</w:t>
            </w:r>
          </w:p>
        </w:tc>
      </w:tr>
      <w:tr w:rsidR="00630FB8" w:rsidRPr="00650047" w14:paraId="5EC121D8" w14:textId="77777777" w:rsidTr="0024143B">
        <w:tc>
          <w:tcPr>
            <w:tcW w:w="2255"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hideMark/>
          </w:tcPr>
          <w:p w14:paraId="43E193D7" w14:textId="77777777" w:rsidR="00B430EC" w:rsidRPr="00650047" w:rsidRDefault="00B430EC" w:rsidP="00650047">
            <w:pPr>
              <w:spacing w:after="0" w:line="240" w:lineRule="auto"/>
              <w:rPr>
                <w:b/>
                <w:sz w:val="20"/>
                <w:szCs w:val="20"/>
                <w:lang w:eastAsia="en-US"/>
              </w:rPr>
            </w:pPr>
            <w:r w:rsidRPr="00650047">
              <w:rPr>
                <w:b/>
                <w:sz w:val="20"/>
                <w:szCs w:val="20"/>
                <w:lang w:eastAsia="en-US"/>
              </w:rPr>
              <w:t>Industrie</w:t>
            </w:r>
          </w:p>
        </w:tc>
        <w:tc>
          <w:tcPr>
            <w:tcW w:w="710"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3FF1811D"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165</w:t>
            </w:r>
          </w:p>
        </w:tc>
        <w:tc>
          <w:tcPr>
            <w:tcW w:w="663"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2EF2FF7E"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1,6%</w:t>
            </w:r>
          </w:p>
        </w:tc>
        <w:tc>
          <w:tcPr>
            <w:tcW w:w="710"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3B4042F7"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78</w:t>
            </w:r>
          </w:p>
        </w:tc>
        <w:tc>
          <w:tcPr>
            <w:tcW w:w="662"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2B55CE6E"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0,3%</w:t>
            </w:r>
          </w:p>
        </w:tc>
      </w:tr>
      <w:tr w:rsidR="00630FB8" w:rsidRPr="00650047" w14:paraId="2B0DD4F7" w14:textId="77777777" w:rsidTr="0024143B">
        <w:tc>
          <w:tcPr>
            <w:tcW w:w="2255"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hideMark/>
          </w:tcPr>
          <w:p w14:paraId="323C48B7" w14:textId="77777777" w:rsidR="00B430EC" w:rsidRPr="00650047" w:rsidRDefault="00B430EC" w:rsidP="00650047">
            <w:pPr>
              <w:spacing w:after="0" w:line="240" w:lineRule="auto"/>
              <w:rPr>
                <w:b/>
                <w:sz w:val="20"/>
                <w:szCs w:val="20"/>
                <w:lang w:eastAsia="en-US"/>
              </w:rPr>
            </w:pPr>
            <w:r w:rsidRPr="00650047">
              <w:rPr>
                <w:b/>
                <w:sz w:val="20"/>
                <w:szCs w:val="20"/>
                <w:lang w:eastAsia="en-US"/>
              </w:rPr>
              <w:t>Agriculture et pêche</w:t>
            </w:r>
          </w:p>
        </w:tc>
        <w:tc>
          <w:tcPr>
            <w:tcW w:w="710"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4DBE67E0"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226</w:t>
            </w:r>
          </w:p>
        </w:tc>
        <w:tc>
          <w:tcPr>
            <w:tcW w:w="663"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1CA3DC96"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2,2%</w:t>
            </w:r>
          </w:p>
        </w:tc>
        <w:tc>
          <w:tcPr>
            <w:tcW w:w="710"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555222A9"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397</w:t>
            </w:r>
          </w:p>
        </w:tc>
        <w:tc>
          <w:tcPr>
            <w:tcW w:w="662" w:type="pct"/>
            <w:tcBorders>
              <w:top w:val="single" w:sz="2" w:space="0" w:color="B4C6E7"/>
              <w:left w:val="single" w:sz="2" w:space="0" w:color="B4C6E7"/>
              <w:bottom w:val="single" w:sz="2" w:space="0" w:color="B4C6E7"/>
              <w:right w:val="single" w:sz="2" w:space="0" w:color="B4C6E7"/>
            </w:tcBorders>
            <w:shd w:val="clear" w:color="auto" w:fill="FFFFFF" w:themeFill="background1"/>
            <w:tcMar>
              <w:top w:w="80" w:type="dxa"/>
              <w:left w:w="120" w:type="dxa"/>
              <w:bottom w:w="80" w:type="dxa"/>
              <w:right w:w="120" w:type="dxa"/>
            </w:tcMar>
            <w:vAlign w:val="center"/>
            <w:hideMark/>
          </w:tcPr>
          <w:p w14:paraId="4B0881C3" w14:textId="77777777" w:rsidR="00B430EC" w:rsidRPr="00650047" w:rsidRDefault="00B430EC" w:rsidP="00650047">
            <w:pPr>
              <w:spacing w:after="0" w:line="240" w:lineRule="auto"/>
              <w:jc w:val="center"/>
              <w:rPr>
                <w:sz w:val="20"/>
                <w:szCs w:val="20"/>
                <w:lang w:eastAsia="en-US"/>
              </w:rPr>
            </w:pPr>
            <w:r w:rsidRPr="00650047">
              <w:rPr>
                <w:sz w:val="20"/>
                <w:szCs w:val="20"/>
                <w:lang w:eastAsia="en-US"/>
              </w:rPr>
              <w:t>1,8%</w:t>
            </w:r>
          </w:p>
        </w:tc>
      </w:tr>
      <w:tr w:rsidR="00FC5B7E" w:rsidRPr="00650047" w14:paraId="407AAE6B" w14:textId="77777777" w:rsidTr="0024143B">
        <w:trPr>
          <w:trHeight w:val="259"/>
        </w:trPr>
        <w:tc>
          <w:tcPr>
            <w:tcW w:w="2255" w:type="pct"/>
            <w:tcBorders>
              <w:top w:val="single" w:sz="2" w:space="0" w:color="B4C6E7"/>
              <w:left w:val="single" w:sz="2" w:space="0" w:color="B4C6E7"/>
              <w:bottom w:val="single" w:sz="2" w:space="0" w:color="B4C6E7"/>
              <w:right w:val="single" w:sz="2" w:space="0" w:color="B4C6E7"/>
            </w:tcBorders>
            <w:shd w:val="clear" w:color="auto" w:fill="D9E2F3" w:themeFill="accent5" w:themeFillTint="33"/>
            <w:tcMar>
              <w:top w:w="80" w:type="dxa"/>
              <w:left w:w="120" w:type="dxa"/>
              <w:bottom w:w="80" w:type="dxa"/>
              <w:right w:w="120" w:type="dxa"/>
            </w:tcMar>
            <w:vAlign w:val="center"/>
            <w:hideMark/>
          </w:tcPr>
          <w:p w14:paraId="4CAFE0F8" w14:textId="77777777" w:rsidR="00B430EC" w:rsidRPr="00650047" w:rsidRDefault="00B430EC" w:rsidP="00650047">
            <w:pPr>
              <w:spacing w:after="0" w:line="240" w:lineRule="auto"/>
              <w:rPr>
                <w:b/>
                <w:sz w:val="20"/>
                <w:szCs w:val="20"/>
                <w:lang w:eastAsia="en-US"/>
              </w:rPr>
            </w:pPr>
            <w:r w:rsidRPr="00650047">
              <w:rPr>
                <w:b/>
                <w:sz w:val="20"/>
                <w:szCs w:val="20"/>
                <w:lang w:eastAsia="en-US"/>
              </w:rPr>
              <w:t>Sous-total Demande</w:t>
            </w:r>
          </w:p>
        </w:tc>
        <w:tc>
          <w:tcPr>
            <w:tcW w:w="710" w:type="pct"/>
            <w:tcBorders>
              <w:top w:val="single" w:sz="2" w:space="0" w:color="B4C6E7"/>
              <w:left w:val="single" w:sz="2" w:space="0" w:color="B4C6E7"/>
              <w:bottom w:val="single" w:sz="2" w:space="0" w:color="B4C6E7"/>
              <w:right w:val="single" w:sz="2" w:space="0" w:color="B4C6E7"/>
            </w:tcBorders>
            <w:shd w:val="clear" w:color="auto" w:fill="D9E2F3" w:themeFill="accent5" w:themeFillTint="33"/>
            <w:tcMar>
              <w:top w:w="80" w:type="dxa"/>
              <w:left w:w="120" w:type="dxa"/>
              <w:bottom w:w="80" w:type="dxa"/>
              <w:right w:w="120" w:type="dxa"/>
            </w:tcMar>
            <w:vAlign w:val="center"/>
            <w:hideMark/>
          </w:tcPr>
          <w:p w14:paraId="125670C0" w14:textId="77777777" w:rsidR="00B430EC" w:rsidRPr="00650047" w:rsidRDefault="00B430EC" w:rsidP="00650047">
            <w:pPr>
              <w:spacing w:after="0" w:line="240" w:lineRule="auto"/>
              <w:jc w:val="center"/>
              <w:rPr>
                <w:b/>
                <w:sz w:val="20"/>
                <w:szCs w:val="20"/>
                <w:lang w:eastAsia="en-US"/>
              </w:rPr>
            </w:pPr>
            <w:r w:rsidRPr="00650047">
              <w:rPr>
                <w:b/>
                <w:sz w:val="20"/>
                <w:szCs w:val="20"/>
                <w:lang w:eastAsia="en-US"/>
              </w:rPr>
              <w:t>8 114</w:t>
            </w:r>
          </w:p>
        </w:tc>
        <w:tc>
          <w:tcPr>
            <w:tcW w:w="663" w:type="pct"/>
            <w:tcBorders>
              <w:top w:val="single" w:sz="2" w:space="0" w:color="B4C6E7"/>
              <w:left w:val="single" w:sz="2" w:space="0" w:color="B4C6E7"/>
              <w:bottom w:val="single" w:sz="2" w:space="0" w:color="B4C6E7"/>
              <w:right w:val="single" w:sz="2" w:space="0" w:color="B4C6E7"/>
            </w:tcBorders>
            <w:shd w:val="clear" w:color="auto" w:fill="D9E2F3" w:themeFill="accent5" w:themeFillTint="33"/>
            <w:tcMar>
              <w:top w:w="80" w:type="dxa"/>
              <w:left w:w="120" w:type="dxa"/>
              <w:bottom w:w="80" w:type="dxa"/>
              <w:right w:w="120" w:type="dxa"/>
            </w:tcMar>
            <w:vAlign w:val="center"/>
            <w:hideMark/>
          </w:tcPr>
          <w:p w14:paraId="19302362" w14:textId="77777777" w:rsidR="00B430EC" w:rsidRPr="00650047" w:rsidRDefault="00B430EC" w:rsidP="00650047">
            <w:pPr>
              <w:spacing w:after="0" w:line="240" w:lineRule="auto"/>
              <w:jc w:val="center"/>
              <w:rPr>
                <w:b/>
                <w:sz w:val="20"/>
                <w:szCs w:val="20"/>
                <w:lang w:eastAsia="en-US"/>
              </w:rPr>
            </w:pPr>
            <w:r w:rsidRPr="00650047">
              <w:rPr>
                <w:b/>
                <w:sz w:val="20"/>
                <w:szCs w:val="20"/>
                <w:lang w:eastAsia="en-US"/>
              </w:rPr>
              <w:t>78,3%</w:t>
            </w:r>
          </w:p>
        </w:tc>
        <w:tc>
          <w:tcPr>
            <w:tcW w:w="710" w:type="pct"/>
            <w:tcBorders>
              <w:top w:val="single" w:sz="2" w:space="0" w:color="B4C6E7"/>
              <w:left w:val="single" w:sz="2" w:space="0" w:color="B4C6E7"/>
              <w:bottom w:val="single" w:sz="2" w:space="0" w:color="B4C6E7"/>
              <w:right w:val="single" w:sz="2" w:space="0" w:color="B4C6E7"/>
            </w:tcBorders>
            <w:shd w:val="clear" w:color="auto" w:fill="D9E2F3" w:themeFill="accent5" w:themeFillTint="33"/>
            <w:tcMar>
              <w:top w:w="80" w:type="dxa"/>
              <w:left w:w="120" w:type="dxa"/>
              <w:bottom w:w="80" w:type="dxa"/>
              <w:right w:w="120" w:type="dxa"/>
            </w:tcMar>
            <w:vAlign w:val="center"/>
            <w:hideMark/>
          </w:tcPr>
          <w:p w14:paraId="66CA31D4" w14:textId="77777777" w:rsidR="00B430EC" w:rsidRPr="00650047" w:rsidRDefault="00B430EC" w:rsidP="00650047">
            <w:pPr>
              <w:spacing w:after="0" w:line="240" w:lineRule="auto"/>
              <w:jc w:val="center"/>
              <w:rPr>
                <w:b/>
                <w:sz w:val="20"/>
                <w:szCs w:val="20"/>
                <w:lang w:eastAsia="en-US"/>
              </w:rPr>
            </w:pPr>
            <w:r w:rsidRPr="00650047">
              <w:rPr>
                <w:b/>
                <w:sz w:val="20"/>
                <w:szCs w:val="20"/>
                <w:lang w:eastAsia="en-US"/>
              </w:rPr>
              <w:t>15 571</w:t>
            </w:r>
          </w:p>
        </w:tc>
        <w:tc>
          <w:tcPr>
            <w:tcW w:w="662" w:type="pct"/>
            <w:tcBorders>
              <w:top w:val="single" w:sz="2" w:space="0" w:color="B4C6E7"/>
              <w:left w:val="single" w:sz="2" w:space="0" w:color="B4C6E7"/>
              <w:bottom w:val="single" w:sz="2" w:space="0" w:color="B4C6E7"/>
              <w:right w:val="single" w:sz="2" w:space="0" w:color="B4C6E7"/>
            </w:tcBorders>
            <w:shd w:val="clear" w:color="auto" w:fill="D9E2F3" w:themeFill="accent5" w:themeFillTint="33"/>
            <w:tcMar>
              <w:top w:w="80" w:type="dxa"/>
              <w:left w:w="120" w:type="dxa"/>
              <w:bottom w:w="80" w:type="dxa"/>
              <w:right w:w="120" w:type="dxa"/>
            </w:tcMar>
            <w:vAlign w:val="center"/>
            <w:hideMark/>
          </w:tcPr>
          <w:p w14:paraId="75E679F0" w14:textId="77777777" w:rsidR="00B430EC" w:rsidRPr="00650047" w:rsidRDefault="00B430EC" w:rsidP="00650047">
            <w:pPr>
              <w:spacing w:after="0" w:line="240" w:lineRule="auto"/>
              <w:jc w:val="center"/>
              <w:rPr>
                <w:b/>
                <w:sz w:val="20"/>
                <w:szCs w:val="20"/>
                <w:lang w:eastAsia="en-US"/>
              </w:rPr>
            </w:pPr>
            <w:r w:rsidRPr="00650047">
              <w:rPr>
                <w:b/>
                <w:sz w:val="20"/>
                <w:szCs w:val="20"/>
                <w:lang w:eastAsia="en-US"/>
              </w:rPr>
              <w:t>69,2%</w:t>
            </w:r>
          </w:p>
        </w:tc>
      </w:tr>
      <w:tr w:rsidR="00630FB8" w:rsidRPr="00650047" w14:paraId="77C04B99" w14:textId="77777777" w:rsidTr="0024143B">
        <w:tc>
          <w:tcPr>
            <w:tcW w:w="2255" w:type="pct"/>
            <w:tcBorders>
              <w:top w:val="single" w:sz="2" w:space="0" w:color="B4C6E7"/>
              <w:left w:val="single" w:sz="2" w:space="0" w:color="B4C6E7"/>
              <w:bottom w:val="single" w:sz="2" w:space="0" w:color="B4C6E7"/>
              <w:right w:val="single" w:sz="2" w:space="0" w:color="B4C6E7"/>
            </w:tcBorders>
            <w:shd w:val="clear" w:color="auto" w:fill="D9E2F3" w:themeFill="accent5" w:themeFillTint="33"/>
            <w:tcMar>
              <w:top w:w="80" w:type="dxa"/>
              <w:left w:w="120" w:type="dxa"/>
              <w:bottom w:w="80" w:type="dxa"/>
              <w:right w:w="120" w:type="dxa"/>
            </w:tcMar>
            <w:hideMark/>
          </w:tcPr>
          <w:p w14:paraId="566E6591" w14:textId="77777777" w:rsidR="00B430EC" w:rsidRPr="00650047" w:rsidRDefault="00B430EC" w:rsidP="00650047">
            <w:pPr>
              <w:spacing w:after="0" w:line="240" w:lineRule="auto"/>
              <w:rPr>
                <w:b/>
                <w:sz w:val="20"/>
                <w:szCs w:val="20"/>
                <w:lang w:eastAsia="en-US"/>
              </w:rPr>
            </w:pPr>
            <w:r w:rsidRPr="00650047">
              <w:rPr>
                <w:b/>
                <w:sz w:val="20"/>
                <w:szCs w:val="20"/>
                <w:lang w:eastAsia="en-US"/>
              </w:rPr>
              <w:t>Production d'électricité</w:t>
            </w:r>
          </w:p>
        </w:tc>
        <w:tc>
          <w:tcPr>
            <w:tcW w:w="710" w:type="pct"/>
            <w:tcBorders>
              <w:top w:val="single" w:sz="2" w:space="0" w:color="B4C6E7"/>
              <w:left w:val="single" w:sz="2" w:space="0" w:color="B4C6E7"/>
              <w:bottom w:val="single" w:sz="2" w:space="0" w:color="B4C6E7"/>
              <w:right w:val="single" w:sz="2" w:space="0" w:color="B4C6E7"/>
            </w:tcBorders>
            <w:shd w:val="clear" w:color="auto" w:fill="D9E2F3" w:themeFill="accent5" w:themeFillTint="33"/>
            <w:tcMar>
              <w:top w:w="80" w:type="dxa"/>
              <w:left w:w="120" w:type="dxa"/>
              <w:bottom w:w="80" w:type="dxa"/>
              <w:right w:w="120" w:type="dxa"/>
            </w:tcMar>
            <w:vAlign w:val="center"/>
            <w:hideMark/>
          </w:tcPr>
          <w:p w14:paraId="643B4C68" w14:textId="77777777" w:rsidR="00B430EC" w:rsidRPr="00650047" w:rsidRDefault="00B430EC" w:rsidP="00650047">
            <w:pPr>
              <w:spacing w:after="0" w:line="240" w:lineRule="auto"/>
              <w:jc w:val="center"/>
              <w:rPr>
                <w:b/>
                <w:sz w:val="20"/>
                <w:szCs w:val="20"/>
                <w:lang w:eastAsia="en-US"/>
              </w:rPr>
            </w:pPr>
            <w:r w:rsidRPr="00650047">
              <w:rPr>
                <w:b/>
                <w:sz w:val="20"/>
                <w:szCs w:val="20"/>
                <w:lang w:eastAsia="en-US"/>
              </w:rPr>
              <w:t>2 247</w:t>
            </w:r>
          </w:p>
        </w:tc>
        <w:tc>
          <w:tcPr>
            <w:tcW w:w="663" w:type="pct"/>
            <w:tcBorders>
              <w:top w:val="single" w:sz="2" w:space="0" w:color="B4C6E7"/>
              <w:left w:val="single" w:sz="2" w:space="0" w:color="B4C6E7"/>
              <w:bottom w:val="single" w:sz="2" w:space="0" w:color="B4C6E7"/>
              <w:right w:val="single" w:sz="2" w:space="0" w:color="B4C6E7"/>
            </w:tcBorders>
            <w:shd w:val="clear" w:color="auto" w:fill="D9E2F3" w:themeFill="accent5" w:themeFillTint="33"/>
            <w:tcMar>
              <w:top w:w="80" w:type="dxa"/>
              <w:left w:w="120" w:type="dxa"/>
              <w:bottom w:w="80" w:type="dxa"/>
              <w:right w:w="120" w:type="dxa"/>
            </w:tcMar>
            <w:vAlign w:val="center"/>
            <w:hideMark/>
          </w:tcPr>
          <w:p w14:paraId="51EF1EBA" w14:textId="77777777" w:rsidR="00B430EC" w:rsidRPr="00650047" w:rsidRDefault="00B430EC" w:rsidP="00650047">
            <w:pPr>
              <w:spacing w:after="0" w:line="240" w:lineRule="auto"/>
              <w:jc w:val="center"/>
              <w:rPr>
                <w:b/>
                <w:sz w:val="20"/>
                <w:szCs w:val="20"/>
                <w:lang w:eastAsia="en-US"/>
              </w:rPr>
            </w:pPr>
            <w:r w:rsidRPr="00650047">
              <w:rPr>
                <w:b/>
                <w:sz w:val="20"/>
                <w:szCs w:val="20"/>
                <w:lang w:eastAsia="en-US"/>
              </w:rPr>
              <w:t>21,7%</w:t>
            </w:r>
          </w:p>
        </w:tc>
        <w:tc>
          <w:tcPr>
            <w:tcW w:w="710" w:type="pct"/>
            <w:tcBorders>
              <w:top w:val="single" w:sz="2" w:space="0" w:color="B4C6E7"/>
              <w:left w:val="single" w:sz="2" w:space="0" w:color="B4C6E7"/>
              <w:bottom w:val="single" w:sz="2" w:space="0" w:color="B4C6E7"/>
              <w:right w:val="single" w:sz="2" w:space="0" w:color="B4C6E7"/>
            </w:tcBorders>
            <w:shd w:val="clear" w:color="auto" w:fill="D9E2F3" w:themeFill="accent5" w:themeFillTint="33"/>
            <w:tcMar>
              <w:top w:w="80" w:type="dxa"/>
              <w:left w:w="120" w:type="dxa"/>
              <w:bottom w:w="80" w:type="dxa"/>
              <w:right w:w="120" w:type="dxa"/>
            </w:tcMar>
            <w:vAlign w:val="center"/>
            <w:hideMark/>
          </w:tcPr>
          <w:p w14:paraId="5D7AA374" w14:textId="77777777" w:rsidR="00B430EC" w:rsidRPr="00650047" w:rsidRDefault="00B430EC" w:rsidP="00650047">
            <w:pPr>
              <w:spacing w:after="0" w:line="240" w:lineRule="auto"/>
              <w:jc w:val="center"/>
              <w:rPr>
                <w:b/>
                <w:sz w:val="20"/>
                <w:szCs w:val="20"/>
                <w:lang w:eastAsia="en-US"/>
              </w:rPr>
            </w:pPr>
            <w:r w:rsidRPr="00650047">
              <w:rPr>
                <w:b/>
                <w:sz w:val="20"/>
                <w:szCs w:val="20"/>
                <w:lang w:eastAsia="en-US"/>
              </w:rPr>
              <w:t>6 917</w:t>
            </w:r>
          </w:p>
        </w:tc>
        <w:tc>
          <w:tcPr>
            <w:tcW w:w="662" w:type="pct"/>
            <w:tcBorders>
              <w:top w:val="single" w:sz="2" w:space="0" w:color="B4C6E7"/>
              <w:left w:val="single" w:sz="2" w:space="0" w:color="B4C6E7"/>
              <w:bottom w:val="single" w:sz="2" w:space="0" w:color="B4C6E7"/>
              <w:right w:val="single" w:sz="2" w:space="0" w:color="B4C6E7"/>
            </w:tcBorders>
            <w:shd w:val="clear" w:color="auto" w:fill="D9E2F3" w:themeFill="accent5" w:themeFillTint="33"/>
            <w:tcMar>
              <w:top w:w="80" w:type="dxa"/>
              <w:left w:w="120" w:type="dxa"/>
              <w:bottom w:w="80" w:type="dxa"/>
              <w:right w:w="120" w:type="dxa"/>
            </w:tcMar>
            <w:vAlign w:val="center"/>
            <w:hideMark/>
          </w:tcPr>
          <w:p w14:paraId="44DD89D5" w14:textId="77777777" w:rsidR="00B430EC" w:rsidRPr="00650047" w:rsidRDefault="00B430EC" w:rsidP="00650047">
            <w:pPr>
              <w:spacing w:after="0" w:line="240" w:lineRule="auto"/>
              <w:jc w:val="center"/>
              <w:rPr>
                <w:b/>
                <w:sz w:val="20"/>
                <w:szCs w:val="20"/>
                <w:lang w:eastAsia="en-US"/>
              </w:rPr>
            </w:pPr>
            <w:r w:rsidRPr="00650047">
              <w:rPr>
                <w:b/>
                <w:sz w:val="20"/>
                <w:szCs w:val="20"/>
                <w:lang w:eastAsia="en-US"/>
              </w:rPr>
              <w:t>30,8%</w:t>
            </w:r>
          </w:p>
        </w:tc>
      </w:tr>
      <w:tr w:rsidR="00FC5B7E" w:rsidRPr="00650047" w14:paraId="660E5A83" w14:textId="77777777" w:rsidTr="0024143B">
        <w:trPr>
          <w:trHeight w:val="286"/>
        </w:trPr>
        <w:tc>
          <w:tcPr>
            <w:tcW w:w="2255" w:type="pct"/>
            <w:tcBorders>
              <w:top w:val="single" w:sz="2" w:space="0" w:color="B4C6E7"/>
              <w:left w:val="single" w:sz="2" w:space="0" w:color="B4C6E7"/>
              <w:bottom w:val="single" w:sz="2" w:space="0" w:color="B4C6E7"/>
              <w:right w:val="single" w:sz="2" w:space="0" w:color="B4C6E7"/>
            </w:tcBorders>
            <w:shd w:val="clear" w:color="auto" w:fill="222A35" w:themeFill="text2" w:themeFillShade="80"/>
            <w:tcMar>
              <w:top w:w="80" w:type="dxa"/>
              <w:left w:w="120" w:type="dxa"/>
              <w:bottom w:w="80" w:type="dxa"/>
              <w:right w:w="120" w:type="dxa"/>
            </w:tcMar>
            <w:hideMark/>
          </w:tcPr>
          <w:p w14:paraId="2721205A" w14:textId="40886CB8" w:rsidR="00B430EC" w:rsidRPr="00650047" w:rsidRDefault="00CD402C" w:rsidP="00650047">
            <w:pPr>
              <w:spacing w:after="0" w:line="240" w:lineRule="auto"/>
              <w:rPr>
                <w:color w:val="FFFFFF" w:themeColor="background1"/>
                <w:sz w:val="20"/>
                <w:szCs w:val="20"/>
                <w:lang w:eastAsia="en-US"/>
              </w:rPr>
            </w:pPr>
            <w:r w:rsidRPr="00650047">
              <w:rPr>
                <w:b/>
                <w:color w:val="FFFFFF" w:themeColor="background1"/>
                <w:sz w:val="20"/>
                <w:szCs w:val="20"/>
                <w:lang w:eastAsia="en-US"/>
              </w:rPr>
              <w:t>T</w:t>
            </w:r>
            <w:r w:rsidR="00A23735" w:rsidRPr="00650047">
              <w:rPr>
                <w:b/>
                <w:color w:val="FFFFFF" w:themeColor="background1"/>
                <w:sz w:val="20"/>
                <w:szCs w:val="20"/>
                <w:lang w:eastAsia="en-US"/>
              </w:rPr>
              <w:t>otal du s</w:t>
            </w:r>
            <w:r w:rsidRPr="00650047">
              <w:rPr>
                <w:b/>
                <w:color w:val="FFFFFF" w:themeColor="background1"/>
                <w:sz w:val="20"/>
                <w:szCs w:val="20"/>
                <w:lang w:eastAsia="en-US"/>
              </w:rPr>
              <w:t>ecteur</w:t>
            </w:r>
            <w:r w:rsidR="00B430EC" w:rsidRPr="00650047">
              <w:rPr>
                <w:b/>
                <w:color w:val="FFFFFF" w:themeColor="background1"/>
                <w:sz w:val="20"/>
                <w:szCs w:val="20"/>
                <w:lang w:eastAsia="en-US"/>
              </w:rPr>
              <w:t xml:space="preserve"> de l'énergie</w:t>
            </w:r>
          </w:p>
        </w:tc>
        <w:tc>
          <w:tcPr>
            <w:tcW w:w="710" w:type="pct"/>
            <w:tcBorders>
              <w:top w:val="single" w:sz="2" w:space="0" w:color="B4C6E7"/>
              <w:left w:val="single" w:sz="2" w:space="0" w:color="B4C6E7"/>
              <w:bottom w:val="single" w:sz="2" w:space="0" w:color="B4C6E7"/>
              <w:right w:val="single" w:sz="2" w:space="0" w:color="B4C6E7"/>
            </w:tcBorders>
            <w:shd w:val="clear" w:color="auto" w:fill="222A35" w:themeFill="text2" w:themeFillShade="80"/>
            <w:tcMar>
              <w:top w:w="80" w:type="dxa"/>
              <w:left w:w="120" w:type="dxa"/>
              <w:bottom w:w="80" w:type="dxa"/>
              <w:right w:w="120" w:type="dxa"/>
            </w:tcMar>
            <w:vAlign w:val="center"/>
            <w:hideMark/>
          </w:tcPr>
          <w:p w14:paraId="3CE2D92A" w14:textId="77777777" w:rsidR="00B430EC" w:rsidRPr="00650047" w:rsidRDefault="00B430EC" w:rsidP="00650047">
            <w:pPr>
              <w:spacing w:after="0" w:line="240" w:lineRule="auto"/>
              <w:jc w:val="center"/>
              <w:rPr>
                <w:color w:val="FFFFFF" w:themeColor="background1"/>
                <w:sz w:val="20"/>
                <w:szCs w:val="20"/>
                <w:lang w:eastAsia="en-US"/>
              </w:rPr>
            </w:pPr>
            <w:r w:rsidRPr="00650047">
              <w:rPr>
                <w:b/>
                <w:color w:val="FFFFFF" w:themeColor="background1"/>
                <w:sz w:val="20"/>
                <w:szCs w:val="20"/>
                <w:lang w:eastAsia="en-US"/>
              </w:rPr>
              <w:t>10 362</w:t>
            </w:r>
          </w:p>
        </w:tc>
        <w:tc>
          <w:tcPr>
            <w:tcW w:w="663" w:type="pct"/>
            <w:tcBorders>
              <w:top w:val="single" w:sz="2" w:space="0" w:color="B4C6E7"/>
              <w:left w:val="single" w:sz="2" w:space="0" w:color="B4C6E7"/>
              <w:bottom w:val="single" w:sz="2" w:space="0" w:color="B4C6E7"/>
              <w:right w:val="single" w:sz="2" w:space="0" w:color="B4C6E7"/>
            </w:tcBorders>
            <w:shd w:val="clear" w:color="auto" w:fill="222A35" w:themeFill="text2" w:themeFillShade="80"/>
            <w:tcMar>
              <w:top w:w="80" w:type="dxa"/>
              <w:left w:w="120" w:type="dxa"/>
              <w:bottom w:w="80" w:type="dxa"/>
              <w:right w:w="120" w:type="dxa"/>
            </w:tcMar>
            <w:vAlign w:val="center"/>
            <w:hideMark/>
          </w:tcPr>
          <w:p w14:paraId="65B1EA23" w14:textId="77777777" w:rsidR="00B430EC" w:rsidRPr="00650047" w:rsidRDefault="00B430EC" w:rsidP="00650047">
            <w:pPr>
              <w:spacing w:after="0" w:line="240" w:lineRule="auto"/>
              <w:jc w:val="center"/>
              <w:rPr>
                <w:color w:val="FFFFFF" w:themeColor="background1"/>
                <w:sz w:val="20"/>
                <w:szCs w:val="20"/>
                <w:lang w:eastAsia="en-US"/>
              </w:rPr>
            </w:pPr>
            <w:r w:rsidRPr="00650047">
              <w:rPr>
                <w:b/>
                <w:color w:val="FFFFFF" w:themeColor="background1"/>
                <w:sz w:val="20"/>
                <w:szCs w:val="20"/>
                <w:lang w:eastAsia="en-US"/>
              </w:rPr>
              <w:t>100%</w:t>
            </w:r>
          </w:p>
        </w:tc>
        <w:tc>
          <w:tcPr>
            <w:tcW w:w="710" w:type="pct"/>
            <w:tcBorders>
              <w:top w:val="single" w:sz="2" w:space="0" w:color="B4C6E7"/>
              <w:left w:val="single" w:sz="2" w:space="0" w:color="B4C6E7"/>
              <w:bottom w:val="single" w:sz="2" w:space="0" w:color="B4C6E7"/>
              <w:right w:val="single" w:sz="2" w:space="0" w:color="B4C6E7"/>
            </w:tcBorders>
            <w:shd w:val="clear" w:color="auto" w:fill="222A35" w:themeFill="text2" w:themeFillShade="80"/>
            <w:tcMar>
              <w:top w:w="80" w:type="dxa"/>
              <w:left w:w="120" w:type="dxa"/>
              <w:bottom w:w="80" w:type="dxa"/>
              <w:right w:w="120" w:type="dxa"/>
            </w:tcMar>
            <w:vAlign w:val="center"/>
            <w:hideMark/>
          </w:tcPr>
          <w:p w14:paraId="75701E4C" w14:textId="77777777" w:rsidR="00B430EC" w:rsidRPr="00650047" w:rsidRDefault="00B430EC" w:rsidP="00650047">
            <w:pPr>
              <w:spacing w:after="0" w:line="240" w:lineRule="auto"/>
              <w:jc w:val="center"/>
              <w:rPr>
                <w:color w:val="FFFFFF" w:themeColor="background1"/>
                <w:sz w:val="20"/>
                <w:szCs w:val="20"/>
                <w:lang w:eastAsia="en-US"/>
              </w:rPr>
            </w:pPr>
            <w:r w:rsidRPr="00650047">
              <w:rPr>
                <w:b/>
                <w:color w:val="FFFFFF" w:themeColor="background1"/>
                <w:sz w:val="20"/>
                <w:szCs w:val="20"/>
                <w:lang w:eastAsia="en-US"/>
              </w:rPr>
              <w:t>22 488</w:t>
            </w:r>
          </w:p>
        </w:tc>
        <w:tc>
          <w:tcPr>
            <w:tcW w:w="662" w:type="pct"/>
            <w:tcBorders>
              <w:top w:val="single" w:sz="2" w:space="0" w:color="B4C6E7"/>
              <w:left w:val="single" w:sz="2" w:space="0" w:color="B4C6E7"/>
              <w:bottom w:val="single" w:sz="2" w:space="0" w:color="B4C6E7"/>
              <w:right w:val="single" w:sz="2" w:space="0" w:color="B4C6E7"/>
            </w:tcBorders>
            <w:shd w:val="clear" w:color="auto" w:fill="222A35" w:themeFill="text2" w:themeFillShade="80"/>
            <w:tcMar>
              <w:top w:w="80" w:type="dxa"/>
              <w:left w:w="120" w:type="dxa"/>
              <w:bottom w:w="80" w:type="dxa"/>
              <w:right w:w="120" w:type="dxa"/>
            </w:tcMar>
            <w:vAlign w:val="center"/>
            <w:hideMark/>
          </w:tcPr>
          <w:p w14:paraId="694744CA" w14:textId="77777777" w:rsidR="00B430EC" w:rsidRPr="00650047" w:rsidRDefault="00B430EC" w:rsidP="00650047">
            <w:pPr>
              <w:spacing w:after="0" w:line="240" w:lineRule="auto"/>
              <w:jc w:val="center"/>
              <w:rPr>
                <w:color w:val="FFFFFF" w:themeColor="background1"/>
                <w:sz w:val="20"/>
                <w:szCs w:val="20"/>
                <w:lang w:eastAsia="en-US"/>
              </w:rPr>
            </w:pPr>
            <w:r w:rsidRPr="00650047">
              <w:rPr>
                <w:b/>
                <w:color w:val="FFFFFF" w:themeColor="background1"/>
                <w:sz w:val="20"/>
                <w:szCs w:val="20"/>
                <w:lang w:eastAsia="en-US"/>
              </w:rPr>
              <w:t>100%</w:t>
            </w:r>
          </w:p>
        </w:tc>
      </w:tr>
    </w:tbl>
    <w:p w14:paraId="4D0B086D" w14:textId="72D6D46E" w:rsidR="007E3375" w:rsidRPr="007E3375" w:rsidRDefault="0024143B" w:rsidP="00781817">
      <w:pPr>
        <w:spacing w:before="120" w:after="120"/>
        <w:jc w:val="both"/>
        <w:rPr>
          <w:lang w:eastAsia="en-US"/>
        </w:rPr>
      </w:pPr>
      <w:r w:rsidRPr="0024143B">
        <w:rPr>
          <w:lang w:eastAsia="en-US"/>
        </w:rPr>
        <w:t>La figure ci-dessous illustre l'évolution des émissions du secteur de l'énergie par sous-secteur sur la période 2010</w:t>
      </w:r>
      <w:r w:rsidR="000E6FB3">
        <w:rPr>
          <w:lang w:eastAsia="en-US"/>
        </w:rPr>
        <w:t>-</w:t>
      </w:r>
      <w:r w:rsidRPr="0024143B">
        <w:rPr>
          <w:lang w:eastAsia="en-US"/>
        </w:rPr>
        <w:t>2035 selon le scénario BAU.</w:t>
      </w:r>
    </w:p>
    <w:p w14:paraId="0CED91B1" w14:textId="77777777" w:rsidR="00924BD1" w:rsidRDefault="00985E8A" w:rsidP="00924BD1">
      <w:pPr>
        <w:keepNext/>
        <w:spacing w:before="120" w:after="120"/>
      </w:pPr>
      <w:r>
        <w:rPr>
          <w:noProof/>
        </w:rPr>
        <w:lastRenderedPageBreak/>
        <w:drawing>
          <wp:inline distT="0" distB="0" distL="0" distR="0" wp14:anchorId="0EA848D9" wp14:editId="146BCE68">
            <wp:extent cx="5957668" cy="2841674"/>
            <wp:effectExtent l="0" t="0" r="5080" b="15875"/>
            <wp:docPr id="147942246" name="Chart 1">
              <a:extLst xmlns:a="http://schemas.openxmlformats.org/drawingml/2006/main">
                <a:ext uri="{FF2B5EF4-FFF2-40B4-BE49-F238E27FC236}">
                  <a16:creationId xmlns:a16="http://schemas.microsoft.com/office/drawing/2014/main" id="{949F1C15-B56B-4F91-FE79-8DEEDE4DCE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3304C4A" w14:textId="71AF530A" w:rsidR="00985E8A" w:rsidRPr="00A0735D" w:rsidRDefault="00924BD1" w:rsidP="00781817">
      <w:pPr>
        <w:pStyle w:val="Lgende"/>
        <w:jc w:val="center"/>
      </w:pPr>
      <w:bookmarkStart w:id="41" w:name="_Toc234853913"/>
      <w:r>
        <w:t xml:space="preserve">Figure </w:t>
      </w:r>
      <w:r>
        <w:fldChar w:fldCharType="begin"/>
      </w:r>
      <w:r>
        <w:instrText xml:space="preserve"> SEQ Figure \* ARABIC </w:instrText>
      </w:r>
      <w:r>
        <w:fldChar w:fldCharType="separate"/>
      </w:r>
      <w:r w:rsidR="004D5580">
        <w:rPr>
          <w:noProof/>
        </w:rPr>
        <w:t>3</w:t>
      </w:r>
      <w:r>
        <w:fldChar w:fldCharType="end"/>
      </w:r>
      <w:r w:rsidRPr="00A0735D">
        <w:t xml:space="preserve"> : Evolution des émissions du secteur de l'énergie - Scénario de </w:t>
      </w:r>
      <w:r w:rsidR="007C1A5D" w:rsidRPr="00A0735D">
        <w:t>référence</w:t>
      </w:r>
      <w:bookmarkEnd w:id="41"/>
    </w:p>
    <w:p w14:paraId="367460E9" w14:textId="1573508A" w:rsidR="000D5A5E" w:rsidRPr="00A0735D" w:rsidRDefault="000D5A5E" w:rsidP="00781817">
      <w:pPr>
        <w:jc w:val="both"/>
        <w:rPr>
          <w:lang w:eastAsia="en-US"/>
        </w:rPr>
      </w:pPr>
      <w:r w:rsidRPr="000D5A5E">
        <w:rPr>
          <w:lang w:eastAsia="en-US"/>
        </w:rPr>
        <w:t>Les figures ci-dessous présentent la répartition des émissions du secteur de l'énergie par sous-secteur pour l'année de référence (2022) et à l'horizon 2035 selon le scénario BAU.</w:t>
      </w:r>
    </w:p>
    <w:p w14:paraId="12BD69A1" w14:textId="77777777" w:rsidR="00420516" w:rsidRDefault="00F94BB0" w:rsidP="00420516">
      <w:pPr>
        <w:keepNext/>
        <w:jc w:val="center"/>
      </w:pPr>
      <w:r>
        <w:rPr>
          <w:noProof/>
          <w:lang w:eastAsia="en-US"/>
        </w:rPr>
        <w:drawing>
          <wp:inline distT="0" distB="0" distL="0" distR="0" wp14:anchorId="35FC40DA" wp14:editId="7E620162">
            <wp:extent cx="5160397" cy="3040106"/>
            <wp:effectExtent l="0" t="0" r="2540" b="8255"/>
            <wp:docPr id="133940297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06636" cy="3067346"/>
                    </a:xfrm>
                    <a:prstGeom prst="rect">
                      <a:avLst/>
                    </a:prstGeom>
                    <a:noFill/>
                  </pic:spPr>
                </pic:pic>
              </a:graphicData>
            </a:graphic>
          </wp:inline>
        </w:drawing>
      </w:r>
    </w:p>
    <w:p w14:paraId="2D6D4FF1" w14:textId="5493DF00" w:rsidR="00D37B17" w:rsidRPr="007E3375" w:rsidRDefault="00420516" w:rsidP="00420516">
      <w:pPr>
        <w:pStyle w:val="Lgende"/>
        <w:jc w:val="center"/>
        <w:rPr>
          <w:lang w:eastAsia="en-US"/>
        </w:rPr>
      </w:pPr>
      <w:bookmarkStart w:id="42" w:name="_Toc234853914"/>
      <w:r>
        <w:t xml:space="preserve">Figure </w:t>
      </w:r>
      <w:r>
        <w:fldChar w:fldCharType="begin"/>
      </w:r>
      <w:r>
        <w:instrText xml:space="preserve"> SEQ Figure \* ARABIC </w:instrText>
      </w:r>
      <w:r>
        <w:fldChar w:fldCharType="separate"/>
      </w:r>
      <w:r w:rsidR="004D5580">
        <w:rPr>
          <w:noProof/>
        </w:rPr>
        <w:t>4</w:t>
      </w:r>
      <w:r>
        <w:fldChar w:fldCharType="end"/>
      </w:r>
      <w:r w:rsidRPr="00061EB0">
        <w:t xml:space="preserve"> : Répartition des émissions du secteur énergie par </w:t>
      </w:r>
      <w:r w:rsidR="00845ADB" w:rsidRPr="00061EB0">
        <w:t>sous-secteur</w:t>
      </w:r>
      <w:r w:rsidRPr="00061EB0">
        <w:t xml:space="preserve"> pour le scénario de base - Année 2022</w:t>
      </w:r>
      <w:bookmarkEnd w:id="42"/>
    </w:p>
    <w:p w14:paraId="540A8893" w14:textId="77777777" w:rsidR="00420516" w:rsidRDefault="005C4BDA" w:rsidP="00420516">
      <w:pPr>
        <w:keepNext/>
        <w:jc w:val="center"/>
      </w:pPr>
      <w:r>
        <w:rPr>
          <w:noProof/>
          <w:lang w:eastAsia="en-US"/>
        </w:rPr>
        <w:lastRenderedPageBreak/>
        <w:drawing>
          <wp:inline distT="0" distB="0" distL="0" distR="0" wp14:anchorId="6D98F002" wp14:editId="16F43763">
            <wp:extent cx="5147138" cy="3125972"/>
            <wp:effectExtent l="0" t="0" r="0" b="0"/>
            <wp:docPr id="53295145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01217" cy="3158815"/>
                    </a:xfrm>
                    <a:prstGeom prst="rect">
                      <a:avLst/>
                    </a:prstGeom>
                    <a:noFill/>
                  </pic:spPr>
                </pic:pic>
              </a:graphicData>
            </a:graphic>
          </wp:inline>
        </w:drawing>
      </w:r>
    </w:p>
    <w:p w14:paraId="240D76A5" w14:textId="1D5925DE" w:rsidR="00EC2AD7" w:rsidRPr="007E3375" w:rsidRDefault="00420516" w:rsidP="00420516">
      <w:pPr>
        <w:pStyle w:val="Lgende"/>
        <w:jc w:val="center"/>
        <w:rPr>
          <w:lang w:eastAsia="en-US"/>
        </w:rPr>
      </w:pPr>
      <w:bookmarkStart w:id="43" w:name="_Toc234853915"/>
      <w:r>
        <w:t xml:space="preserve">Figure </w:t>
      </w:r>
      <w:r>
        <w:fldChar w:fldCharType="begin"/>
      </w:r>
      <w:r>
        <w:instrText xml:space="preserve"> SEQ Figure \* ARABIC </w:instrText>
      </w:r>
      <w:r>
        <w:fldChar w:fldCharType="separate"/>
      </w:r>
      <w:r w:rsidR="004D5580">
        <w:rPr>
          <w:noProof/>
        </w:rPr>
        <w:t>5</w:t>
      </w:r>
      <w:r>
        <w:fldChar w:fldCharType="end"/>
      </w:r>
      <w:r w:rsidRPr="00061EB0">
        <w:t xml:space="preserve"> : Répartition des émissions du secteur énergie par </w:t>
      </w:r>
      <w:r w:rsidR="00845ADB" w:rsidRPr="00061EB0">
        <w:t>sous-secteur</w:t>
      </w:r>
      <w:r w:rsidRPr="00061EB0">
        <w:t xml:space="preserve"> pour le scénario de base - Année 2035</w:t>
      </w:r>
      <w:bookmarkEnd w:id="43"/>
    </w:p>
    <w:p w14:paraId="530167B1" w14:textId="14B9B2E1" w:rsidR="00DC5ED5" w:rsidRDefault="00DC5ED5" w:rsidP="00AA6448">
      <w:pPr>
        <w:spacing w:before="240"/>
        <w:jc w:val="both"/>
        <w:rPr>
          <w:lang w:eastAsia="en-US"/>
        </w:rPr>
      </w:pPr>
      <w:r>
        <w:rPr>
          <w:lang w:eastAsia="en-US"/>
        </w:rPr>
        <w:t>En 2022, le transport domine largement le profil d'émissions avec 55,2% du total sectoriel, suivi de la production d'électricité (21,7%) et du résidentiel (16,8%). Les sous-secteurs</w:t>
      </w:r>
      <w:r w:rsidR="002409F6">
        <w:rPr>
          <w:lang w:eastAsia="en-US"/>
        </w:rPr>
        <w:t xml:space="preserve"> : </w:t>
      </w:r>
      <w:r>
        <w:rPr>
          <w:lang w:eastAsia="en-US"/>
        </w:rPr>
        <w:t xml:space="preserve"> tertiaire, agriculture et pêche, et industrie représentent collectivement moins de 7% des émissions.</w:t>
      </w:r>
    </w:p>
    <w:p w14:paraId="77F3CFDB" w14:textId="77777777" w:rsidR="00DC5ED5" w:rsidRDefault="00DC5ED5" w:rsidP="00AA6448">
      <w:pPr>
        <w:spacing w:before="240"/>
        <w:jc w:val="both"/>
        <w:rPr>
          <w:lang w:eastAsia="en-US"/>
        </w:rPr>
      </w:pPr>
      <w:r>
        <w:rPr>
          <w:lang w:eastAsia="en-US"/>
        </w:rPr>
        <w:t>À l'horizon 2035, la structure des émissions connaît une recomposition notable. Bien que le transport demeure le premier poste, sa part relative recule à 45,8%, tandis que la production d'électricité enregistre la progression la plus marquée, passant de 21,7% à 30,8% du total sectoriel. Cette évolution traduit la croissance soutenue de la demande électrique dans un contexte où le mix de production reste dominé par les centrales thermiques fossiles. Le sous-secteur résidentiel progresse également, passant de 16,8% à 19,3%, porté par l'augmentation du nombre de ménages urbains et la persistance du charbon de bois comme principal combustible de cuisson.</w:t>
      </w:r>
    </w:p>
    <w:p w14:paraId="40F320B6" w14:textId="53E7B878" w:rsidR="00DC5ED5" w:rsidRPr="007E3375" w:rsidRDefault="00DC5ED5" w:rsidP="00AA6448">
      <w:pPr>
        <w:spacing w:before="240"/>
        <w:jc w:val="both"/>
        <w:rPr>
          <w:lang w:eastAsia="en-US"/>
        </w:rPr>
      </w:pPr>
      <w:r>
        <w:rPr>
          <w:lang w:eastAsia="en-US"/>
        </w:rPr>
        <w:t>Cette recomposition structurelle met en évidence les deux principaux leviers d'atténuation du secteur à l'horizon 2035 : la décarbonation de la production électrique par le déploiement des énergies renouvelables, et la maîtrise de la demande en biomasse énergie à travers la promotion de la cuisson propre.</w:t>
      </w:r>
    </w:p>
    <w:p w14:paraId="7D3A563B" w14:textId="37D6A7AA" w:rsidR="00212B28" w:rsidRPr="00845ADB" w:rsidRDefault="001F64BE" w:rsidP="002C3767">
      <w:pPr>
        <w:pStyle w:val="Titre3"/>
        <w:numPr>
          <w:ilvl w:val="2"/>
          <w:numId w:val="21"/>
        </w:numPr>
        <w:rPr>
          <w:lang w:eastAsia="en-US"/>
        </w:rPr>
      </w:pPr>
      <w:bookmarkStart w:id="44" w:name="_Toc234853868"/>
      <w:r>
        <w:rPr>
          <w:lang w:eastAsia="en-US"/>
        </w:rPr>
        <w:t>Scénarios d'atténuation</w:t>
      </w:r>
      <w:r w:rsidR="00C855DC">
        <w:rPr>
          <w:lang w:eastAsia="en-US"/>
        </w:rPr>
        <w:t xml:space="preserve">, </w:t>
      </w:r>
      <w:r>
        <w:rPr>
          <w:lang w:eastAsia="en-US"/>
        </w:rPr>
        <w:t>cibles</w:t>
      </w:r>
      <w:r w:rsidR="00C855DC">
        <w:rPr>
          <w:lang w:eastAsia="en-US"/>
        </w:rPr>
        <w:t>, et coûts</w:t>
      </w:r>
      <w:r>
        <w:rPr>
          <w:lang w:eastAsia="en-US"/>
        </w:rPr>
        <w:t xml:space="preserve"> associés</w:t>
      </w:r>
      <w:bookmarkEnd w:id="44"/>
    </w:p>
    <w:p w14:paraId="55239B00" w14:textId="77777777" w:rsidR="00C06A8D" w:rsidRDefault="00C06A8D" w:rsidP="00C06A8D">
      <w:pPr>
        <w:jc w:val="both"/>
        <w:rPr>
          <w:lang w:eastAsia="en-US"/>
        </w:rPr>
      </w:pPr>
      <w:r>
        <w:rPr>
          <w:lang w:eastAsia="en-US"/>
        </w:rPr>
        <w:t>Dans le cadre de l’élaboration du scénario d’atténuation du secteur de l’énergie, les consultations sectorielles et les échanges conduits avec les différentes institutions ont permis d’identifier un portefeuille important de projets et d’initiatives couvrant plusieurs sous-secteurs, notamment la production d’électricité renouvelable, les infrastructures de transport d’électricité, l’électrification rurale, les bioénergies, la cuisson propre, l’efficacité énergétique et les transports.</w:t>
      </w:r>
    </w:p>
    <w:p w14:paraId="20519C2F" w14:textId="77777777" w:rsidR="00C06A8D" w:rsidRDefault="00C06A8D" w:rsidP="00C06A8D">
      <w:pPr>
        <w:jc w:val="both"/>
        <w:rPr>
          <w:lang w:eastAsia="en-US"/>
        </w:rPr>
      </w:pPr>
      <w:r>
        <w:rPr>
          <w:lang w:eastAsia="en-US"/>
        </w:rPr>
        <w:t>Ces projets, présentés dans leur forme initiale dans la section précédente, proviennent à la fois :</w:t>
      </w:r>
    </w:p>
    <w:p w14:paraId="548EA5EC" w14:textId="6054753C" w:rsidR="00C06A8D" w:rsidRDefault="00C06A8D" w:rsidP="008A3661">
      <w:pPr>
        <w:pStyle w:val="Paragraphedeliste"/>
        <w:numPr>
          <w:ilvl w:val="0"/>
          <w:numId w:val="35"/>
        </w:numPr>
        <w:jc w:val="both"/>
        <w:rPr>
          <w:lang w:eastAsia="en-US"/>
        </w:rPr>
      </w:pPr>
      <w:r>
        <w:rPr>
          <w:lang w:eastAsia="en-US"/>
        </w:rPr>
        <w:lastRenderedPageBreak/>
        <w:t>des projets</w:t>
      </w:r>
      <w:r w:rsidR="009A1896">
        <w:rPr>
          <w:lang w:eastAsia="en-US"/>
        </w:rPr>
        <w:t xml:space="preserve"> de la CDN 2.0</w:t>
      </w:r>
      <w:r>
        <w:rPr>
          <w:lang w:eastAsia="en-US"/>
        </w:rPr>
        <w:t xml:space="preserve"> non réalisés ou partiellement réalisés mais reconduits dans le cadre de la CDN 3.0 ;</w:t>
      </w:r>
    </w:p>
    <w:p w14:paraId="7F802D4A" w14:textId="77777777" w:rsidR="00C06A8D" w:rsidRDefault="00C06A8D" w:rsidP="008A3661">
      <w:pPr>
        <w:pStyle w:val="Paragraphedeliste"/>
        <w:numPr>
          <w:ilvl w:val="0"/>
          <w:numId w:val="35"/>
        </w:numPr>
        <w:jc w:val="both"/>
        <w:rPr>
          <w:lang w:eastAsia="en-US"/>
        </w:rPr>
      </w:pPr>
      <w:r>
        <w:rPr>
          <w:lang w:eastAsia="en-US"/>
        </w:rPr>
        <w:t>ainsi que des nouvelles propositions formulées par les institutions sectorielles dans le cadre du processus de consultation.</w:t>
      </w:r>
    </w:p>
    <w:p w14:paraId="5769FE7A" w14:textId="77777777" w:rsidR="00C06A8D" w:rsidRDefault="00C06A8D" w:rsidP="00C06A8D">
      <w:pPr>
        <w:jc w:val="both"/>
        <w:rPr>
          <w:lang w:eastAsia="en-US"/>
        </w:rPr>
      </w:pPr>
      <w:r>
        <w:rPr>
          <w:lang w:eastAsia="en-US"/>
        </w:rPr>
        <w:t>L’analyse du portefeuille sectoriel met toutefois en évidence une forte dispersion des projets, avec de nombreuses initiatives relevant de mêmes logiques d’intervention, mais présentées de manière individuelle, parfois sous des formats ou des niveaux de maturité différents. Cette situation limitait la lisibilité globale du portefeuille d’atténuation et rendait plus difficile l’identification de trajectoires sectorielles cohérentes à l’échelle de la CDN 3.0.</w:t>
      </w:r>
    </w:p>
    <w:p w14:paraId="7C06DDB7" w14:textId="77777777" w:rsidR="00C06A8D" w:rsidRDefault="00C06A8D" w:rsidP="00C06A8D">
      <w:pPr>
        <w:jc w:val="both"/>
        <w:rPr>
          <w:lang w:eastAsia="en-US"/>
        </w:rPr>
      </w:pPr>
      <w:r>
        <w:rPr>
          <w:lang w:eastAsia="en-US"/>
        </w:rPr>
        <w:t>Afin de renforcer la cohérence d’ensemble du scénario d’atténuation, les projets identifiés ont ainsi fait l’objet d’un travail de consolidation et de structuration sous forme de mesures sectorielles intégrées. Cette approche repose principalement sur la nature des projets, leur finalité et leur contribution aux mêmes objectifs d’atténuation.</w:t>
      </w:r>
    </w:p>
    <w:p w14:paraId="4CB5DFFA" w14:textId="77777777" w:rsidR="00C06A8D" w:rsidRDefault="00C06A8D" w:rsidP="00C06A8D">
      <w:pPr>
        <w:jc w:val="both"/>
        <w:rPr>
          <w:lang w:eastAsia="en-US"/>
        </w:rPr>
      </w:pPr>
      <w:r>
        <w:rPr>
          <w:lang w:eastAsia="en-US"/>
        </w:rPr>
        <w:t>Les projets présentant des caractéristiques similaires ou complémentaires ont ainsi été regroupés au sein de mesures communes, notamment lorsqu’ils relevaient :</w:t>
      </w:r>
    </w:p>
    <w:p w14:paraId="58994B16" w14:textId="77777777" w:rsidR="00C06A8D" w:rsidRDefault="00C06A8D" w:rsidP="008A3661">
      <w:pPr>
        <w:pStyle w:val="Paragraphedeliste"/>
        <w:numPr>
          <w:ilvl w:val="0"/>
          <w:numId w:val="36"/>
        </w:numPr>
        <w:jc w:val="both"/>
        <w:rPr>
          <w:lang w:eastAsia="en-US"/>
        </w:rPr>
      </w:pPr>
      <w:r>
        <w:rPr>
          <w:lang w:eastAsia="en-US"/>
        </w:rPr>
        <w:t>du développement de centrales solaires photovoltaïques ;</w:t>
      </w:r>
    </w:p>
    <w:p w14:paraId="0BE27BC3" w14:textId="77777777" w:rsidR="00C06A8D" w:rsidRDefault="00C06A8D" w:rsidP="008A3661">
      <w:pPr>
        <w:pStyle w:val="Paragraphedeliste"/>
        <w:numPr>
          <w:ilvl w:val="0"/>
          <w:numId w:val="36"/>
        </w:numPr>
        <w:jc w:val="both"/>
        <w:rPr>
          <w:lang w:eastAsia="en-US"/>
        </w:rPr>
      </w:pPr>
      <w:r>
        <w:rPr>
          <w:lang w:eastAsia="en-US"/>
        </w:rPr>
        <w:t>du développement hydroélectrique ;</w:t>
      </w:r>
    </w:p>
    <w:p w14:paraId="0AB2A97B" w14:textId="77777777" w:rsidR="00C06A8D" w:rsidRDefault="00C06A8D" w:rsidP="008A3661">
      <w:pPr>
        <w:pStyle w:val="Paragraphedeliste"/>
        <w:numPr>
          <w:ilvl w:val="0"/>
          <w:numId w:val="36"/>
        </w:numPr>
        <w:jc w:val="both"/>
        <w:rPr>
          <w:lang w:eastAsia="en-US"/>
        </w:rPr>
      </w:pPr>
      <w:r>
        <w:rPr>
          <w:lang w:eastAsia="en-US"/>
        </w:rPr>
        <w:t>de l’extension et du renforcement des réseaux de transport d’électricité ;</w:t>
      </w:r>
    </w:p>
    <w:p w14:paraId="031C8BA9" w14:textId="77777777" w:rsidR="00C06A8D" w:rsidRDefault="00C06A8D" w:rsidP="008A3661">
      <w:pPr>
        <w:pStyle w:val="Paragraphedeliste"/>
        <w:numPr>
          <w:ilvl w:val="0"/>
          <w:numId w:val="36"/>
        </w:numPr>
        <w:jc w:val="both"/>
        <w:rPr>
          <w:lang w:eastAsia="en-US"/>
        </w:rPr>
      </w:pPr>
      <w:r>
        <w:rPr>
          <w:lang w:eastAsia="en-US"/>
        </w:rPr>
        <w:t>de l’électrification rurale et des mini-réseaux hybrides ;</w:t>
      </w:r>
    </w:p>
    <w:p w14:paraId="792679CE" w14:textId="77777777" w:rsidR="00C06A8D" w:rsidRDefault="00C06A8D" w:rsidP="008A3661">
      <w:pPr>
        <w:pStyle w:val="Paragraphedeliste"/>
        <w:numPr>
          <w:ilvl w:val="0"/>
          <w:numId w:val="36"/>
        </w:numPr>
        <w:jc w:val="both"/>
        <w:rPr>
          <w:lang w:eastAsia="en-US"/>
        </w:rPr>
      </w:pPr>
      <w:r>
        <w:rPr>
          <w:lang w:eastAsia="en-US"/>
        </w:rPr>
        <w:t>de l’accès décentralisé à l’énergie ;</w:t>
      </w:r>
    </w:p>
    <w:p w14:paraId="541BC282" w14:textId="77777777" w:rsidR="00C06A8D" w:rsidRDefault="00C06A8D" w:rsidP="008A3661">
      <w:pPr>
        <w:pStyle w:val="Paragraphedeliste"/>
        <w:numPr>
          <w:ilvl w:val="0"/>
          <w:numId w:val="36"/>
        </w:numPr>
        <w:spacing w:after="120"/>
        <w:contextualSpacing w:val="0"/>
        <w:jc w:val="both"/>
        <w:rPr>
          <w:lang w:eastAsia="en-US"/>
        </w:rPr>
      </w:pPr>
      <w:r>
        <w:rPr>
          <w:lang w:eastAsia="en-US"/>
        </w:rPr>
        <w:t>ou encore des solutions de cuisson propre et des bioénergies.</w:t>
      </w:r>
    </w:p>
    <w:p w14:paraId="07C5189C" w14:textId="77777777" w:rsidR="00C06A8D" w:rsidRDefault="00C06A8D" w:rsidP="00573FEE">
      <w:pPr>
        <w:spacing w:after="120"/>
        <w:jc w:val="both"/>
        <w:rPr>
          <w:lang w:eastAsia="en-US"/>
        </w:rPr>
      </w:pPr>
      <w:r>
        <w:rPr>
          <w:lang w:eastAsia="en-US"/>
        </w:rPr>
        <w:t>Cette approche programmatique permet de mieux refléter les grandes orientations de transformation du secteur énergétique à l’horizon 2035, au-delà d’une simple juxtaposition de projets ponctuels. Elle permet également d’agréger des contributions dispersées autour de mesures plus structurantes et plus représentatives des priorités sectorielles nationales.</w:t>
      </w:r>
    </w:p>
    <w:p w14:paraId="437168E0" w14:textId="77777777" w:rsidR="00AC5D14" w:rsidRDefault="00AC5D14" w:rsidP="00573FEE">
      <w:pPr>
        <w:spacing w:after="120"/>
        <w:jc w:val="both"/>
        <w:rPr>
          <w:lang w:eastAsia="en-US"/>
        </w:rPr>
      </w:pPr>
      <w:r w:rsidRPr="00AC5D14">
        <w:rPr>
          <w:lang w:eastAsia="en-US"/>
        </w:rPr>
        <w:t>La structuration par mesures contribue par ailleurs à améliorer la lisibilité et l'attractivité du portefeuille de la CDN 3.0 auprès des partenaires techniques et financiers, en faisant ressortir des programmes cohérents, portant des cibles agrégées d'envergure nationale, suivables et susceptibles d'être mis à l'échelle progressivement. Elle facilite également l'intégration future de nouveaux projets contribuant aux mêmes objectifs sectoriels, sans remettre en cause l'architecture générale du scénario d'atténuation.</w:t>
      </w:r>
    </w:p>
    <w:p w14:paraId="640A1C2F" w14:textId="3656C0FF" w:rsidR="00827114" w:rsidRDefault="00827114" w:rsidP="00AA39E7">
      <w:pPr>
        <w:jc w:val="both"/>
        <w:rPr>
          <w:lang w:eastAsia="en-US"/>
        </w:rPr>
      </w:pPr>
      <w:r>
        <w:rPr>
          <w:lang w:eastAsia="en-US"/>
        </w:rPr>
        <w:t>Sur cette base, un portefeuille consolidé de mesures d’atténuation a été élaboré pour le secteur de l’énergie. Chaque mesure regroupe un ensemble de projets contribuant à un même objectif sectoriel et fait l’objet, lorsque les données sont disponibles, d’une estimation indicative des capacités associées, du potentiel de réduction des émissions, des coûts d’investissement et des besoins de financement correspondants.</w:t>
      </w:r>
    </w:p>
    <w:p w14:paraId="3249A9B0" w14:textId="6019E238" w:rsidR="00AA39E7" w:rsidRDefault="00AA39E7" w:rsidP="00C06A8D">
      <w:pPr>
        <w:jc w:val="both"/>
        <w:rPr>
          <w:lang w:eastAsia="en-US"/>
        </w:rPr>
        <w:sectPr w:rsidR="00AA39E7" w:rsidSect="00827114">
          <w:pgSz w:w="12240" w:h="15840" w:code="1"/>
          <w:pgMar w:top="1411" w:right="1411" w:bottom="1411" w:left="1411" w:header="706" w:footer="706" w:gutter="0"/>
          <w:cols w:space="708"/>
          <w:docGrid w:linePitch="360"/>
        </w:sectPr>
      </w:pPr>
      <w:r w:rsidRPr="00AA39E7">
        <w:rPr>
          <w:lang w:eastAsia="en-US"/>
        </w:rPr>
        <w:t>Le tableau ci-après présente les principales mesures retenues pour le scénario d’atténuation du secteur de l’énergie dans le cadre de la CDN 3.0.</w:t>
      </w:r>
    </w:p>
    <w:p w14:paraId="7FB39947" w14:textId="45A646F2" w:rsidR="00AA39E7" w:rsidRDefault="00AA39E7" w:rsidP="00AA39E7">
      <w:pPr>
        <w:pStyle w:val="Lgende"/>
        <w:keepNext/>
      </w:pPr>
      <w:bookmarkStart w:id="45" w:name="_Toc234853940"/>
      <w:r>
        <w:lastRenderedPageBreak/>
        <w:t xml:space="preserve">Tableau </w:t>
      </w:r>
      <w:r>
        <w:fldChar w:fldCharType="begin"/>
      </w:r>
      <w:r>
        <w:instrText xml:space="preserve"> SEQ Tableau \* ARABIC </w:instrText>
      </w:r>
      <w:r>
        <w:fldChar w:fldCharType="separate"/>
      </w:r>
      <w:r w:rsidR="0018772E">
        <w:rPr>
          <w:noProof/>
        </w:rPr>
        <w:t>16</w:t>
      </w:r>
      <w:r>
        <w:fldChar w:fldCharType="end"/>
      </w:r>
      <w:r w:rsidRPr="00E35393">
        <w:t xml:space="preserve"> : </w:t>
      </w:r>
      <w:r w:rsidR="00F21DA2" w:rsidRPr="00E35393">
        <w:t>Mesures consolidées du portefeuille d'atténuation du secteur de l'énergie</w:t>
      </w:r>
      <w:bookmarkEnd w:id="45"/>
    </w:p>
    <w:tbl>
      <w:tblPr>
        <w:tblStyle w:val="GridTable1Light-Accent11"/>
        <w:tblW w:w="5000" w:type="pct"/>
        <w:tblLook w:val="0000" w:firstRow="0" w:lastRow="0" w:firstColumn="0" w:lastColumn="0" w:noHBand="0" w:noVBand="0"/>
      </w:tblPr>
      <w:tblGrid>
        <w:gridCol w:w="416"/>
        <w:gridCol w:w="1285"/>
        <w:gridCol w:w="1839"/>
        <w:gridCol w:w="3895"/>
        <w:gridCol w:w="1493"/>
        <w:gridCol w:w="1275"/>
        <w:gridCol w:w="1275"/>
        <w:gridCol w:w="1530"/>
      </w:tblGrid>
      <w:tr w:rsidR="00C61082" w:rsidRPr="002C6099" w14:paraId="3ADBDC75" w14:textId="77777777" w:rsidTr="00053119">
        <w:trPr>
          <w:trHeight w:val="514"/>
        </w:trPr>
        <w:tc>
          <w:tcPr>
            <w:tcW w:w="160" w:type="pct"/>
            <w:shd w:val="clear" w:color="auto" w:fill="074F6A"/>
            <w:vAlign w:val="center"/>
          </w:tcPr>
          <w:p w14:paraId="2561225F" w14:textId="30DC42F7" w:rsidR="00C61082" w:rsidRPr="002C6099" w:rsidRDefault="008D4D24" w:rsidP="002C6099">
            <w:pPr>
              <w:jc w:val="both"/>
              <w:rPr>
                <w:rFonts w:asciiTheme="minorHAnsi" w:hAnsiTheme="minorHAnsi" w:cstheme="minorHAnsi"/>
                <w:b/>
                <w:color w:val="FFFFFF" w:themeColor="background1"/>
                <w:sz w:val="18"/>
                <w:szCs w:val="18"/>
              </w:rPr>
            </w:pPr>
            <w:r w:rsidRPr="002C6099">
              <w:rPr>
                <w:rFonts w:asciiTheme="minorHAnsi" w:hAnsiTheme="minorHAnsi" w:cstheme="minorHAnsi"/>
                <w:b/>
                <w:color w:val="FFFFFF" w:themeColor="background1"/>
                <w:sz w:val="18"/>
                <w:szCs w:val="18"/>
              </w:rPr>
              <w:t>N</w:t>
            </w:r>
            <w:r w:rsidR="00AA39E7" w:rsidRPr="002C6099">
              <w:rPr>
                <w:rFonts w:asciiTheme="minorHAnsi" w:hAnsiTheme="minorHAnsi" w:cstheme="minorHAnsi"/>
                <w:b/>
                <w:color w:val="FFFFFF" w:themeColor="background1"/>
                <w:sz w:val="18"/>
                <w:szCs w:val="18"/>
              </w:rPr>
              <w:t>°</w:t>
            </w:r>
          </w:p>
        </w:tc>
        <w:tc>
          <w:tcPr>
            <w:tcW w:w="494" w:type="pct"/>
            <w:shd w:val="clear" w:color="auto" w:fill="074F6A"/>
            <w:vAlign w:val="center"/>
          </w:tcPr>
          <w:p w14:paraId="1A704F16" w14:textId="77777777" w:rsidR="00C61082" w:rsidRPr="002C6099" w:rsidRDefault="00C61082" w:rsidP="002C6099">
            <w:pPr>
              <w:jc w:val="both"/>
              <w:rPr>
                <w:rFonts w:asciiTheme="minorHAnsi" w:hAnsiTheme="minorHAnsi" w:cstheme="minorHAnsi"/>
                <w:b/>
                <w:color w:val="FFFFFF" w:themeColor="background1"/>
                <w:sz w:val="18"/>
                <w:szCs w:val="18"/>
              </w:rPr>
            </w:pPr>
            <w:r w:rsidRPr="002C6099">
              <w:rPr>
                <w:rFonts w:asciiTheme="minorHAnsi" w:hAnsiTheme="minorHAnsi" w:cstheme="minorHAnsi"/>
                <w:b/>
                <w:color w:val="FFFFFF" w:themeColor="background1"/>
                <w:sz w:val="18"/>
                <w:szCs w:val="18"/>
              </w:rPr>
              <w:t>Porteur</w:t>
            </w:r>
          </w:p>
        </w:tc>
        <w:tc>
          <w:tcPr>
            <w:tcW w:w="707" w:type="pct"/>
            <w:shd w:val="clear" w:color="auto" w:fill="074F6A"/>
            <w:vAlign w:val="center"/>
          </w:tcPr>
          <w:p w14:paraId="6196B7C9" w14:textId="77777777" w:rsidR="00C61082" w:rsidRPr="002C6099" w:rsidRDefault="00C61082" w:rsidP="002C6099">
            <w:pPr>
              <w:jc w:val="both"/>
              <w:rPr>
                <w:rFonts w:asciiTheme="minorHAnsi" w:hAnsiTheme="minorHAnsi" w:cstheme="minorHAnsi"/>
                <w:b/>
                <w:color w:val="FFFFFF" w:themeColor="background1"/>
                <w:sz w:val="18"/>
                <w:szCs w:val="18"/>
              </w:rPr>
            </w:pPr>
            <w:r w:rsidRPr="002C6099">
              <w:rPr>
                <w:rFonts w:asciiTheme="minorHAnsi" w:hAnsiTheme="minorHAnsi" w:cstheme="minorHAnsi"/>
                <w:b/>
                <w:color w:val="FFFFFF" w:themeColor="background1"/>
                <w:sz w:val="18"/>
                <w:szCs w:val="18"/>
              </w:rPr>
              <w:t>Mesure</w:t>
            </w:r>
          </w:p>
        </w:tc>
        <w:tc>
          <w:tcPr>
            <w:tcW w:w="1497" w:type="pct"/>
            <w:shd w:val="clear" w:color="auto" w:fill="074F6A"/>
            <w:vAlign w:val="center"/>
          </w:tcPr>
          <w:p w14:paraId="6E158E15" w14:textId="77777777" w:rsidR="00C61082" w:rsidRPr="002C6099" w:rsidRDefault="00C61082" w:rsidP="002C6099">
            <w:pPr>
              <w:jc w:val="both"/>
              <w:rPr>
                <w:rFonts w:asciiTheme="minorHAnsi" w:hAnsiTheme="minorHAnsi" w:cstheme="minorHAnsi"/>
                <w:b/>
                <w:color w:val="FFFFFF" w:themeColor="background1"/>
                <w:sz w:val="18"/>
                <w:szCs w:val="18"/>
              </w:rPr>
            </w:pPr>
            <w:r w:rsidRPr="002C6099">
              <w:rPr>
                <w:rFonts w:asciiTheme="minorHAnsi" w:hAnsiTheme="minorHAnsi" w:cstheme="minorHAnsi"/>
                <w:b/>
                <w:color w:val="FFFFFF" w:themeColor="background1"/>
                <w:sz w:val="18"/>
                <w:szCs w:val="18"/>
              </w:rPr>
              <w:t>Description de la mesure</w:t>
            </w:r>
          </w:p>
        </w:tc>
        <w:tc>
          <w:tcPr>
            <w:tcW w:w="574" w:type="pct"/>
            <w:shd w:val="clear" w:color="auto" w:fill="074F6A"/>
            <w:vAlign w:val="center"/>
          </w:tcPr>
          <w:p w14:paraId="4BF8A354" w14:textId="77777777" w:rsidR="00C61082" w:rsidRPr="002C6099" w:rsidRDefault="00C61082" w:rsidP="002C6099">
            <w:pPr>
              <w:jc w:val="center"/>
              <w:rPr>
                <w:rFonts w:asciiTheme="minorHAnsi" w:hAnsiTheme="minorHAnsi" w:cstheme="minorHAnsi"/>
                <w:b/>
                <w:color w:val="FFFFFF" w:themeColor="background1"/>
                <w:sz w:val="18"/>
                <w:szCs w:val="18"/>
              </w:rPr>
            </w:pPr>
            <w:r w:rsidRPr="002C6099">
              <w:rPr>
                <w:rFonts w:asciiTheme="minorHAnsi" w:hAnsiTheme="minorHAnsi" w:cstheme="minorHAnsi"/>
                <w:b/>
                <w:color w:val="FFFFFF" w:themeColor="background1"/>
                <w:sz w:val="18"/>
                <w:szCs w:val="18"/>
              </w:rPr>
              <w:t>Indicateur cible</w:t>
            </w:r>
          </w:p>
        </w:tc>
        <w:tc>
          <w:tcPr>
            <w:tcW w:w="490" w:type="pct"/>
            <w:shd w:val="clear" w:color="auto" w:fill="074F6A"/>
            <w:vAlign w:val="center"/>
          </w:tcPr>
          <w:p w14:paraId="1C9EB658" w14:textId="2C9619E9" w:rsidR="00C61082" w:rsidRPr="002C6099" w:rsidRDefault="00C61082" w:rsidP="002C6099">
            <w:pPr>
              <w:jc w:val="center"/>
              <w:rPr>
                <w:rFonts w:asciiTheme="minorHAnsi" w:hAnsiTheme="minorHAnsi" w:cstheme="minorHAnsi"/>
                <w:b/>
                <w:color w:val="FFFFFF" w:themeColor="background1"/>
                <w:sz w:val="18"/>
                <w:szCs w:val="18"/>
              </w:rPr>
            </w:pPr>
            <w:r w:rsidRPr="002C6099">
              <w:rPr>
                <w:rFonts w:asciiTheme="minorHAnsi" w:hAnsiTheme="minorHAnsi" w:cstheme="minorHAnsi"/>
                <w:b/>
                <w:color w:val="FFFFFF" w:themeColor="background1"/>
                <w:sz w:val="18"/>
                <w:szCs w:val="18"/>
              </w:rPr>
              <w:t>Atténuation</w:t>
            </w:r>
            <w:r w:rsidR="00CD32F3" w:rsidRPr="002C6099">
              <w:rPr>
                <w:rFonts w:asciiTheme="minorHAnsi" w:hAnsiTheme="minorHAnsi" w:cstheme="minorHAnsi"/>
                <w:b/>
                <w:color w:val="FFFFFF" w:themeColor="background1"/>
                <w:sz w:val="18"/>
                <w:szCs w:val="18"/>
              </w:rPr>
              <w:t xml:space="preserve"> </w:t>
            </w:r>
            <w:r w:rsidR="003200AD" w:rsidRPr="002C6099">
              <w:rPr>
                <w:rFonts w:asciiTheme="minorHAnsi" w:hAnsiTheme="minorHAnsi" w:cstheme="minorHAnsi"/>
                <w:b/>
                <w:color w:val="FFFFFF" w:themeColor="background1"/>
                <w:sz w:val="18"/>
                <w:szCs w:val="18"/>
              </w:rPr>
              <w:t>reçue</w:t>
            </w:r>
            <w:r w:rsidR="00CD32F3" w:rsidRPr="002C6099">
              <w:rPr>
                <w:rFonts w:asciiTheme="minorHAnsi" w:hAnsiTheme="minorHAnsi" w:cstheme="minorHAnsi"/>
                <w:b/>
                <w:color w:val="FFFFFF" w:themeColor="background1"/>
                <w:sz w:val="18"/>
                <w:szCs w:val="18"/>
              </w:rPr>
              <w:t xml:space="preserve"> (TCO</w:t>
            </w:r>
            <w:r w:rsidR="00CD32F3" w:rsidRPr="002C6099">
              <w:rPr>
                <w:rFonts w:asciiTheme="minorHAnsi" w:hAnsiTheme="minorHAnsi" w:cstheme="minorHAnsi"/>
                <w:b/>
                <w:color w:val="FFFFFF" w:themeColor="background1"/>
                <w:sz w:val="18"/>
                <w:szCs w:val="18"/>
                <w:vertAlign w:val="subscript"/>
              </w:rPr>
              <w:t>2</w:t>
            </w:r>
            <w:r w:rsidR="00CD32F3" w:rsidRPr="002C6099">
              <w:rPr>
                <w:rFonts w:asciiTheme="minorHAnsi" w:hAnsiTheme="minorHAnsi" w:cstheme="minorHAnsi"/>
                <w:b/>
                <w:color w:val="FFFFFF" w:themeColor="background1"/>
                <w:sz w:val="18"/>
                <w:szCs w:val="18"/>
              </w:rPr>
              <w:t>éq/an)</w:t>
            </w:r>
          </w:p>
        </w:tc>
        <w:tc>
          <w:tcPr>
            <w:tcW w:w="490" w:type="pct"/>
            <w:shd w:val="clear" w:color="auto" w:fill="074F6A"/>
          </w:tcPr>
          <w:p w14:paraId="030A2E5B" w14:textId="6A2D807F" w:rsidR="0016404E" w:rsidRPr="002C6099" w:rsidRDefault="0016404E" w:rsidP="002C6099">
            <w:pPr>
              <w:jc w:val="center"/>
              <w:rPr>
                <w:rFonts w:asciiTheme="minorHAnsi" w:hAnsiTheme="minorHAnsi" w:cstheme="minorHAnsi"/>
                <w:b/>
                <w:color w:val="FFFFFF" w:themeColor="background1"/>
                <w:sz w:val="18"/>
                <w:szCs w:val="18"/>
              </w:rPr>
            </w:pPr>
            <w:r w:rsidRPr="002C6099">
              <w:rPr>
                <w:rFonts w:asciiTheme="minorHAnsi" w:hAnsiTheme="minorHAnsi" w:cstheme="minorHAnsi"/>
                <w:b/>
                <w:color w:val="FFFFFF" w:themeColor="background1"/>
                <w:sz w:val="18"/>
                <w:szCs w:val="18"/>
              </w:rPr>
              <w:t>Atténuation retenue</w:t>
            </w:r>
            <w:r w:rsidR="00CD32F3" w:rsidRPr="002C6099">
              <w:rPr>
                <w:rFonts w:asciiTheme="minorHAnsi" w:hAnsiTheme="minorHAnsi" w:cstheme="minorHAnsi"/>
                <w:b/>
                <w:color w:val="FFFFFF" w:themeColor="background1"/>
                <w:sz w:val="18"/>
                <w:szCs w:val="18"/>
              </w:rPr>
              <w:t xml:space="preserve"> (TCO</w:t>
            </w:r>
            <w:r w:rsidR="00CD32F3" w:rsidRPr="002C6099">
              <w:rPr>
                <w:rFonts w:asciiTheme="minorHAnsi" w:hAnsiTheme="minorHAnsi" w:cstheme="minorHAnsi"/>
                <w:b/>
                <w:color w:val="FFFFFF" w:themeColor="background1"/>
                <w:sz w:val="18"/>
                <w:szCs w:val="18"/>
                <w:vertAlign w:val="subscript"/>
              </w:rPr>
              <w:t>2</w:t>
            </w:r>
            <w:r w:rsidR="00CD32F3" w:rsidRPr="002C6099">
              <w:rPr>
                <w:rFonts w:asciiTheme="minorHAnsi" w:hAnsiTheme="minorHAnsi" w:cstheme="minorHAnsi"/>
                <w:b/>
                <w:color w:val="FFFFFF" w:themeColor="background1"/>
                <w:sz w:val="18"/>
                <w:szCs w:val="18"/>
              </w:rPr>
              <w:t>éq/an)</w:t>
            </w:r>
          </w:p>
        </w:tc>
        <w:tc>
          <w:tcPr>
            <w:tcW w:w="588" w:type="pct"/>
            <w:shd w:val="clear" w:color="auto" w:fill="074F6A"/>
            <w:vAlign w:val="center"/>
          </w:tcPr>
          <w:p w14:paraId="0FC605DE" w14:textId="6860B1BE" w:rsidR="00C61082" w:rsidRPr="002C6099" w:rsidRDefault="00C61082" w:rsidP="002C6099">
            <w:pPr>
              <w:jc w:val="center"/>
              <w:rPr>
                <w:rFonts w:asciiTheme="minorHAnsi" w:hAnsiTheme="minorHAnsi" w:cstheme="minorHAnsi"/>
                <w:b/>
                <w:color w:val="FFFFFF" w:themeColor="background1"/>
                <w:sz w:val="18"/>
                <w:szCs w:val="18"/>
              </w:rPr>
            </w:pPr>
            <w:r w:rsidRPr="002C6099">
              <w:rPr>
                <w:rFonts w:asciiTheme="minorHAnsi" w:hAnsiTheme="minorHAnsi" w:cstheme="minorHAnsi"/>
                <w:b/>
                <w:color w:val="FFFFFF" w:themeColor="background1"/>
                <w:sz w:val="18"/>
                <w:szCs w:val="18"/>
              </w:rPr>
              <w:t>Coût</w:t>
            </w:r>
            <w:r w:rsidR="00EC00B6" w:rsidRPr="002C6099">
              <w:rPr>
                <w:rFonts w:asciiTheme="minorHAnsi" w:hAnsiTheme="minorHAnsi" w:cstheme="minorHAnsi"/>
                <w:b/>
                <w:color w:val="FFFFFF" w:themeColor="background1"/>
                <w:sz w:val="18"/>
                <w:szCs w:val="18"/>
              </w:rPr>
              <w:t xml:space="preserve"> (CFA)</w:t>
            </w:r>
          </w:p>
        </w:tc>
      </w:tr>
      <w:tr w:rsidR="00C61082" w:rsidRPr="002C6099" w14:paraId="3DB6D964" w14:textId="77777777" w:rsidTr="00053119">
        <w:tc>
          <w:tcPr>
            <w:tcW w:w="160" w:type="pct"/>
            <w:vAlign w:val="center"/>
          </w:tcPr>
          <w:p w14:paraId="1FA540EF" w14:textId="68708E1D" w:rsidR="00C61082" w:rsidRPr="002C6099" w:rsidRDefault="004B3FF2" w:rsidP="002C6099">
            <w:pPr>
              <w:jc w:val="both"/>
              <w:rPr>
                <w:rFonts w:asciiTheme="minorHAnsi" w:hAnsiTheme="minorHAnsi" w:cstheme="minorHAnsi"/>
                <w:b/>
                <w:sz w:val="18"/>
                <w:szCs w:val="18"/>
              </w:rPr>
            </w:pPr>
            <w:r w:rsidRPr="002C6099">
              <w:rPr>
                <w:rFonts w:asciiTheme="minorHAnsi" w:hAnsiTheme="minorHAnsi" w:cstheme="minorHAnsi"/>
                <w:b/>
                <w:sz w:val="18"/>
                <w:szCs w:val="18"/>
              </w:rPr>
              <w:t>1</w:t>
            </w:r>
          </w:p>
        </w:tc>
        <w:tc>
          <w:tcPr>
            <w:tcW w:w="494" w:type="pct"/>
            <w:vAlign w:val="center"/>
          </w:tcPr>
          <w:p w14:paraId="21B8CECB"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DNE / EDM</w:t>
            </w:r>
          </w:p>
        </w:tc>
        <w:tc>
          <w:tcPr>
            <w:tcW w:w="707" w:type="pct"/>
            <w:vAlign w:val="center"/>
          </w:tcPr>
          <w:p w14:paraId="49E1FD8A" w14:textId="33A56869"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 xml:space="preserve">Programme national solaire </w:t>
            </w:r>
            <w:r w:rsidR="004772F5" w:rsidRPr="002C6099">
              <w:rPr>
                <w:rFonts w:asciiTheme="minorHAnsi" w:hAnsiTheme="minorHAnsi" w:cstheme="minorHAnsi"/>
                <w:color w:val="000000"/>
                <w:sz w:val="18"/>
                <w:szCs w:val="18"/>
              </w:rPr>
              <w:t>photovoltaïque</w:t>
            </w:r>
          </w:p>
        </w:tc>
        <w:tc>
          <w:tcPr>
            <w:tcW w:w="1497" w:type="pct"/>
            <w:vAlign w:val="center"/>
          </w:tcPr>
          <w:p w14:paraId="7DC86F05"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Déploiement de centrales solaires photovoltaïques connectées au réseau interconnecté sur plusieurs sites prioritaires, pour une capacité totale de 130 MWc. Ces installations permettront d'injecter directement l'énergie produite sur le réseau et de réduire la dépendance aux combustibles fossiles.</w:t>
            </w:r>
          </w:p>
        </w:tc>
        <w:tc>
          <w:tcPr>
            <w:tcW w:w="574" w:type="pct"/>
            <w:vAlign w:val="center"/>
          </w:tcPr>
          <w:p w14:paraId="0D58157F" w14:textId="77777777"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130 MWc</w:t>
            </w:r>
          </w:p>
        </w:tc>
        <w:tc>
          <w:tcPr>
            <w:tcW w:w="490" w:type="pct"/>
            <w:vAlign w:val="center"/>
          </w:tcPr>
          <w:p w14:paraId="073D5439" w14:textId="6EA76F3C"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104 588 </w:t>
            </w:r>
          </w:p>
        </w:tc>
        <w:tc>
          <w:tcPr>
            <w:tcW w:w="490" w:type="pct"/>
            <w:vAlign w:val="center"/>
          </w:tcPr>
          <w:p w14:paraId="692BF0D7" w14:textId="5E31D417" w:rsidR="00CD32F3" w:rsidRPr="002C6099" w:rsidRDefault="00CD32F3"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281 948</w:t>
            </w:r>
          </w:p>
        </w:tc>
        <w:tc>
          <w:tcPr>
            <w:tcW w:w="588" w:type="pct"/>
            <w:vAlign w:val="center"/>
          </w:tcPr>
          <w:p w14:paraId="56D4D331" w14:textId="798164D5"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95 750 000 000 </w:t>
            </w:r>
          </w:p>
        </w:tc>
      </w:tr>
      <w:tr w:rsidR="00C61082" w:rsidRPr="002C6099" w14:paraId="32BCEC27" w14:textId="77777777" w:rsidTr="00053119">
        <w:tc>
          <w:tcPr>
            <w:tcW w:w="160" w:type="pct"/>
            <w:vAlign w:val="center"/>
          </w:tcPr>
          <w:p w14:paraId="2ABE9BF5" w14:textId="4108E3A6" w:rsidR="00C61082" w:rsidRPr="002C6099" w:rsidRDefault="00C61082" w:rsidP="002C6099">
            <w:pPr>
              <w:jc w:val="both"/>
              <w:rPr>
                <w:rFonts w:asciiTheme="minorHAnsi" w:hAnsiTheme="minorHAnsi" w:cstheme="minorHAnsi"/>
                <w:b/>
                <w:sz w:val="18"/>
                <w:szCs w:val="18"/>
              </w:rPr>
            </w:pPr>
            <w:r w:rsidRPr="002C6099">
              <w:rPr>
                <w:rFonts w:asciiTheme="minorHAnsi" w:hAnsiTheme="minorHAnsi" w:cstheme="minorHAnsi"/>
                <w:b/>
                <w:color w:val="000000"/>
                <w:sz w:val="18"/>
                <w:szCs w:val="18"/>
              </w:rPr>
              <w:t>2</w:t>
            </w:r>
          </w:p>
        </w:tc>
        <w:tc>
          <w:tcPr>
            <w:tcW w:w="494" w:type="pct"/>
            <w:vAlign w:val="center"/>
          </w:tcPr>
          <w:p w14:paraId="6D71DC8B"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DNE / EDM</w:t>
            </w:r>
          </w:p>
        </w:tc>
        <w:tc>
          <w:tcPr>
            <w:tcW w:w="707" w:type="pct"/>
            <w:vAlign w:val="center"/>
          </w:tcPr>
          <w:p w14:paraId="4426B8D5" w14:textId="75B839F3"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 xml:space="preserve">Programme national solaire </w:t>
            </w:r>
            <w:r w:rsidR="004772F5" w:rsidRPr="002C6099">
              <w:rPr>
                <w:rFonts w:asciiTheme="minorHAnsi" w:hAnsiTheme="minorHAnsi" w:cstheme="minorHAnsi"/>
                <w:color w:val="000000"/>
                <w:sz w:val="18"/>
                <w:szCs w:val="18"/>
              </w:rPr>
              <w:t>photovoltaïque</w:t>
            </w:r>
            <w:r w:rsidRPr="002C6099">
              <w:rPr>
                <w:rFonts w:asciiTheme="minorHAnsi" w:hAnsiTheme="minorHAnsi" w:cstheme="minorHAnsi"/>
                <w:color w:val="000000"/>
                <w:sz w:val="18"/>
                <w:szCs w:val="18"/>
              </w:rPr>
              <w:t xml:space="preserve"> avec stockage</w:t>
            </w:r>
          </w:p>
        </w:tc>
        <w:tc>
          <w:tcPr>
            <w:tcW w:w="1497" w:type="pct"/>
            <w:vAlign w:val="center"/>
          </w:tcPr>
          <w:p w14:paraId="1C8D926E"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Déploiement de centrales solaires photovoltaïques associées à des systèmes de stockage par batteries (Battery Energy Storage Systems), afin de garantir la disponibilité de l'électricité. Le programme couvre plusieurs sites prioritaires pour une capacité solaire totale d'environ 910 MWc, complétée par plus de 465 MWh de capacités de stockage par batteries.</w:t>
            </w:r>
          </w:p>
        </w:tc>
        <w:tc>
          <w:tcPr>
            <w:tcW w:w="574" w:type="pct"/>
            <w:vAlign w:val="center"/>
          </w:tcPr>
          <w:p w14:paraId="7E3751A3" w14:textId="3DD160E8" w:rsidR="00C61082" w:rsidRPr="00532CCE" w:rsidRDefault="00C61082" w:rsidP="002C6099">
            <w:pPr>
              <w:jc w:val="center"/>
              <w:rPr>
                <w:rFonts w:asciiTheme="minorHAnsi" w:hAnsiTheme="minorHAnsi" w:cstheme="minorHAnsi"/>
                <w:sz w:val="18"/>
                <w:szCs w:val="18"/>
                <w:lang w:val="da-DK"/>
              </w:rPr>
            </w:pPr>
            <w:r w:rsidRPr="00532CCE">
              <w:rPr>
                <w:rFonts w:asciiTheme="minorHAnsi" w:hAnsiTheme="minorHAnsi" w:cstheme="minorHAnsi"/>
                <w:color w:val="000000"/>
                <w:sz w:val="18"/>
                <w:szCs w:val="18"/>
                <w:lang w:val="da-DK"/>
              </w:rPr>
              <w:t>910 MWc PV</w:t>
            </w:r>
            <w:r w:rsidR="00BC0AAD" w:rsidRPr="00532CCE">
              <w:rPr>
                <w:rFonts w:asciiTheme="minorHAnsi" w:hAnsiTheme="minorHAnsi" w:cstheme="minorHAnsi"/>
                <w:color w:val="000000"/>
                <w:sz w:val="18"/>
                <w:szCs w:val="18"/>
                <w:lang w:val="da-DK"/>
              </w:rPr>
              <w:t xml:space="preserve"> et</w:t>
            </w:r>
            <w:r w:rsidRPr="00532CCE">
              <w:rPr>
                <w:rFonts w:asciiTheme="minorHAnsi" w:hAnsiTheme="minorHAnsi" w:cstheme="minorHAnsi"/>
                <w:color w:val="000000"/>
                <w:sz w:val="18"/>
                <w:szCs w:val="18"/>
                <w:lang w:val="da-DK"/>
              </w:rPr>
              <w:t xml:space="preserve"> 465 MWh stockage</w:t>
            </w:r>
          </w:p>
        </w:tc>
        <w:tc>
          <w:tcPr>
            <w:tcW w:w="490" w:type="pct"/>
            <w:vAlign w:val="center"/>
          </w:tcPr>
          <w:p w14:paraId="2B43C597" w14:textId="276CD224"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556 642 </w:t>
            </w:r>
          </w:p>
        </w:tc>
        <w:tc>
          <w:tcPr>
            <w:tcW w:w="490" w:type="pct"/>
            <w:vAlign w:val="center"/>
          </w:tcPr>
          <w:p w14:paraId="27364B9D" w14:textId="07501CC8" w:rsidR="00A50B59" w:rsidRPr="002C6099" w:rsidRDefault="00A50B59"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2 120 930</w:t>
            </w:r>
          </w:p>
        </w:tc>
        <w:tc>
          <w:tcPr>
            <w:tcW w:w="588" w:type="pct"/>
            <w:vAlign w:val="center"/>
          </w:tcPr>
          <w:p w14:paraId="61FFF092" w14:textId="74062594"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771 722 000 000 </w:t>
            </w:r>
          </w:p>
        </w:tc>
      </w:tr>
      <w:tr w:rsidR="00C61082" w:rsidRPr="002C6099" w14:paraId="426C967E" w14:textId="77777777" w:rsidTr="00053119">
        <w:tc>
          <w:tcPr>
            <w:tcW w:w="160" w:type="pct"/>
            <w:vAlign w:val="center"/>
          </w:tcPr>
          <w:p w14:paraId="14BC6937" w14:textId="0D122D7A" w:rsidR="00C61082" w:rsidRPr="002C6099" w:rsidRDefault="00C61082" w:rsidP="002C6099">
            <w:pPr>
              <w:jc w:val="both"/>
              <w:rPr>
                <w:rFonts w:asciiTheme="minorHAnsi" w:hAnsiTheme="minorHAnsi" w:cstheme="minorHAnsi"/>
                <w:b/>
                <w:sz w:val="18"/>
                <w:szCs w:val="18"/>
              </w:rPr>
            </w:pPr>
            <w:r w:rsidRPr="002C6099">
              <w:rPr>
                <w:rFonts w:asciiTheme="minorHAnsi" w:hAnsiTheme="minorHAnsi" w:cstheme="minorHAnsi"/>
                <w:b/>
                <w:color w:val="000000"/>
                <w:sz w:val="18"/>
                <w:szCs w:val="18"/>
              </w:rPr>
              <w:t>3</w:t>
            </w:r>
          </w:p>
        </w:tc>
        <w:tc>
          <w:tcPr>
            <w:tcW w:w="494" w:type="pct"/>
            <w:vAlign w:val="center"/>
          </w:tcPr>
          <w:p w14:paraId="1B1D1CAE"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DNE / EDM</w:t>
            </w:r>
          </w:p>
        </w:tc>
        <w:tc>
          <w:tcPr>
            <w:tcW w:w="707" w:type="pct"/>
            <w:vAlign w:val="center"/>
          </w:tcPr>
          <w:p w14:paraId="46E1ED71"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Programme national hydroélectrique</w:t>
            </w:r>
          </w:p>
        </w:tc>
        <w:tc>
          <w:tcPr>
            <w:tcW w:w="1497" w:type="pct"/>
            <w:vAlign w:val="center"/>
          </w:tcPr>
          <w:p w14:paraId="645EE4A9"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Programme de construction, de réhabilitation et d'extension de centrales hydroélectriques de moyenne et petite puissance, visant à valoriser le potentiel hydraulique national. Le programme couvre plusieurs sites prioritaires, pour une capacité totale d'environ 165 MW.</w:t>
            </w:r>
          </w:p>
        </w:tc>
        <w:tc>
          <w:tcPr>
            <w:tcW w:w="574" w:type="pct"/>
            <w:vAlign w:val="center"/>
          </w:tcPr>
          <w:p w14:paraId="277714B7" w14:textId="77777777"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165 MW</w:t>
            </w:r>
          </w:p>
        </w:tc>
        <w:tc>
          <w:tcPr>
            <w:tcW w:w="490" w:type="pct"/>
            <w:vAlign w:val="center"/>
          </w:tcPr>
          <w:p w14:paraId="1E628AD9" w14:textId="0E57DF02"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349 628 </w:t>
            </w:r>
          </w:p>
        </w:tc>
        <w:tc>
          <w:tcPr>
            <w:tcW w:w="490" w:type="pct"/>
            <w:vAlign w:val="center"/>
          </w:tcPr>
          <w:p w14:paraId="763434DF" w14:textId="2F16C3BD" w:rsidR="00FD1EBE" w:rsidRPr="002C6099" w:rsidRDefault="00FD1EBE" w:rsidP="002C6099">
            <w:pPr>
              <w:jc w:val="center"/>
              <w:rPr>
                <w:rFonts w:asciiTheme="minorHAnsi" w:hAnsiTheme="minorHAnsi" w:cstheme="minorHAnsi"/>
                <w:sz w:val="18"/>
                <w:szCs w:val="18"/>
              </w:rPr>
            </w:pPr>
            <w:r w:rsidRPr="002C6099">
              <w:rPr>
                <w:rFonts w:asciiTheme="minorHAnsi" w:hAnsiTheme="minorHAnsi" w:cstheme="minorHAnsi"/>
                <w:sz w:val="18"/>
                <w:szCs w:val="18"/>
              </w:rPr>
              <w:t>481 751</w:t>
            </w:r>
          </w:p>
        </w:tc>
        <w:tc>
          <w:tcPr>
            <w:tcW w:w="588" w:type="pct"/>
            <w:vAlign w:val="center"/>
          </w:tcPr>
          <w:p w14:paraId="45755C8E" w14:textId="2ADC95AE"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583 000 000 000 </w:t>
            </w:r>
          </w:p>
        </w:tc>
      </w:tr>
      <w:tr w:rsidR="00AE6617" w:rsidRPr="002C6099" w14:paraId="2EC7B824" w14:textId="77777777" w:rsidTr="00053119">
        <w:tc>
          <w:tcPr>
            <w:tcW w:w="160" w:type="pct"/>
            <w:vAlign w:val="center"/>
          </w:tcPr>
          <w:p w14:paraId="25FC0E40" w14:textId="25282664" w:rsidR="00AE6617" w:rsidRPr="002C6099" w:rsidRDefault="004B3FF2" w:rsidP="002C6099">
            <w:pPr>
              <w:jc w:val="both"/>
              <w:rPr>
                <w:rFonts w:asciiTheme="minorHAnsi" w:hAnsiTheme="minorHAnsi" w:cstheme="minorHAnsi"/>
                <w:b/>
                <w:sz w:val="18"/>
                <w:szCs w:val="18"/>
              </w:rPr>
            </w:pPr>
            <w:r w:rsidRPr="002C6099">
              <w:rPr>
                <w:rFonts w:asciiTheme="minorHAnsi" w:hAnsiTheme="minorHAnsi" w:cstheme="minorHAnsi"/>
                <w:b/>
                <w:sz w:val="18"/>
                <w:szCs w:val="18"/>
              </w:rPr>
              <w:t>4</w:t>
            </w:r>
          </w:p>
        </w:tc>
        <w:tc>
          <w:tcPr>
            <w:tcW w:w="494" w:type="pct"/>
            <w:vAlign w:val="center"/>
          </w:tcPr>
          <w:p w14:paraId="51BB7EB2" w14:textId="77777777" w:rsidR="00AE6617" w:rsidRPr="002C6099" w:rsidRDefault="00AE6617"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DNE / EDM</w:t>
            </w:r>
          </w:p>
        </w:tc>
        <w:tc>
          <w:tcPr>
            <w:tcW w:w="707" w:type="pct"/>
            <w:vAlign w:val="center"/>
          </w:tcPr>
          <w:p w14:paraId="20F85D84" w14:textId="77777777" w:rsidR="00AE6617" w:rsidRPr="002C6099" w:rsidRDefault="00AE6617"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Extension du réseau de transport d'énergie électrique</w:t>
            </w:r>
          </w:p>
        </w:tc>
        <w:tc>
          <w:tcPr>
            <w:tcW w:w="1497" w:type="pct"/>
            <w:vAlign w:val="center"/>
          </w:tcPr>
          <w:p w14:paraId="7328452D" w14:textId="77777777" w:rsidR="00AE6617" w:rsidRPr="002C6099" w:rsidRDefault="00AE6617"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Extension, renforcement et modernisation du réseau national de transport d'électricité à travers le développement de lignes haute tension, de postes électriques et d'interconnexions régionales WAPP/OMVS, afin de sécuriser l'approvisionnement électrique national, d'étendre la desserte, de réduire les pertes techniques et de substituer progressivement la production thermique décentralisée.</w:t>
            </w:r>
          </w:p>
        </w:tc>
        <w:tc>
          <w:tcPr>
            <w:tcW w:w="574" w:type="pct"/>
            <w:vAlign w:val="center"/>
          </w:tcPr>
          <w:p w14:paraId="6AF2C056" w14:textId="173FA90A" w:rsidR="00AE6617" w:rsidRPr="002C6099" w:rsidRDefault="00852846" w:rsidP="002C6099">
            <w:pPr>
              <w:jc w:val="center"/>
              <w:rPr>
                <w:rFonts w:asciiTheme="minorHAnsi" w:hAnsiTheme="minorHAnsi" w:cstheme="minorHAnsi"/>
                <w:sz w:val="18"/>
                <w:szCs w:val="18"/>
              </w:rPr>
            </w:pPr>
            <w:r w:rsidRPr="002C6099">
              <w:rPr>
                <w:rFonts w:asciiTheme="minorHAnsi" w:hAnsiTheme="minorHAnsi" w:cstheme="minorHAnsi"/>
                <w:sz w:val="18"/>
                <w:szCs w:val="18"/>
              </w:rPr>
              <w:t>3 801,82 km</w:t>
            </w:r>
          </w:p>
        </w:tc>
        <w:tc>
          <w:tcPr>
            <w:tcW w:w="490" w:type="pct"/>
            <w:vAlign w:val="center"/>
          </w:tcPr>
          <w:p w14:paraId="7DC9A025" w14:textId="77777777" w:rsidR="00AE6617" w:rsidRPr="002C6099" w:rsidRDefault="00AE6617"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NR</w:t>
            </w:r>
          </w:p>
        </w:tc>
        <w:tc>
          <w:tcPr>
            <w:tcW w:w="490" w:type="pct"/>
            <w:vAlign w:val="center"/>
          </w:tcPr>
          <w:p w14:paraId="101E9DF3" w14:textId="25F6C095" w:rsidR="009E1D1E" w:rsidRPr="002C6099" w:rsidRDefault="009E1D1E"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396 800</w:t>
            </w:r>
          </w:p>
        </w:tc>
        <w:tc>
          <w:tcPr>
            <w:tcW w:w="588" w:type="pct"/>
            <w:vAlign w:val="center"/>
          </w:tcPr>
          <w:p w14:paraId="3B11A3DA" w14:textId="6B66F1E0" w:rsidR="00AE6617" w:rsidRPr="002C6099" w:rsidRDefault="00852846"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981</w:t>
            </w:r>
            <w:r w:rsidR="0072411B" w:rsidRPr="002C6099">
              <w:rPr>
                <w:rFonts w:asciiTheme="minorHAnsi" w:hAnsiTheme="minorHAnsi" w:cstheme="minorHAnsi"/>
                <w:color w:val="000000"/>
                <w:sz w:val="18"/>
                <w:szCs w:val="18"/>
              </w:rPr>
              <w:t xml:space="preserve"> </w:t>
            </w:r>
            <w:r w:rsidRPr="002C6099">
              <w:rPr>
                <w:rFonts w:asciiTheme="minorHAnsi" w:hAnsiTheme="minorHAnsi" w:cstheme="minorHAnsi"/>
                <w:color w:val="000000"/>
                <w:sz w:val="18"/>
                <w:szCs w:val="18"/>
              </w:rPr>
              <w:t>8</w:t>
            </w:r>
            <w:r w:rsidR="00EC00B6" w:rsidRPr="002C6099">
              <w:rPr>
                <w:rFonts w:asciiTheme="minorHAnsi" w:hAnsiTheme="minorHAnsi" w:cstheme="minorHAnsi"/>
                <w:color w:val="000000"/>
                <w:sz w:val="18"/>
                <w:szCs w:val="18"/>
              </w:rPr>
              <w:t>00 000 000</w:t>
            </w:r>
            <w:r w:rsidRPr="002C6099">
              <w:rPr>
                <w:rFonts w:asciiTheme="minorHAnsi" w:hAnsiTheme="minorHAnsi" w:cstheme="minorHAnsi"/>
                <w:color w:val="000000"/>
                <w:sz w:val="18"/>
                <w:szCs w:val="18"/>
              </w:rPr>
              <w:t xml:space="preserve"> </w:t>
            </w:r>
          </w:p>
        </w:tc>
      </w:tr>
      <w:tr w:rsidR="00C61082" w:rsidRPr="002C6099" w14:paraId="2D714B84" w14:textId="77777777" w:rsidTr="00053119">
        <w:tc>
          <w:tcPr>
            <w:tcW w:w="160" w:type="pct"/>
            <w:vAlign w:val="center"/>
          </w:tcPr>
          <w:p w14:paraId="5AD6309F" w14:textId="72166BE7" w:rsidR="00C61082" w:rsidRPr="002C6099" w:rsidRDefault="004B3FF2" w:rsidP="002C6099">
            <w:pPr>
              <w:jc w:val="both"/>
              <w:rPr>
                <w:rFonts w:asciiTheme="minorHAnsi" w:hAnsiTheme="minorHAnsi" w:cstheme="minorHAnsi"/>
                <w:b/>
                <w:sz w:val="18"/>
                <w:szCs w:val="18"/>
              </w:rPr>
            </w:pPr>
            <w:r w:rsidRPr="002C6099">
              <w:rPr>
                <w:rFonts w:asciiTheme="minorHAnsi" w:hAnsiTheme="minorHAnsi" w:cstheme="minorHAnsi"/>
                <w:b/>
                <w:sz w:val="18"/>
                <w:szCs w:val="18"/>
              </w:rPr>
              <w:t>5</w:t>
            </w:r>
          </w:p>
        </w:tc>
        <w:tc>
          <w:tcPr>
            <w:tcW w:w="494" w:type="pct"/>
            <w:vAlign w:val="center"/>
          </w:tcPr>
          <w:p w14:paraId="66141D39"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AMADER / MEE / MEF</w:t>
            </w:r>
          </w:p>
        </w:tc>
        <w:tc>
          <w:tcPr>
            <w:tcW w:w="707" w:type="pct"/>
            <w:vAlign w:val="center"/>
          </w:tcPr>
          <w:p w14:paraId="2CB20F44"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Électrification rurale par mini-réseaux hybrides solaire PV/Diesel</w:t>
            </w:r>
          </w:p>
        </w:tc>
        <w:tc>
          <w:tcPr>
            <w:tcW w:w="1497" w:type="pct"/>
            <w:vAlign w:val="center"/>
          </w:tcPr>
          <w:p w14:paraId="46006B56" w14:textId="261EE469" w:rsidR="00C61082" w:rsidRPr="002C6099" w:rsidRDefault="00192A6B" w:rsidP="002C6099">
            <w:pPr>
              <w:jc w:val="both"/>
              <w:rPr>
                <w:rFonts w:asciiTheme="minorHAnsi" w:hAnsiTheme="minorHAnsi" w:cstheme="minorHAnsi"/>
                <w:sz w:val="18"/>
                <w:szCs w:val="18"/>
                <w:highlight w:val="yellow"/>
              </w:rPr>
            </w:pPr>
            <w:r w:rsidRPr="002C6099">
              <w:rPr>
                <w:rFonts w:asciiTheme="minorHAnsi" w:hAnsiTheme="minorHAnsi" w:cstheme="minorHAnsi"/>
                <w:sz w:val="18"/>
                <w:szCs w:val="18"/>
              </w:rPr>
              <w:t>Déploiement de mini-réseaux hybrides combinant solaire photovoltaïque, groupes diesel et stockage dans les localités rurales, afin d’améliorer l’accès à l’électricité, réduire la dépendance au diesel et renforcer la qualité du service électrique.</w:t>
            </w:r>
          </w:p>
        </w:tc>
        <w:tc>
          <w:tcPr>
            <w:tcW w:w="574" w:type="pct"/>
            <w:vAlign w:val="center"/>
          </w:tcPr>
          <w:p w14:paraId="19228E99" w14:textId="2CFBA348"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8,68 MWc </w:t>
            </w:r>
            <w:r w:rsidR="00A4225A" w:rsidRPr="002C6099">
              <w:rPr>
                <w:rFonts w:asciiTheme="minorHAnsi" w:hAnsiTheme="minorHAnsi" w:cstheme="minorHAnsi"/>
                <w:color w:val="000000"/>
                <w:sz w:val="18"/>
                <w:szCs w:val="18"/>
              </w:rPr>
              <w:t>pour</w:t>
            </w:r>
            <w:r w:rsidRPr="002C6099">
              <w:rPr>
                <w:rFonts w:asciiTheme="minorHAnsi" w:hAnsiTheme="minorHAnsi" w:cstheme="minorHAnsi"/>
                <w:color w:val="000000"/>
                <w:sz w:val="18"/>
                <w:szCs w:val="18"/>
              </w:rPr>
              <w:t xml:space="preserve"> 92 localités</w:t>
            </w:r>
          </w:p>
        </w:tc>
        <w:tc>
          <w:tcPr>
            <w:tcW w:w="490" w:type="pct"/>
            <w:vAlign w:val="center"/>
          </w:tcPr>
          <w:p w14:paraId="5DC53A94" w14:textId="15D5974D" w:rsidR="00C61082" w:rsidRPr="002C6099" w:rsidRDefault="007F1D9E"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37 000 </w:t>
            </w:r>
          </w:p>
        </w:tc>
        <w:tc>
          <w:tcPr>
            <w:tcW w:w="490" w:type="pct"/>
            <w:vAlign w:val="center"/>
          </w:tcPr>
          <w:p w14:paraId="75636933" w14:textId="0EF0C766" w:rsidR="007F1D9E" w:rsidRPr="002C6099" w:rsidRDefault="007F1D9E"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37</w:t>
            </w:r>
            <w:r w:rsidR="009E1D1E" w:rsidRPr="002C6099">
              <w:rPr>
                <w:rFonts w:asciiTheme="minorHAnsi" w:hAnsiTheme="minorHAnsi" w:cstheme="minorHAnsi"/>
                <w:color w:val="000000"/>
                <w:sz w:val="18"/>
                <w:szCs w:val="18"/>
              </w:rPr>
              <w:t xml:space="preserve"> 000</w:t>
            </w:r>
          </w:p>
        </w:tc>
        <w:tc>
          <w:tcPr>
            <w:tcW w:w="588" w:type="pct"/>
            <w:vAlign w:val="center"/>
          </w:tcPr>
          <w:p w14:paraId="7265260A" w14:textId="675A0B05" w:rsidR="00C61082" w:rsidRPr="002C6099" w:rsidRDefault="00CE25F8"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25 000 000 000 </w:t>
            </w:r>
          </w:p>
        </w:tc>
      </w:tr>
      <w:tr w:rsidR="00C61082" w:rsidRPr="002C6099" w14:paraId="32EBFA17" w14:textId="77777777" w:rsidTr="00053119">
        <w:tc>
          <w:tcPr>
            <w:tcW w:w="160" w:type="pct"/>
            <w:vAlign w:val="center"/>
          </w:tcPr>
          <w:p w14:paraId="6E6AC06C" w14:textId="65A4CB4C" w:rsidR="00C61082" w:rsidRPr="002C6099" w:rsidRDefault="004B3FF2" w:rsidP="002C6099">
            <w:pPr>
              <w:jc w:val="both"/>
              <w:rPr>
                <w:rFonts w:asciiTheme="minorHAnsi" w:hAnsiTheme="minorHAnsi" w:cstheme="minorHAnsi"/>
                <w:b/>
                <w:sz w:val="18"/>
                <w:szCs w:val="18"/>
              </w:rPr>
            </w:pPr>
            <w:r w:rsidRPr="002C6099">
              <w:rPr>
                <w:rFonts w:asciiTheme="minorHAnsi" w:hAnsiTheme="minorHAnsi" w:cstheme="minorHAnsi"/>
                <w:b/>
                <w:sz w:val="18"/>
                <w:szCs w:val="18"/>
              </w:rPr>
              <w:t>6</w:t>
            </w:r>
          </w:p>
        </w:tc>
        <w:tc>
          <w:tcPr>
            <w:tcW w:w="494" w:type="pct"/>
            <w:vAlign w:val="center"/>
          </w:tcPr>
          <w:p w14:paraId="1064D54A"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AMADER / MEE / MEF</w:t>
            </w:r>
          </w:p>
        </w:tc>
        <w:tc>
          <w:tcPr>
            <w:tcW w:w="707" w:type="pct"/>
            <w:vAlign w:val="center"/>
          </w:tcPr>
          <w:p w14:paraId="07573AA6"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Électrification rurale par mini-réseaux solaires PV</w:t>
            </w:r>
          </w:p>
        </w:tc>
        <w:tc>
          <w:tcPr>
            <w:tcW w:w="1497" w:type="pct"/>
            <w:vAlign w:val="center"/>
          </w:tcPr>
          <w:p w14:paraId="38719FB6" w14:textId="16E467C1" w:rsidR="00C61082" w:rsidRPr="002C6099" w:rsidRDefault="002F5E0A" w:rsidP="002C6099">
            <w:pPr>
              <w:jc w:val="both"/>
              <w:rPr>
                <w:rFonts w:asciiTheme="minorHAnsi" w:hAnsiTheme="minorHAnsi" w:cstheme="minorHAnsi"/>
                <w:sz w:val="18"/>
                <w:szCs w:val="18"/>
                <w:highlight w:val="yellow"/>
              </w:rPr>
            </w:pPr>
            <w:r w:rsidRPr="002C6099">
              <w:rPr>
                <w:rFonts w:asciiTheme="minorHAnsi" w:hAnsiTheme="minorHAnsi" w:cstheme="minorHAnsi"/>
                <w:sz w:val="18"/>
                <w:szCs w:val="18"/>
              </w:rPr>
              <w:t xml:space="preserve">Développement de mini-réseaux solaires photovoltaïques pour l’électrification des localités rurales et des pôles de développement </w:t>
            </w:r>
            <w:r w:rsidRPr="002C6099">
              <w:rPr>
                <w:rFonts w:asciiTheme="minorHAnsi" w:hAnsiTheme="minorHAnsi" w:cstheme="minorHAnsi"/>
                <w:sz w:val="18"/>
                <w:szCs w:val="18"/>
              </w:rPr>
              <w:lastRenderedPageBreak/>
              <w:t>économiques, en substitution aux solutions thermiques isolées.</w:t>
            </w:r>
          </w:p>
        </w:tc>
        <w:tc>
          <w:tcPr>
            <w:tcW w:w="574" w:type="pct"/>
            <w:vAlign w:val="center"/>
          </w:tcPr>
          <w:p w14:paraId="7A08E5CD" w14:textId="150C310B" w:rsidR="00C61082" w:rsidRPr="002C6099" w:rsidRDefault="000C2C94"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lastRenderedPageBreak/>
              <w:t xml:space="preserve">&gt; </w:t>
            </w:r>
            <w:r w:rsidR="00C61082" w:rsidRPr="002C6099">
              <w:rPr>
                <w:rFonts w:asciiTheme="minorHAnsi" w:hAnsiTheme="minorHAnsi" w:cstheme="minorHAnsi"/>
                <w:color w:val="000000"/>
                <w:sz w:val="18"/>
                <w:szCs w:val="18"/>
              </w:rPr>
              <w:t xml:space="preserve">39 MWc </w:t>
            </w:r>
            <w:r w:rsidR="00A4225A" w:rsidRPr="002C6099">
              <w:rPr>
                <w:rFonts w:asciiTheme="minorHAnsi" w:hAnsiTheme="minorHAnsi" w:cstheme="minorHAnsi"/>
                <w:color w:val="000000"/>
                <w:sz w:val="18"/>
                <w:szCs w:val="18"/>
              </w:rPr>
              <w:t xml:space="preserve">pour </w:t>
            </w:r>
            <w:r w:rsidR="00C61082" w:rsidRPr="002C6099">
              <w:rPr>
                <w:rFonts w:asciiTheme="minorHAnsi" w:hAnsiTheme="minorHAnsi" w:cstheme="minorHAnsi"/>
                <w:color w:val="000000"/>
                <w:sz w:val="18"/>
                <w:szCs w:val="18"/>
              </w:rPr>
              <w:t>160 localités</w:t>
            </w:r>
          </w:p>
        </w:tc>
        <w:tc>
          <w:tcPr>
            <w:tcW w:w="490" w:type="pct"/>
            <w:vAlign w:val="center"/>
          </w:tcPr>
          <w:p w14:paraId="4264DDC3" w14:textId="34194AF7"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&gt; </w:t>
            </w:r>
            <w:r w:rsidR="00BD32D0" w:rsidRPr="002C6099">
              <w:rPr>
                <w:rFonts w:asciiTheme="minorHAnsi" w:hAnsiTheme="minorHAnsi" w:cstheme="minorHAnsi"/>
                <w:color w:val="000000"/>
                <w:sz w:val="18"/>
                <w:szCs w:val="18"/>
              </w:rPr>
              <w:t>73</w:t>
            </w:r>
            <w:r w:rsidRPr="002C6099">
              <w:rPr>
                <w:rFonts w:asciiTheme="minorHAnsi" w:hAnsiTheme="minorHAnsi" w:cstheme="minorHAnsi"/>
                <w:color w:val="000000"/>
                <w:sz w:val="18"/>
                <w:szCs w:val="18"/>
              </w:rPr>
              <w:t xml:space="preserve"> 000 </w:t>
            </w:r>
          </w:p>
        </w:tc>
        <w:tc>
          <w:tcPr>
            <w:tcW w:w="490" w:type="pct"/>
            <w:vAlign w:val="center"/>
          </w:tcPr>
          <w:p w14:paraId="570FDED5" w14:textId="40D7D3E0" w:rsidR="0017443C" w:rsidRPr="002C6099" w:rsidRDefault="0017443C"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231 560</w:t>
            </w:r>
          </w:p>
        </w:tc>
        <w:tc>
          <w:tcPr>
            <w:tcW w:w="588" w:type="pct"/>
            <w:vAlign w:val="center"/>
          </w:tcPr>
          <w:p w14:paraId="329C5815" w14:textId="113FA87B" w:rsidR="00C61082" w:rsidRPr="00D24FE0" w:rsidRDefault="007E6C5F"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354</w:t>
            </w:r>
            <w:r w:rsidR="00C61082" w:rsidRPr="002C6099">
              <w:rPr>
                <w:rFonts w:asciiTheme="minorHAnsi" w:hAnsiTheme="minorHAnsi" w:cstheme="minorHAnsi"/>
                <w:color w:val="000000"/>
                <w:sz w:val="18"/>
                <w:szCs w:val="18"/>
              </w:rPr>
              <w:t xml:space="preserve"> 000 000 000</w:t>
            </w:r>
          </w:p>
        </w:tc>
      </w:tr>
      <w:tr w:rsidR="00C61082" w:rsidRPr="002C6099" w14:paraId="60F07BB5" w14:textId="77777777" w:rsidTr="00053119">
        <w:tc>
          <w:tcPr>
            <w:tcW w:w="160" w:type="pct"/>
            <w:vAlign w:val="center"/>
          </w:tcPr>
          <w:p w14:paraId="21E623BE" w14:textId="592AA0E5" w:rsidR="00C61082" w:rsidRPr="002C6099" w:rsidRDefault="004B3FF2" w:rsidP="002C6099">
            <w:pPr>
              <w:jc w:val="both"/>
              <w:rPr>
                <w:rFonts w:asciiTheme="minorHAnsi" w:hAnsiTheme="minorHAnsi" w:cstheme="minorHAnsi"/>
                <w:b/>
                <w:sz w:val="18"/>
                <w:szCs w:val="18"/>
              </w:rPr>
            </w:pPr>
            <w:r w:rsidRPr="002C6099">
              <w:rPr>
                <w:rFonts w:asciiTheme="minorHAnsi" w:hAnsiTheme="minorHAnsi" w:cstheme="minorHAnsi"/>
                <w:b/>
                <w:sz w:val="18"/>
                <w:szCs w:val="18"/>
              </w:rPr>
              <w:t>7</w:t>
            </w:r>
          </w:p>
        </w:tc>
        <w:tc>
          <w:tcPr>
            <w:tcW w:w="494" w:type="pct"/>
            <w:vAlign w:val="center"/>
          </w:tcPr>
          <w:p w14:paraId="14F5EC45"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AMADER / MEE / MEF</w:t>
            </w:r>
          </w:p>
        </w:tc>
        <w:tc>
          <w:tcPr>
            <w:tcW w:w="707" w:type="pct"/>
            <w:vAlign w:val="center"/>
          </w:tcPr>
          <w:p w14:paraId="3975C80B" w14:textId="09A410F7" w:rsidR="00C61082" w:rsidRPr="002C6099" w:rsidRDefault="00A97CDE" w:rsidP="002C6099">
            <w:pPr>
              <w:jc w:val="both"/>
              <w:rPr>
                <w:rFonts w:asciiTheme="minorHAnsi" w:hAnsiTheme="minorHAnsi" w:cstheme="minorHAnsi"/>
                <w:sz w:val="18"/>
                <w:szCs w:val="18"/>
              </w:rPr>
            </w:pPr>
            <w:r w:rsidRPr="00A97CDE">
              <w:rPr>
                <w:rFonts w:asciiTheme="minorHAnsi" w:hAnsiTheme="minorHAnsi" w:cstheme="minorHAnsi"/>
                <w:sz w:val="18"/>
                <w:szCs w:val="18"/>
              </w:rPr>
              <w:t>Électrification rurale décentralisée par solutions solaires autonomes</w:t>
            </w:r>
          </w:p>
        </w:tc>
        <w:tc>
          <w:tcPr>
            <w:tcW w:w="1497" w:type="pct"/>
            <w:vAlign w:val="center"/>
          </w:tcPr>
          <w:p w14:paraId="76881194" w14:textId="27EFE10A" w:rsidR="00C61082" w:rsidRPr="002C6099" w:rsidRDefault="00896002" w:rsidP="002C6099">
            <w:pPr>
              <w:jc w:val="both"/>
              <w:rPr>
                <w:rFonts w:asciiTheme="minorHAnsi" w:hAnsiTheme="minorHAnsi" w:cstheme="minorHAnsi"/>
                <w:sz w:val="18"/>
                <w:szCs w:val="18"/>
              </w:rPr>
            </w:pPr>
            <w:r w:rsidRPr="00896002">
              <w:rPr>
                <w:rFonts w:asciiTheme="minorHAnsi" w:hAnsiTheme="minorHAnsi" w:cstheme="minorHAnsi"/>
                <w:sz w:val="18"/>
                <w:szCs w:val="18"/>
              </w:rPr>
              <w:t>Cette mesure regroupe l'ensemble des projets d'électrification rurale décentralisée portés par l'AMADER, basés sur des solutions solaires individuelles ou autonomes (kits solaires domestiques, systèmes solaires autonomes pour ménages et usages productifs). Elle intègre un axe</w:t>
            </w:r>
            <w:r w:rsidR="00A97CDE">
              <w:rPr>
                <w:rFonts w:asciiTheme="minorHAnsi" w:hAnsiTheme="minorHAnsi" w:cstheme="minorHAnsi"/>
                <w:sz w:val="18"/>
                <w:szCs w:val="18"/>
              </w:rPr>
              <w:t xml:space="preserve"> </w:t>
            </w:r>
            <w:r w:rsidRPr="00896002">
              <w:rPr>
                <w:rFonts w:asciiTheme="minorHAnsi" w:hAnsiTheme="minorHAnsi" w:cstheme="minorHAnsi"/>
                <w:sz w:val="18"/>
                <w:szCs w:val="18"/>
              </w:rPr>
              <w:t>de cuisson propre à travers la diffusion d'équipements associés, ainsi qu'un ciblage prioritaire des femmes rurales pour favoriser leur épanouissement socio-économique.</w:t>
            </w:r>
          </w:p>
        </w:tc>
        <w:tc>
          <w:tcPr>
            <w:tcW w:w="574" w:type="pct"/>
            <w:vAlign w:val="center"/>
          </w:tcPr>
          <w:p w14:paraId="5D1754D3" w14:textId="22F832AB" w:rsidR="00C61082" w:rsidRPr="002C6099" w:rsidRDefault="002132F4" w:rsidP="002132F4">
            <w:pPr>
              <w:jc w:val="both"/>
              <w:rPr>
                <w:rFonts w:asciiTheme="minorHAnsi" w:hAnsiTheme="minorHAnsi" w:cstheme="minorHAnsi"/>
                <w:sz w:val="18"/>
                <w:szCs w:val="18"/>
              </w:rPr>
            </w:pPr>
            <w:r>
              <w:rPr>
                <w:rFonts w:asciiTheme="minorHAnsi" w:hAnsiTheme="minorHAnsi" w:cstheme="minorHAnsi"/>
                <w:color w:val="000000"/>
                <w:sz w:val="18"/>
                <w:szCs w:val="18"/>
              </w:rPr>
              <w:t xml:space="preserve">&gt; </w:t>
            </w:r>
            <w:r w:rsidRPr="002132F4">
              <w:rPr>
                <w:rFonts w:asciiTheme="minorHAnsi" w:hAnsiTheme="minorHAnsi" w:cstheme="minorHAnsi"/>
                <w:color w:val="000000"/>
                <w:sz w:val="18"/>
                <w:szCs w:val="18"/>
              </w:rPr>
              <w:t xml:space="preserve">161 600 équipements solaires individuels diffusés </w:t>
            </w:r>
            <w:r>
              <w:rPr>
                <w:rFonts w:asciiTheme="minorHAnsi" w:hAnsiTheme="minorHAnsi" w:cstheme="minorHAnsi"/>
                <w:color w:val="000000"/>
                <w:sz w:val="18"/>
                <w:szCs w:val="18"/>
              </w:rPr>
              <w:t xml:space="preserve">et </w:t>
            </w:r>
            <w:r w:rsidRPr="002132F4">
              <w:rPr>
                <w:rFonts w:asciiTheme="minorHAnsi" w:hAnsiTheme="minorHAnsi" w:cstheme="minorHAnsi"/>
                <w:color w:val="000000"/>
                <w:sz w:val="18"/>
                <w:szCs w:val="18"/>
              </w:rPr>
              <w:t>37,4 MWc</w:t>
            </w:r>
            <w:r>
              <w:rPr>
                <w:rFonts w:asciiTheme="minorHAnsi" w:hAnsiTheme="minorHAnsi" w:cstheme="minorHAnsi"/>
                <w:color w:val="000000"/>
                <w:sz w:val="18"/>
                <w:szCs w:val="18"/>
              </w:rPr>
              <w:t xml:space="preserve"> </w:t>
            </w:r>
            <w:r w:rsidRPr="002132F4">
              <w:rPr>
                <w:rFonts w:asciiTheme="minorHAnsi" w:hAnsiTheme="minorHAnsi" w:cstheme="minorHAnsi"/>
                <w:color w:val="000000"/>
                <w:sz w:val="18"/>
                <w:szCs w:val="18"/>
              </w:rPr>
              <w:t>de puissance solaire installée</w:t>
            </w:r>
          </w:p>
        </w:tc>
        <w:tc>
          <w:tcPr>
            <w:tcW w:w="490" w:type="pct"/>
            <w:vAlign w:val="center"/>
          </w:tcPr>
          <w:p w14:paraId="631DF872" w14:textId="5ABE04B7" w:rsidR="00C61082" w:rsidRPr="002C6099" w:rsidRDefault="00C91687" w:rsidP="002C6099">
            <w:pPr>
              <w:jc w:val="center"/>
              <w:rPr>
                <w:rFonts w:asciiTheme="minorHAnsi" w:hAnsiTheme="minorHAnsi" w:cstheme="minorHAnsi"/>
                <w:sz w:val="18"/>
                <w:szCs w:val="18"/>
              </w:rPr>
            </w:pPr>
            <w:r>
              <w:rPr>
                <w:rFonts w:asciiTheme="minorHAnsi" w:hAnsiTheme="minorHAnsi" w:cstheme="minorHAnsi"/>
                <w:sz w:val="18"/>
                <w:szCs w:val="18"/>
              </w:rPr>
              <w:t xml:space="preserve">&gt; </w:t>
            </w:r>
            <w:r w:rsidR="00014E6D" w:rsidRPr="00014E6D">
              <w:rPr>
                <w:rFonts w:asciiTheme="minorHAnsi" w:hAnsiTheme="minorHAnsi" w:cstheme="minorHAnsi"/>
                <w:sz w:val="18"/>
                <w:szCs w:val="18"/>
              </w:rPr>
              <w:t>143,232</w:t>
            </w:r>
          </w:p>
        </w:tc>
        <w:tc>
          <w:tcPr>
            <w:tcW w:w="490" w:type="pct"/>
            <w:vAlign w:val="center"/>
          </w:tcPr>
          <w:p w14:paraId="1510886B" w14:textId="4C755397" w:rsidR="00B64D83" w:rsidRPr="002C6099" w:rsidRDefault="00441A7A" w:rsidP="002C6099">
            <w:pPr>
              <w:jc w:val="center"/>
              <w:rPr>
                <w:rFonts w:asciiTheme="minorHAnsi" w:hAnsiTheme="minorHAnsi" w:cstheme="minorHAnsi"/>
                <w:color w:val="000000"/>
                <w:sz w:val="18"/>
                <w:szCs w:val="18"/>
              </w:rPr>
            </w:pPr>
            <w:r w:rsidRPr="00441A7A">
              <w:rPr>
                <w:rFonts w:asciiTheme="minorHAnsi" w:hAnsiTheme="minorHAnsi" w:cstheme="minorHAnsi"/>
                <w:color w:val="000000"/>
                <w:sz w:val="18"/>
                <w:szCs w:val="18"/>
              </w:rPr>
              <w:t>270</w:t>
            </w:r>
            <w:r>
              <w:rPr>
                <w:rFonts w:asciiTheme="minorHAnsi" w:hAnsiTheme="minorHAnsi" w:cstheme="minorHAnsi"/>
                <w:color w:val="000000"/>
                <w:sz w:val="18"/>
                <w:szCs w:val="18"/>
              </w:rPr>
              <w:t xml:space="preserve"> </w:t>
            </w:r>
            <w:r w:rsidRPr="00441A7A">
              <w:rPr>
                <w:rFonts w:asciiTheme="minorHAnsi" w:hAnsiTheme="minorHAnsi" w:cstheme="minorHAnsi"/>
                <w:color w:val="000000"/>
                <w:sz w:val="18"/>
                <w:szCs w:val="18"/>
              </w:rPr>
              <w:t>538</w:t>
            </w:r>
          </w:p>
        </w:tc>
        <w:tc>
          <w:tcPr>
            <w:tcW w:w="588" w:type="pct"/>
            <w:vAlign w:val="center"/>
          </w:tcPr>
          <w:p w14:paraId="0FD1066F" w14:textId="1136B79F" w:rsidR="00C61082" w:rsidRPr="002C6099" w:rsidRDefault="00D87910" w:rsidP="002C6099">
            <w:pPr>
              <w:jc w:val="center"/>
              <w:rPr>
                <w:rFonts w:asciiTheme="minorHAnsi" w:hAnsiTheme="minorHAnsi" w:cstheme="minorHAnsi"/>
                <w:color w:val="000000"/>
                <w:sz w:val="18"/>
                <w:szCs w:val="18"/>
              </w:rPr>
            </w:pPr>
            <w:r w:rsidRPr="00D87910">
              <w:rPr>
                <w:rFonts w:asciiTheme="minorHAnsi" w:hAnsiTheme="minorHAnsi" w:cstheme="minorHAnsi"/>
                <w:color w:val="000000"/>
                <w:sz w:val="18"/>
                <w:szCs w:val="18"/>
              </w:rPr>
              <w:t>49</w:t>
            </w:r>
            <w:r>
              <w:rPr>
                <w:rFonts w:asciiTheme="minorHAnsi" w:hAnsiTheme="minorHAnsi" w:cstheme="minorHAnsi"/>
                <w:color w:val="000000"/>
                <w:sz w:val="18"/>
                <w:szCs w:val="18"/>
              </w:rPr>
              <w:t xml:space="preserve"> </w:t>
            </w:r>
            <w:r w:rsidRPr="00D87910">
              <w:rPr>
                <w:rFonts w:asciiTheme="minorHAnsi" w:hAnsiTheme="minorHAnsi" w:cstheme="minorHAnsi"/>
                <w:color w:val="000000"/>
                <w:sz w:val="18"/>
                <w:szCs w:val="18"/>
              </w:rPr>
              <w:t>019</w:t>
            </w:r>
            <w:r>
              <w:rPr>
                <w:rFonts w:asciiTheme="minorHAnsi" w:hAnsiTheme="minorHAnsi" w:cstheme="minorHAnsi"/>
                <w:color w:val="000000"/>
                <w:sz w:val="18"/>
                <w:szCs w:val="18"/>
              </w:rPr>
              <w:t xml:space="preserve"> </w:t>
            </w:r>
            <w:r w:rsidRPr="00D87910">
              <w:rPr>
                <w:rFonts w:asciiTheme="minorHAnsi" w:hAnsiTheme="minorHAnsi" w:cstheme="minorHAnsi"/>
                <w:color w:val="000000"/>
                <w:sz w:val="18"/>
                <w:szCs w:val="18"/>
              </w:rPr>
              <w:t>000</w:t>
            </w:r>
            <w:r>
              <w:rPr>
                <w:rFonts w:asciiTheme="minorHAnsi" w:hAnsiTheme="minorHAnsi" w:cstheme="minorHAnsi"/>
                <w:color w:val="000000"/>
                <w:sz w:val="18"/>
                <w:szCs w:val="18"/>
              </w:rPr>
              <w:t xml:space="preserve"> </w:t>
            </w:r>
            <w:r w:rsidRPr="00D87910">
              <w:rPr>
                <w:rFonts w:asciiTheme="minorHAnsi" w:hAnsiTheme="minorHAnsi" w:cstheme="minorHAnsi"/>
                <w:color w:val="000000"/>
                <w:sz w:val="18"/>
                <w:szCs w:val="18"/>
              </w:rPr>
              <w:t>000</w:t>
            </w:r>
          </w:p>
        </w:tc>
      </w:tr>
      <w:tr w:rsidR="00C61082" w:rsidRPr="002C6099" w14:paraId="5B0D9FA4" w14:textId="77777777" w:rsidTr="00053119">
        <w:tc>
          <w:tcPr>
            <w:tcW w:w="160" w:type="pct"/>
            <w:vAlign w:val="center"/>
          </w:tcPr>
          <w:p w14:paraId="0F423883" w14:textId="27AE48FF" w:rsidR="00C61082" w:rsidRPr="002C6099" w:rsidRDefault="00A4225A" w:rsidP="002C6099">
            <w:pPr>
              <w:jc w:val="both"/>
              <w:rPr>
                <w:rFonts w:asciiTheme="minorHAnsi" w:hAnsiTheme="minorHAnsi" w:cstheme="minorHAnsi"/>
                <w:b/>
                <w:sz w:val="18"/>
                <w:szCs w:val="18"/>
              </w:rPr>
            </w:pPr>
            <w:r w:rsidRPr="002C6099">
              <w:rPr>
                <w:rFonts w:asciiTheme="minorHAnsi" w:hAnsiTheme="minorHAnsi" w:cstheme="minorHAnsi"/>
                <w:b/>
                <w:color w:val="000000"/>
                <w:sz w:val="18"/>
                <w:szCs w:val="18"/>
              </w:rPr>
              <w:t>13</w:t>
            </w:r>
          </w:p>
        </w:tc>
        <w:tc>
          <w:tcPr>
            <w:tcW w:w="494" w:type="pct"/>
            <w:vAlign w:val="center"/>
          </w:tcPr>
          <w:p w14:paraId="7A7EBD8C"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Direction Nationale du Transport (DNT)</w:t>
            </w:r>
          </w:p>
        </w:tc>
        <w:tc>
          <w:tcPr>
            <w:tcW w:w="707" w:type="pct"/>
            <w:vAlign w:val="center"/>
          </w:tcPr>
          <w:p w14:paraId="6B3A9A65"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Construction des Ports secs de Kayes et de Sikasso</w:t>
            </w:r>
          </w:p>
        </w:tc>
        <w:tc>
          <w:tcPr>
            <w:tcW w:w="1497" w:type="pct"/>
            <w:vAlign w:val="center"/>
          </w:tcPr>
          <w:p w14:paraId="4241FC51" w14:textId="5141AC40" w:rsidR="00C61082" w:rsidRPr="002C6099" w:rsidRDefault="00C05FDC" w:rsidP="002C6099">
            <w:pPr>
              <w:jc w:val="both"/>
              <w:rPr>
                <w:rFonts w:asciiTheme="minorHAnsi" w:hAnsiTheme="minorHAnsi" w:cstheme="minorHAnsi"/>
                <w:sz w:val="18"/>
                <w:szCs w:val="18"/>
              </w:rPr>
            </w:pPr>
            <w:r w:rsidRPr="002C6099">
              <w:rPr>
                <w:rFonts w:asciiTheme="minorHAnsi" w:hAnsiTheme="minorHAnsi" w:cstheme="minorHAnsi"/>
                <w:sz w:val="18"/>
                <w:szCs w:val="18"/>
              </w:rPr>
              <w:t>Développement de ports secs et de plateformes logistiques intérieures visant à améliorer la gestion des flux de marchandises, renforcer les capacités de stockage et optimiser les chaînes de transport et d’approvisionnement du territoire national.</w:t>
            </w:r>
          </w:p>
        </w:tc>
        <w:tc>
          <w:tcPr>
            <w:tcW w:w="574" w:type="pct"/>
            <w:vAlign w:val="center"/>
          </w:tcPr>
          <w:p w14:paraId="7879915B" w14:textId="0724616F" w:rsidR="00C61082" w:rsidRPr="004450D5" w:rsidRDefault="00C61082" w:rsidP="002C6099">
            <w:pPr>
              <w:jc w:val="center"/>
              <w:rPr>
                <w:rFonts w:asciiTheme="minorHAnsi" w:hAnsiTheme="minorHAnsi" w:cstheme="minorHAnsi"/>
                <w:sz w:val="18"/>
                <w:szCs w:val="18"/>
              </w:rPr>
            </w:pPr>
            <w:r w:rsidRPr="004450D5">
              <w:rPr>
                <w:rFonts w:asciiTheme="minorHAnsi" w:hAnsiTheme="minorHAnsi" w:cstheme="minorHAnsi"/>
                <w:color w:val="000000"/>
                <w:sz w:val="18"/>
                <w:szCs w:val="18"/>
              </w:rPr>
              <w:t xml:space="preserve">2 ports secs (Kayes 399 000 m² </w:t>
            </w:r>
            <w:r w:rsidR="002132F4" w:rsidRPr="004450D5">
              <w:rPr>
                <w:rFonts w:asciiTheme="minorHAnsi" w:hAnsiTheme="minorHAnsi" w:cstheme="minorHAnsi"/>
                <w:color w:val="000000"/>
                <w:sz w:val="18"/>
                <w:szCs w:val="18"/>
              </w:rPr>
              <w:t>et</w:t>
            </w:r>
            <w:r w:rsidRPr="004450D5">
              <w:rPr>
                <w:rFonts w:asciiTheme="minorHAnsi" w:hAnsiTheme="minorHAnsi" w:cstheme="minorHAnsi"/>
                <w:color w:val="000000"/>
                <w:sz w:val="18"/>
                <w:szCs w:val="18"/>
              </w:rPr>
              <w:t xml:space="preserve"> Sikasso 496 640 m²)</w:t>
            </w:r>
          </w:p>
        </w:tc>
        <w:tc>
          <w:tcPr>
            <w:tcW w:w="490" w:type="pct"/>
            <w:vAlign w:val="center"/>
          </w:tcPr>
          <w:p w14:paraId="6ACA3968" w14:textId="77777777"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NR</w:t>
            </w:r>
          </w:p>
        </w:tc>
        <w:tc>
          <w:tcPr>
            <w:tcW w:w="490" w:type="pct"/>
            <w:vAlign w:val="center"/>
          </w:tcPr>
          <w:p w14:paraId="3058684E" w14:textId="5F974D95" w:rsidR="00796B6E" w:rsidRPr="002C6099" w:rsidRDefault="00796B6E"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82 000</w:t>
            </w:r>
          </w:p>
        </w:tc>
        <w:tc>
          <w:tcPr>
            <w:tcW w:w="588" w:type="pct"/>
            <w:vAlign w:val="center"/>
          </w:tcPr>
          <w:p w14:paraId="6B09339B" w14:textId="0451DEA1"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30 000 000 000 </w:t>
            </w:r>
          </w:p>
        </w:tc>
      </w:tr>
      <w:tr w:rsidR="00C61082" w:rsidRPr="002C6099" w14:paraId="378CF01E" w14:textId="77777777" w:rsidTr="00053119">
        <w:tc>
          <w:tcPr>
            <w:tcW w:w="160" w:type="pct"/>
            <w:vAlign w:val="center"/>
          </w:tcPr>
          <w:p w14:paraId="34B24ACB" w14:textId="3EAD0A83" w:rsidR="00C61082" w:rsidRPr="002C6099" w:rsidRDefault="00A4225A" w:rsidP="002C6099">
            <w:pPr>
              <w:jc w:val="both"/>
              <w:rPr>
                <w:rFonts w:asciiTheme="minorHAnsi" w:hAnsiTheme="minorHAnsi" w:cstheme="minorHAnsi"/>
                <w:b/>
                <w:sz w:val="18"/>
                <w:szCs w:val="18"/>
              </w:rPr>
            </w:pPr>
            <w:r w:rsidRPr="002C6099">
              <w:rPr>
                <w:rFonts w:asciiTheme="minorHAnsi" w:hAnsiTheme="minorHAnsi" w:cstheme="minorHAnsi"/>
                <w:b/>
                <w:color w:val="000000"/>
                <w:sz w:val="18"/>
                <w:szCs w:val="18"/>
              </w:rPr>
              <w:t>14</w:t>
            </w:r>
          </w:p>
        </w:tc>
        <w:tc>
          <w:tcPr>
            <w:tcW w:w="494" w:type="pct"/>
            <w:vAlign w:val="center"/>
          </w:tcPr>
          <w:p w14:paraId="36EC1D05"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Direction Nationale du Transport (DNT)</w:t>
            </w:r>
          </w:p>
        </w:tc>
        <w:tc>
          <w:tcPr>
            <w:tcW w:w="707" w:type="pct"/>
            <w:vAlign w:val="center"/>
          </w:tcPr>
          <w:p w14:paraId="1B222967" w14:textId="67538961"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 xml:space="preserve">Renouvellement du </w:t>
            </w:r>
            <w:r w:rsidR="00A902A2" w:rsidRPr="002C6099">
              <w:rPr>
                <w:rFonts w:asciiTheme="minorHAnsi" w:hAnsiTheme="minorHAnsi" w:cstheme="minorHAnsi"/>
                <w:color w:val="000000"/>
                <w:sz w:val="18"/>
                <w:szCs w:val="18"/>
              </w:rPr>
              <w:t>p</w:t>
            </w:r>
            <w:r w:rsidRPr="002C6099">
              <w:rPr>
                <w:rFonts w:asciiTheme="minorHAnsi" w:hAnsiTheme="minorHAnsi" w:cstheme="minorHAnsi"/>
                <w:color w:val="000000"/>
                <w:sz w:val="18"/>
                <w:szCs w:val="18"/>
              </w:rPr>
              <w:t xml:space="preserve">arc </w:t>
            </w:r>
            <w:r w:rsidR="00A902A2" w:rsidRPr="002C6099">
              <w:rPr>
                <w:rFonts w:asciiTheme="minorHAnsi" w:hAnsiTheme="minorHAnsi" w:cstheme="minorHAnsi"/>
                <w:color w:val="000000"/>
                <w:sz w:val="18"/>
                <w:szCs w:val="18"/>
              </w:rPr>
              <w:t>a</w:t>
            </w:r>
            <w:r w:rsidRPr="002C6099">
              <w:rPr>
                <w:rFonts w:asciiTheme="minorHAnsi" w:hAnsiTheme="minorHAnsi" w:cstheme="minorHAnsi"/>
                <w:color w:val="000000"/>
                <w:sz w:val="18"/>
                <w:szCs w:val="18"/>
              </w:rPr>
              <w:t xml:space="preserve">utomobile des </w:t>
            </w:r>
            <w:r w:rsidR="00A902A2" w:rsidRPr="002C6099">
              <w:rPr>
                <w:rFonts w:asciiTheme="minorHAnsi" w:hAnsiTheme="minorHAnsi" w:cstheme="minorHAnsi"/>
                <w:color w:val="000000"/>
                <w:sz w:val="18"/>
                <w:szCs w:val="18"/>
              </w:rPr>
              <w:t>t</w:t>
            </w:r>
            <w:r w:rsidRPr="002C6099">
              <w:rPr>
                <w:rFonts w:asciiTheme="minorHAnsi" w:hAnsiTheme="minorHAnsi" w:cstheme="minorHAnsi"/>
                <w:color w:val="000000"/>
                <w:sz w:val="18"/>
                <w:szCs w:val="18"/>
              </w:rPr>
              <w:t xml:space="preserve">ransports </w:t>
            </w:r>
            <w:r w:rsidR="00A902A2" w:rsidRPr="002C6099">
              <w:rPr>
                <w:rFonts w:asciiTheme="minorHAnsi" w:hAnsiTheme="minorHAnsi" w:cstheme="minorHAnsi"/>
                <w:color w:val="000000"/>
                <w:sz w:val="18"/>
                <w:szCs w:val="18"/>
              </w:rPr>
              <w:t>commerciaux</w:t>
            </w:r>
          </w:p>
        </w:tc>
        <w:tc>
          <w:tcPr>
            <w:tcW w:w="1497" w:type="pct"/>
            <w:vAlign w:val="center"/>
          </w:tcPr>
          <w:p w14:paraId="089B0D11" w14:textId="5A375301" w:rsidR="00C61082" w:rsidRPr="002C6099" w:rsidRDefault="001B50B5"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Modernisation progressive du parc de transport commercial à travers le renouvellement des véhicules de transport routier, afin d’améliorer l’efficacité du secteur, la sécurité et la performance du transport de marchandises et de passagers.</w:t>
            </w:r>
          </w:p>
        </w:tc>
        <w:tc>
          <w:tcPr>
            <w:tcW w:w="574" w:type="pct"/>
            <w:vAlign w:val="center"/>
          </w:tcPr>
          <w:p w14:paraId="3F5104F1" w14:textId="0B5F40ED" w:rsidR="00C61082" w:rsidRPr="002C6099" w:rsidRDefault="00C61082" w:rsidP="002C6099">
            <w:pPr>
              <w:jc w:val="center"/>
              <w:rPr>
                <w:rFonts w:asciiTheme="minorHAnsi" w:hAnsiTheme="minorHAnsi" w:cstheme="minorHAnsi"/>
                <w:sz w:val="18"/>
                <w:szCs w:val="18"/>
              </w:rPr>
            </w:pPr>
          </w:p>
        </w:tc>
        <w:tc>
          <w:tcPr>
            <w:tcW w:w="490" w:type="pct"/>
            <w:vAlign w:val="center"/>
          </w:tcPr>
          <w:p w14:paraId="22375B22" w14:textId="77777777"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NR</w:t>
            </w:r>
          </w:p>
        </w:tc>
        <w:tc>
          <w:tcPr>
            <w:tcW w:w="490" w:type="pct"/>
            <w:vAlign w:val="center"/>
          </w:tcPr>
          <w:p w14:paraId="0F95E6F1" w14:textId="75985D37" w:rsidR="005E381B" w:rsidRPr="002C6099" w:rsidRDefault="00C85113" w:rsidP="00C85113">
            <w:pPr>
              <w:jc w:val="center"/>
              <w:rPr>
                <w:rFonts w:asciiTheme="minorHAnsi" w:hAnsiTheme="minorHAnsi" w:cstheme="minorHAnsi"/>
                <w:color w:val="000000"/>
                <w:sz w:val="18"/>
                <w:szCs w:val="18"/>
              </w:rPr>
            </w:pPr>
            <w:r>
              <w:rPr>
                <w:rFonts w:asciiTheme="minorHAnsi" w:hAnsiTheme="minorHAnsi" w:cstheme="minorHAnsi"/>
                <w:color w:val="000000"/>
                <w:sz w:val="18"/>
                <w:szCs w:val="18"/>
              </w:rPr>
              <w:t>350 000</w:t>
            </w:r>
          </w:p>
        </w:tc>
        <w:tc>
          <w:tcPr>
            <w:tcW w:w="588" w:type="pct"/>
            <w:vAlign w:val="center"/>
          </w:tcPr>
          <w:p w14:paraId="40AFE910" w14:textId="4461F01E"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112 500 000 000 </w:t>
            </w:r>
          </w:p>
        </w:tc>
      </w:tr>
      <w:tr w:rsidR="00C61082" w:rsidRPr="002C6099" w14:paraId="0527D086" w14:textId="77777777" w:rsidTr="00053119">
        <w:tc>
          <w:tcPr>
            <w:tcW w:w="160" w:type="pct"/>
            <w:vAlign w:val="center"/>
          </w:tcPr>
          <w:p w14:paraId="34E4788E" w14:textId="661F7C7D" w:rsidR="00C61082" w:rsidRPr="002C6099" w:rsidRDefault="00A4225A" w:rsidP="002C6099">
            <w:pPr>
              <w:jc w:val="both"/>
              <w:rPr>
                <w:rFonts w:asciiTheme="minorHAnsi" w:hAnsiTheme="minorHAnsi" w:cstheme="minorHAnsi"/>
                <w:b/>
                <w:sz w:val="18"/>
                <w:szCs w:val="18"/>
              </w:rPr>
            </w:pPr>
            <w:r w:rsidRPr="002C6099">
              <w:rPr>
                <w:rFonts w:asciiTheme="minorHAnsi" w:hAnsiTheme="minorHAnsi" w:cstheme="minorHAnsi"/>
                <w:b/>
                <w:color w:val="000000"/>
                <w:sz w:val="18"/>
                <w:szCs w:val="18"/>
              </w:rPr>
              <w:t>15</w:t>
            </w:r>
          </w:p>
        </w:tc>
        <w:tc>
          <w:tcPr>
            <w:tcW w:w="494" w:type="pct"/>
            <w:vAlign w:val="center"/>
          </w:tcPr>
          <w:p w14:paraId="3BF1A844"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Direction Nationale du Transport (DNT)</w:t>
            </w:r>
          </w:p>
        </w:tc>
        <w:tc>
          <w:tcPr>
            <w:tcW w:w="707" w:type="pct"/>
            <w:vAlign w:val="center"/>
          </w:tcPr>
          <w:p w14:paraId="40D119E3"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Tramway dans la ville de Bamako</w:t>
            </w:r>
          </w:p>
        </w:tc>
        <w:tc>
          <w:tcPr>
            <w:tcW w:w="1497" w:type="pct"/>
            <w:vAlign w:val="center"/>
          </w:tcPr>
          <w:p w14:paraId="30DAE37F" w14:textId="2C39DC7B" w:rsidR="00C61082" w:rsidRPr="002C6099" w:rsidRDefault="005E5831"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Développement d’un tramway dans le district de Bamako afin d’améliorer la mobilité urbaine, répondre à la forte demande de transport collectif, réduire la congestion routière et favoriser le report modal vers un mode de transport collectif moderne et structurant.</w:t>
            </w:r>
          </w:p>
        </w:tc>
        <w:tc>
          <w:tcPr>
            <w:tcW w:w="574" w:type="pct"/>
            <w:vAlign w:val="center"/>
          </w:tcPr>
          <w:p w14:paraId="5856444B" w14:textId="604A8429" w:rsidR="00C61082" w:rsidRPr="002C6099" w:rsidRDefault="00C61082" w:rsidP="002C6099">
            <w:pPr>
              <w:jc w:val="center"/>
              <w:rPr>
                <w:rFonts w:asciiTheme="minorHAnsi" w:hAnsiTheme="minorHAnsi" w:cstheme="minorHAnsi"/>
                <w:sz w:val="18"/>
                <w:szCs w:val="18"/>
              </w:rPr>
            </w:pPr>
          </w:p>
        </w:tc>
        <w:tc>
          <w:tcPr>
            <w:tcW w:w="490" w:type="pct"/>
            <w:vAlign w:val="center"/>
          </w:tcPr>
          <w:p w14:paraId="0086E431" w14:textId="77777777"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NR</w:t>
            </w:r>
          </w:p>
        </w:tc>
        <w:tc>
          <w:tcPr>
            <w:tcW w:w="490" w:type="pct"/>
            <w:vAlign w:val="center"/>
          </w:tcPr>
          <w:p w14:paraId="6ECC664B" w14:textId="73C7D865" w:rsidR="009B4CCE" w:rsidRPr="002C6099" w:rsidRDefault="009B4CCE"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27 800</w:t>
            </w:r>
          </w:p>
        </w:tc>
        <w:tc>
          <w:tcPr>
            <w:tcW w:w="588" w:type="pct"/>
            <w:vAlign w:val="center"/>
          </w:tcPr>
          <w:p w14:paraId="51ECD157" w14:textId="7C457674"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131 000 000 000 </w:t>
            </w:r>
          </w:p>
        </w:tc>
      </w:tr>
      <w:tr w:rsidR="00C61082" w:rsidRPr="002C6099" w14:paraId="0B93F9E5" w14:textId="77777777" w:rsidTr="00053119">
        <w:tc>
          <w:tcPr>
            <w:tcW w:w="160" w:type="pct"/>
            <w:vAlign w:val="center"/>
          </w:tcPr>
          <w:p w14:paraId="6377626B" w14:textId="17412A59" w:rsidR="00C61082" w:rsidRPr="002C6099" w:rsidRDefault="00A4225A" w:rsidP="002C6099">
            <w:pPr>
              <w:jc w:val="both"/>
              <w:rPr>
                <w:rFonts w:asciiTheme="minorHAnsi" w:hAnsiTheme="minorHAnsi" w:cstheme="minorHAnsi"/>
                <w:b/>
                <w:sz w:val="18"/>
                <w:szCs w:val="18"/>
              </w:rPr>
            </w:pPr>
            <w:r w:rsidRPr="002C6099">
              <w:rPr>
                <w:rFonts w:asciiTheme="minorHAnsi" w:hAnsiTheme="minorHAnsi" w:cstheme="minorHAnsi"/>
                <w:b/>
                <w:color w:val="000000"/>
                <w:sz w:val="18"/>
                <w:szCs w:val="18"/>
              </w:rPr>
              <w:t>16</w:t>
            </w:r>
          </w:p>
        </w:tc>
        <w:tc>
          <w:tcPr>
            <w:tcW w:w="494" w:type="pct"/>
            <w:vAlign w:val="center"/>
          </w:tcPr>
          <w:p w14:paraId="7607967C"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Conseil National du Patronat du Mali (CNPM)</w:t>
            </w:r>
          </w:p>
        </w:tc>
        <w:tc>
          <w:tcPr>
            <w:tcW w:w="707" w:type="pct"/>
            <w:vAlign w:val="center"/>
          </w:tcPr>
          <w:p w14:paraId="1C24F74E"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Transition vers une industrie bas-carbone</w:t>
            </w:r>
          </w:p>
        </w:tc>
        <w:tc>
          <w:tcPr>
            <w:tcW w:w="1497" w:type="pct"/>
            <w:vAlign w:val="center"/>
          </w:tcPr>
          <w:p w14:paraId="5130204F"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Accompagnement des entreprises industrielles maliennes vers des procédés bas-carbone : modernisation équipements, technologies sobres en carbone, efficacité énergétique.</w:t>
            </w:r>
          </w:p>
        </w:tc>
        <w:tc>
          <w:tcPr>
            <w:tcW w:w="574" w:type="pct"/>
            <w:vAlign w:val="center"/>
          </w:tcPr>
          <w:p w14:paraId="3E5460A6" w14:textId="7ACBE8CE" w:rsidR="00C61082" w:rsidRPr="002C6099" w:rsidRDefault="00596427" w:rsidP="002C6099">
            <w:pPr>
              <w:jc w:val="center"/>
              <w:rPr>
                <w:rFonts w:asciiTheme="minorHAnsi" w:hAnsiTheme="minorHAnsi" w:cstheme="minorHAnsi"/>
                <w:sz w:val="18"/>
                <w:szCs w:val="18"/>
              </w:rPr>
            </w:pPr>
            <w:r w:rsidRPr="002C6099">
              <w:rPr>
                <w:rFonts w:asciiTheme="minorHAnsi" w:hAnsiTheme="minorHAnsi" w:cstheme="minorHAnsi"/>
                <w:sz w:val="18"/>
                <w:szCs w:val="18"/>
              </w:rPr>
              <w:t>15 à 25 % de l’efficacité énergétique par entreprise</w:t>
            </w:r>
          </w:p>
        </w:tc>
        <w:tc>
          <w:tcPr>
            <w:tcW w:w="490" w:type="pct"/>
            <w:vAlign w:val="center"/>
          </w:tcPr>
          <w:p w14:paraId="460C9400" w14:textId="7720DEC1" w:rsidR="000572EB" w:rsidRPr="002C6099" w:rsidRDefault="009B4CCE"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60 000</w:t>
            </w:r>
          </w:p>
        </w:tc>
        <w:tc>
          <w:tcPr>
            <w:tcW w:w="490" w:type="pct"/>
            <w:vAlign w:val="center"/>
          </w:tcPr>
          <w:p w14:paraId="4A55A0CD" w14:textId="1B2B0EBF" w:rsidR="009B4CCE" w:rsidRPr="002C6099" w:rsidRDefault="009B4CCE"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60 000</w:t>
            </w:r>
          </w:p>
        </w:tc>
        <w:tc>
          <w:tcPr>
            <w:tcW w:w="588" w:type="pct"/>
            <w:vAlign w:val="center"/>
          </w:tcPr>
          <w:p w14:paraId="6B9699B7" w14:textId="0FDE2BE4"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4 500 000 000 </w:t>
            </w:r>
          </w:p>
        </w:tc>
      </w:tr>
      <w:tr w:rsidR="00C61082" w:rsidRPr="002C6099" w14:paraId="43BA8D2C" w14:textId="77777777" w:rsidTr="00053119">
        <w:tc>
          <w:tcPr>
            <w:tcW w:w="160" w:type="pct"/>
            <w:vAlign w:val="center"/>
          </w:tcPr>
          <w:p w14:paraId="46E675C5" w14:textId="37B1CAFF" w:rsidR="00C61082" w:rsidRPr="002C6099" w:rsidRDefault="00A4225A" w:rsidP="002C6099">
            <w:pPr>
              <w:jc w:val="both"/>
              <w:rPr>
                <w:rFonts w:asciiTheme="minorHAnsi" w:hAnsiTheme="minorHAnsi" w:cstheme="minorHAnsi"/>
                <w:b/>
                <w:sz w:val="18"/>
                <w:szCs w:val="18"/>
              </w:rPr>
            </w:pPr>
            <w:r w:rsidRPr="002C6099">
              <w:rPr>
                <w:rFonts w:asciiTheme="minorHAnsi" w:hAnsiTheme="minorHAnsi" w:cstheme="minorHAnsi"/>
                <w:b/>
                <w:sz w:val="18"/>
                <w:szCs w:val="18"/>
              </w:rPr>
              <w:t>17</w:t>
            </w:r>
          </w:p>
        </w:tc>
        <w:tc>
          <w:tcPr>
            <w:tcW w:w="494" w:type="pct"/>
            <w:vAlign w:val="center"/>
          </w:tcPr>
          <w:p w14:paraId="1240ED85" w14:textId="2E819B1A" w:rsidR="00C61082" w:rsidRPr="002C6099" w:rsidRDefault="007F059E"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Agence Nationale des Energies Renouvelables et des Bioénergies (</w:t>
            </w:r>
            <w:r w:rsidR="00C61082" w:rsidRPr="002C6099">
              <w:rPr>
                <w:rFonts w:asciiTheme="minorHAnsi" w:hAnsiTheme="minorHAnsi" w:cstheme="minorHAnsi"/>
                <w:color w:val="000000"/>
                <w:sz w:val="18"/>
                <w:szCs w:val="18"/>
              </w:rPr>
              <w:t>ANERB</w:t>
            </w:r>
            <w:r w:rsidRPr="002C6099">
              <w:rPr>
                <w:rFonts w:asciiTheme="minorHAnsi" w:hAnsiTheme="minorHAnsi" w:cstheme="minorHAnsi"/>
                <w:color w:val="000000"/>
                <w:sz w:val="18"/>
                <w:szCs w:val="18"/>
              </w:rPr>
              <w:t>)</w:t>
            </w:r>
          </w:p>
        </w:tc>
        <w:tc>
          <w:tcPr>
            <w:tcW w:w="707" w:type="pct"/>
            <w:vAlign w:val="center"/>
          </w:tcPr>
          <w:p w14:paraId="5FE4D0D2" w14:textId="77777777" w:rsidR="00C61082" w:rsidRPr="002C6099" w:rsidRDefault="00C61082"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Projet de Développement de la Bioénergie et Changements Climatiques</w:t>
            </w:r>
          </w:p>
        </w:tc>
        <w:tc>
          <w:tcPr>
            <w:tcW w:w="1497" w:type="pct"/>
            <w:vAlign w:val="center"/>
          </w:tcPr>
          <w:p w14:paraId="682BE965" w14:textId="7F37388D" w:rsidR="00C61082" w:rsidRPr="002C6099" w:rsidRDefault="00272721" w:rsidP="00272721">
            <w:pPr>
              <w:jc w:val="both"/>
              <w:rPr>
                <w:rFonts w:asciiTheme="minorHAnsi" w:hAnsiTheme="minorHAnsi" w:cstheme="minorHAnsi"/>
                <w:sz w:val="18"/>
                <w:szCs w:val="18"/>
              </w:rPr>
            </w:pPr>
            <w:r w:rsidRPr="00272721">
              <w:rPr>
                <w:rFonts w:asciiTheme="minorHAnsi" w:hAnsiTheme="minorHAnsi" w:cstheme="minorHAnsi"/>
                <w:sz w:val="18"/>
                <w:szCs w:val="18"/>
              </w:rPr>
              <w:t>Ce programme vise à promouvoir une énergie locale, propre et accessible à travers le développement de la filière Jatropha, du bioéthanol, du biogaz (biodigesteurs et centrales électriques), des biocombustibles solides (briquettes, foyers améliorés), ainsi que la mise en place d'un dispositif national d'assurance qualité.</w:t>
            </w:r>
          </w:p>
        </w:tc>
        <w:tc>
          <w:tcPr>
            <w:tcW w:w="574" w:type="pct"/>
            <w:vAlign w:val="center"/>
          </w:tcPr>
          <w:p w14:paraId="77A5B11D" w14:textId="77777777"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NR</w:t>
            </w:r>
          </w:p>
        </w:tc>
        <w:tc>
          <w:tcPr>
            <w:tcW w:w="490" w:type="pct"/>
            <w:vAlign w:val="center"/>
          </w:tcPr>
          <w:p w14:paraId="2A88952E" w14:textId="77777777"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NR</w:t>
            </w:r>
          </w:p>
        </w:tc>
        <w:tc>
          <w:tcPr>
            <w:tcW w:w="490" w:type="pct"/>
            <w:vAlign w:val="center"/>
          </w:tcPr>
          <w:p w14:paraId="4D173DA7" w14:textId="7673F623" w:rsidR="00BC526D" w:rsidRPr="002C6099" w:rsidRDefault="00CC7417" w:rsidP="002C6099">
            <w:pPr>
              <w:jc w:val="center"/>
              <w:rPr>
                <w:rFonts w:asciiTheme="minorHAnsi" w:hAnsiTheme="minorHAnsi" w:cstheme="minorHAnsi"/>
                <w:color w:val="000000"/>
                <w:sz w:val="18"/>
                <w:szCs w:val="18"/>
              </w:rPr>
            </w:pPr>
            <w:r>
              <w:rPr>
                <w:rFonts w:asciiTheme="minorHAnsi" w:hAnsiTheme="minorHAnsi" w:cstheme="minorHAnsi"/>
                <w:color w:val="000000"/>
                <w:sz w:val="18"/>
                <w:szCs w:val="18"/>
              </w:rPr>
              <w:t>688 000</w:t>
            </w:r>
          </w:p>
        </w:tc>
        <w:tc>
          <w:tcPr>
            <w:tcW w:w="588" w:type="pct"/>
            <w:vAlign w:val="center"/>
          </w:tcPr>
          <w:p w14:paraId="54CFD210" w14:textId="59468518" w:rsidR="00C61082" w:rsidRPr="002C6099" w:rsidRDefault="00C61082"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68 500 000 000</w:t>
            </w:r>
          </w:p>
        </w:tc>
      </w:tr>
      <w:tr w:rsidR="00580603" w:rsidRPr="002C6099" w14:paraId="7E3E4651" w14:textId="77777777" w:rsidTr="00053119">
        <w:tc>
          <w:tcPr>
            <w:tcW w:w="160" w:type="pct"/>
            <w:vAlign w:val="center"/>
          </w:tcPr>
          <w:p w14:paraId="66C6B742" w14:textId="3F46F076" w:rsidR="00580603" w:rsidRPr="002C6099" w:rsidRDefault="00580603" w:rsidP="002C6099">
            <w:pPr>
              <w:jc w:val="both"/>
              <w:rPr>
                <w:rFonts w:asciiTheme="minorHAnsi" w:hAnsiTheme="minorHAnsi" w:cstheme="minorHAnsi"/>
                <w:b/>
                <w:sz w:val="18"/>
                <w:szCs w:val="18"/>
              </w:rPr>
            </w:pPr>
            <w:r w:rsidRPr="002C6099">
              <w:rPr>
                <w:rFonts w:asciiTheme="minorHAnsi" w:hAnsiTheme="minorHAnsi" w:cstheme="minorHAnsi"/>
                <w:b/>
                <w:color w:val="000000"/>
                <w:sz w:val="18"/>
                <w:szCs w:val="18"/>
              </w:rPr>
              <w:t>18</w:t>
            </w:r>
          </w:p>
        </w:tc>
        <w:tc>
          <w:tcPr>
            <w:tcW w:w="494" w:type="pct"/>
            <w:vAlign w:val="center"/>
          </w:tcPr>
          <w:p w14:paraId="70715CDA" w14:textId="77777777" w:rsidR="00580603" w:rsidRPr="002C6099" w:rsidRDefault="00580603"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 xml:space="preserve">Alliance Cuisson </w:t>
            </w:r>
            <w:r w:rsidRPr="002C6099">
              <w:rPr>
                <w:rFonts w:asciiTheme="minorHAnsi" w:hAnsiTheme="minorHAnsi" w:cstheme="minorHAnsi"/>
                <w:color w:val="000000"/>
                <w:sz w:val="18"/>
                <w:szCs w:val="18"/>
              </w:rPr>
              <w:lastRenderedPageBreak/>
              <w:t>Propre Mali &amp; Yiriimex (M-ACC)</w:t>
            </w:r>
          </w:p>
        </w:tc>
        <w:tc>
          <w:tcPr>
            <w:tcW w:w="707" w:type="pct"/>
            <w:vAlign w:val="center"/>
          </w:tcPr>
          <w:p w14:paraId="48041D64" w14:textId="77777777" w:rsidR="00580603" w:rsidRPr="002C6099" w:rsidRDefault="00580603"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lastRenderedPageBreak/>
              <w:t xml:space="preserve">Centre de Certification des </w:t>
            </w:r>
            <w:r w:rsidRPr="002C6099">
              <w:rPr>
                <w:rFonts w:asciiTheme="minorHAnsi" w:hAnsiTheme="minorHAnsi" w:cstheme="minorHAnsi"/>
                <w:color w:val="000000"/>
                <w:sz w:val="18"/>
                <w:szCs w:val="18"/>
              </w:rPr>
              <w:lastRenderedPageBreak/>
              <w:t>Technologies et des Carburants destinés à la Cuisine Propre (C2TC2P)</w:t>
            </w:r>
          </w:p>
        </w:tc>
        <w:tc>
          <w:tcPr>
            <w:tcW w:w="1497" w:type="pct"/>
            <w:vAlign w:val="center"/>
          </w:tcPr>
          <w:p w14:paraId="60E86B74" w14:textId="77777777" w:rsidR="00580603" w:rsidRPr="002C6099" w:rsidRDefault="00580603"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lastRenderedPageBreak/>
              <w:t xml:space="preserve">Promotion de la cuisson propre via un centre national de certification des technologies et </w:t>
            </w:r>
            <w:r w:rsidRPr="002C6099">
              <w:rPr>
                <w:rFonts w:asciiTheme="minorHAnsi" w:hAnsiTheme="minorHAnsi" w:cstheme="minorHAnsi"/>
                <w:color w:val="000000"/>
                <w:sz w:val="18"/>
                <w:szCs w:val="18"/>
              </w:rPr>
              <w:lastRenderedPageBreak/>
              <w:t>carburants ; réduction du bois énergie, normes de qualité, certification équipements.</w:t>
            </w:r>
          </w:p>
        </w:tc>
        <w:tc>
          <w:tcPr>
            <w:tcW w:w="574" w:type="pct"/>
            <w:vAlign w:val="center"/>
          </w:tcPr>
          <w:p w14:paraId="4F6F3115" w14:textId="3F97D097" w:rsidR="00580603" w:rsidRPr="002C6099" w:rsidRDefault="00580603"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lastRenderedPageBreak/>
              <w:t>27 028 foyers améliorés</w:t>
            </w:r>
          </w:p>
        </w:tc>
        <w:tc>
          <w:tcPr>
            <w:tcW w:w="490" w:type="pct"/>
            <w:vAlign w:val="center"/>
          </w:tcPr>
          <w:p w14:paraId="77BADAB4" w14:textId="77777777" w:rsidR="00580603" w:rsidRPr="002C6099" w:rsidRDefault="00580603"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NR</w:t>
            </w:r>
          </w:p>
        </w:tc>
        <w:tc>
          <w:tcPr>
            <w:tcW w:w="490" w:type="pct"/>
            <w:vAlign w:val="center"/>
          </w:tcPr>
          <w:p w14:paraId="7F791B81" w14:textId="5B718527" w:rsidR="002558B9" w:rsidRPr="002C6099" w:rsidRDefault="002558B9"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135 000</w:t>
            </w:r>
          </w:p>
        </w:tc>
        <w:tc>
          <w:tcPr>
            <w:tcW w:w="588" w:type="pct"/>
            <w:vAlign w:val="center"/>
          </w:tcPr>
          <w:p w14:paraId="566510B1" w14:textId="016CDD90" w:rsidR="00580603" w:rsidRPr="002C6099" w:rsidRDefault="00445DC7"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1 131 184 600 </w:t>
            </w:r>
          </w:p>
        </w:tc>
      </w:tr>
      <w:tr w:rsidR="00580603" w:rsidRPr="002C6099" w14:paraId="131E59D0" w14:textId="77777777" w:rsidTr="00053119">
        <w:tc>
          <w:tcPr>
            <w:tcW w:w="160" w:type="pct"/>
            <w:vAlign w:val="center"/>
          </w:tcPr>
          <w:p w14:paraId="361C8078" w14:textId="1DBD6602" w:rsidR="00580603" w:rsidRPr="002C6099" w:rsidRDefault="00580603" w:rsidP="002C6099">
            <w:pPr>
              <w:jc w:val="both"/>
              <w:rPr>
                <w:rFonts w:asciiTheme="minorHAnsi" w:hAnsiTheme="minorHAnsi" w:cstheme="minorHAnsi"/>
                <w:b/>
                <w:sz w:val="18"/>
                <w:szCs w:val="18"/>
              </w:rPr>
            </w:pPr>
            <w:r w:rsidRPr="002C6099">
              <w:rPr>
                <w:rFonts w:asciiTheme="minorHAnsi" w:hAnsiTheme="minorHAnsi" w:cstheme="minorHAnsi"/>
                <w:b/>
                <w:color w:val="000000"/>
                <w:sz w:val="18"/>
                <w:szCs w:val="18"/>
              </w:rPr>
              <w:t>19</w:t>
            </w:r>
          </w:p>
        </w:tc>
        <w:tc>
          <w:tcPr>
            <w:tcW w:w="494" w:type="pct"/>
            <w:vAlign w:val="center"/>
          </w:tcPr>
          <w:p w14:paraId="7E795CEC" w14:textId="77777777" w:rsidR="00580603" w:rsidRPr="002C6099" w:rsidRDefault="00580603"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Groupe Yiriimex-SA</w:t>
            </w:r>
          </w:p>
        </w:tc>
        <w:tc>
          <w:tcPr>
            <w:tcW w:w="707" w:type="pct"/>
            <w:vAlign w:val="center"/>
          </w:tcPr>
          <w:p w14:paraId="10EEC811" w14:textId="77777777" w:rsidR="00580603" w:rsidRPr="002C6099" w:rsidRDefault="00580603"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Étude de faisabilité pour l'implantation d'une unité de production de briquettes à Bamako</w:t>
            </w:r>
          </w:p>
        </w:tc>
        <w:tc>
          <w:tcPr>
            <w:tcW w:w="1497" w:type="pct"/>
            <w:vAlign w:val="center"/>
          </w:tcPr>
          <w:p w14:paraId="337DF13E" w14:textId="77777777" w:rsidR="00580603" w:rsidRPr="002C6099" w:rsidRDefault="00580603" w:rsidP="002C6099">
            <w:pPr>
              <w:jc w:val="both"/>
              <w:rPr>
                <w:rFonts w:asciiTheme="minorHAnsi" w:hAnsiTheme="minorHAnsi" w:cstheme="minorHAnsi"/>
                <w:sz w:val="18"/>
                <w:szCs w:val="18"/>
              </w:rPr>
            </w:pPr>
            <w:r w:rsidRPr="002C6099">
              <w:rPr>
                <w:rFonts w:asciiTheme="minorHAnsi" w:hAnsiTheme="minorHAnsi" w:cstheme="minorHAnsi"/>
                <w:color w:val="000000"/>
                <w:sz w:val="18"/>
                <w:szCs w:val="18"/>
              </w:rPr>
              <w:t>Production de biocombustibles (briquettes, granulés, charbon bio) à partir de résidus agricoles pour remplacer le bois énergie et réduire la déforestation.</w:t>
            </w:r>
          </w:p>
        </w:tc>
        <w:tc>
          <w:tcPr>
            <w:tcW w:w="574" w:type="pct"/>
            <w:vAlign w:val="center"/>
          </w:tcPr>
          <w:p w14:paraId="019CB2CA" w14:textId="6B2BBFE4" w:rsidR="00580603" w:rsidRPr="002C6099" w:rsidRDefault="00580603"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Production annuelle de 25 920 tonnes de biocombustibles (20 736 tonnes de briquettes, 1 296 tonnes de granulés, 1 361 tonnes de biocharbon.)</w:t>
            </w:r>
          </w:p>
        </w:tc>
        <w:tc>
          <w:tcPr>
            <w:tcW w:w="490" w:type="pct"/>
            <w:vAlign w:val="center"/>
          </w:tcPr>
          <w:p w14:paraId="7383ABFF" w14:textId="5DE16963" w:rsidR="00580603" w:rsidRPr="002C6099" w:rsidRDefault="00852846"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33 696 </w:t>
            </w:r>
          </w:p>
        </w:tc>
        <w:tc>
          <w:tcPr>
            <w:tcW w:w="490" w:type="pct"/>
            <w:vAlign w:val="center"/>
          </w:tcPr>
          <w:p w14:paraId="54221CF5" w14:textId="706C16E8" w:rsidR="009B4CCE" w:rsidRPr="002C6099" w:rsidRDefault="009B4CCE" w:rsidP="002C6099">
            <w:pPr>
              <w:jc w:val="center"/>
              <w:rPr>
                <w:rFonts w:asciiTheme="minorHAnsi" w:hAnsiTheme="minorHAnsi" w:cstheme="minorHAnsi"/>
                <w:color w:val="000000"/>
                <w:sz w:val="18"/>
                <w:szCs w:val="18"/>
              </w:rPr>
            </w:pPr>
            <w:r w:rsidRPr="002C6099">
              <w:rPr>
                <w:rFonts w:asciiTheme="minorHAnsi" w:hAnsiTheme="minorHAnsi" w:cstheme="minorHAnsi"/>
                <w:color w:val="000000"/>
                <w:sz w:val="18"/>
                <w:szCs w:val="18"/>
              </w:rPr>
              <w:t>33 696</w:t>
            </w:r>
          </w:p>
        </w:tc>
        <w:tc>
          <w:tcPr>
            <w:tcW w:w="588" w:type="pct"/>
            <w:vAlign w:val="center"/>
          </w:tcPr>
          <w:p w14:paraId="1D6A53D2" w14:textId="6CBD3336" w:rsidR="00580603" w:rsidRPr="002C6099" w:rsidRDefault="00580603" w:rsidP="002C6099">
            <w:pPr>
              <w:jc w:val="center"/>
              <w:rPr>
                <w:rFonts w:asciiTheme="minorHAnsi" w:hAnsiTheme="minorHAnsi" w:cstheme="minorHAnsi"/>
                <w:sz w:val="18"/>
                <w:szCs w:val="18"/>
              </w:rPr>
            </w:pPr>
            <w:r w:rsidRPr="002C6099">
              <w:rPr>
                <w:rFonts w:asciiTheme="minorHAnsi" w:hAnsiTheme="minorHAnsi" w:cstheme="minorHAnsi"/>
                <w:color w:val="000000"/>
                <w:sz w:val="18"/>
                <w:szCs w:val="18"/>
              </w:rPr>
              <w:t xml:space="preserve">3 088 099 114 </w:t>
            </w:r>
          </w:p>
        </w:tc>
      </w:tr>
    </w:tbl>
    <w:p w14:paraId="65FA1B55" w14:textId="77777777" w:rsidR="002E2F81" w:rsidRDefault="002E2F81" w:rsidP="002E2F81">
      <w:pPr>
        <w:spacing w:before="240"/>
        <w:jc w:val="both"/>
        <w:rPr>
          <w:lang w:eastAsia="en-US"/>
        </w:rPr>
      </w:pPr>
      <w:r>
        <w:rPr>
          <w:lang w:eastAsia="en-US"/>
        </w:rPr>
        <w:t>Le travail de consolidation conduit sur le portefeuille initial a permis de dégager huit mesures structurantes pour le secteur de l'énergie, organisées selon une logique programmatique reflétant les grandes orientations de transformation du secteur à l'horizon 2035.</w:t>
      </w:r>
    </w:p>
    <w:p w14:paraId="46F78424" w14:textId="77777777" w:rsidR="002E2F81" w:rsidRDefault="002E2F81" w:rsidP="002E2F81">
      <w:pPr>
        <w:jc w:val="both"/>
        <w:rPr>
          <w:lang w:eastAsia="en-US"/>
        </w:rPr>
      </w:pPr>
      <w:r w:rsidRPr="005C18B8">
        <w:rPr>
          <w:b/>
          <w:bCs/>
          <w:lang w:eastAsia="en-US"/>
        </w:rPr>
        <w:t>Le développement de la production solaire centralisée</w:t>
      </w:r>
      <w:r>
        <w:rPr>
          <w:lang w:eastAsia="en-US"/>
        </w:rPr>
        <w:t xml:space="preserve"> constitue le pilier principal du scénario, articulé autour de deux programmes complémentaires : un programme solaire photovoltaïque sans stockage, ciblant l'injection directe sur le réseau interconnecté à partir de sites proches des centres de consommation, et un programme solaire photovoltaïque avec stockage, intégrant des systèmes de batteries afin de sécuriser la disponibilité de l'électricité en heures de pointe et en période sans ensoleillement. Ensemble, ces deux mesures représentent près de 1 040 MWc de capacité installée, dont une part significative dans les régions du Nord, contribuant ainsi à la fois à la décarbonation du mix électrique national et à l'équité d'accès territorial.</w:t>
      </w:r>
    </w:p>
    <w:p w14:paraId="716D898F" w14:textId="77777777" w:rsidR="002E2F81" w:rsidRDefault="002E2F81" w:rsidP="002E2F81">
      <w:pPr>
        <w:jc w:val="both"/>
        <w:rPr>
          <w:lang w:eastAsia="en-US"/>
        </w:rPr>
      </w:pPr>
      <w:r w:rsidRPr="005C18B8">
        <w:rPr>
          <w:b/>
          <w:bCs/>
          <w:lang w:eastAsia="en-US"/>
        </w:rPr>
        <w:t>Le programme national hydroélectrique</w:t>
      </w:r>
      <w:r>
        <w:rPr>
          <w:lang w:eastAsia="en-US"/>
        </w:rPr>
        <w:t xml:space="preserve"> complète l'offre de production bas-carbone en valorisant le potentiel hydraulique national à travers la construction, la réhabilitation et l'extension de centrales de moyenne et petite puissance, pour une capacité additionnelle d'environ 165 MW.</w:t>
      </w:r>
    </w:p>
    <w:p w14:paraId="7109C032" w14:textId="31B3FA0B" w:rsidR="002E2F81" w:rsidRDefault="002E2F81" w:rsidP="002E2F81">
      <w:pPr>
        <w:jc w:val="both"/>
        <w:rPr>
          <w:lang w:eastAsia="en-US"/>
        </w:rPr>
      </w:pPr>
      <w:r w:rsidRPr="0061420A">
        <w:rPr>
          <w:b/>
          <w:bCs/>
          <w:lang w:eastAsia="en-US"/>
        </w:rPr>
        <w:t>L'extension et le renforcement du réseau de transport d'électricité</w:t>
      </w:r>
      <w:r w:rsidRPr="0061420A">
        <w:rPr>
          <w:lang w:eastAsia="en-US"/>
        </w:rPr>
        <w:t xml:space="preserve"> vient en appui de ces investissements de production, en sécurisant l'évacuation des nouvelles capacités renouvelables vers les centres de consommation, en améliorant les interconnexions régionales (WAPP, OMVS) et en réduisant les pertes techniques du réseau. Au-delà de son rôle d'infrastructure, cette mesure contribue également à la transformation bas-carbone du système électrique, en permettant le raccordement progressif de localités jusqu'ici alimentées par des solutions thermiques décentralisées et en optimisant l'acheminement de l'électricité produite. Elle constitue à ce titre un levier structurant pour la cohérence d'ensemble du scénario sectoriel.</w:t>
      </w:r>
    </w:p>
    <w:p w14:paraId="2DB72458" w14:textId="77777777" w:rsidR="002E2F81" w:rsidRDefault="002E2F81" w:rsidP="00C06A8D">
      <w:pPr>
        <w:jc w:val="both"/>
        <w:rPr>
          <w:lang w:eastAsia="en-US"/>
        </w:rPr>
      </w:pPr>
    </w:p>
    <w:p w14:paraId="62CD6E93" w14:textId="77777777" w:rsidR="002E2F81" w:rsidRDefault="002E2F81" w:rsidP="00C06A8D">
      <w:pPr>
        <w:jc w:val="both"/>
        <w:rPr>
          <w:lang w:eastAsia="en-US"/>
        </w:rPr>
        <w:sectPr w:rsidR="002E2F81" w:rsidSect="00957128">
          <w:pgSz w:w="15840" w:h="12240" w:orient="landscape" w:code="1"/>
          <w:pgMar w:top="1411" w:right="1411" w:bottom="1411" w:left="1411" w:header="706" w:footer="706" w:gutter="0"/>
          <w:cols w:space="708"/>
          <w:docGrid w:linePitch="360"/>
        </w:sectPr>
      </w:pPr>
    </w:p>
    <w:p w14:paraId="1A1CCC09" w14:textId="7DD9EFA9" w:rsidR="00A84CB4" w:rsidRDefault="00A84CB4" w:rsidP="005C18B8">
      <w:pPr>
        <w:jc w:val="both"/>
        <w:rPr>
          <w:lang w:eastAsia="en-US"/>
        </w:rPr>
      </w:pPr>
      <w:r w:rsidRPr="00A84CB4">
        <w:rPr>
          <w:b/>
          <w:bCs/>
          <w:lang w:eastAsia="en-US"/>
        </w:rPr>
        <w:lastRenderedPageBreak/>
        <w:t>Pour le milieu rural</w:t>
      </w:r>
      <w:r w:rsidRPr="00A84CB4">
        <w:rPr>
          <w:lang w:eastAsia="en-US"/>
        </w:rPr>
        <w:t>, la consolidation a permis de regrouper les nombreux projets d'électrification décentralisée en trois mesures distinctes selon la nature technologique des solutions : les mini-réseaux hybrides solaire PV/Diesel pour les localités où le solaire seul ne couvre pas encore l'intégralité du service, les mini-réseaux solaires photovoltaïques sans appoint diesel pour les pôles économiques et les localités présentant un profil de consommation adapté, et les systèmes solaires individuels destinés aux zones isolées non raccordables à un mini-réseau. Cette différenciation permet de mieux refléter la diversité des contextes d'intervention et d'orienter les sources de financement vers les modèles les plus appropriés à chaque catégorie.</w:t>
      </w:r>
    </w:p>
    <w:p w14:paraId="6F41B11A" w14:textId="6C955891" w:rsidR="00A84CB4" w:rsidRDefault="001A3CCC" w:rsidP="005C18B8">
      <w:pPr>
        <w:jc w:val="both"/>
        <w:rPr>
          <w:lang w:eastAsia="en-US"/>
        </w:rPr>
      </w:pPr>
      <w:r w:rsidRPr="001A3CCC">
        <w:rPr>
          <w:b/>
          <w:bCs/>
          <w:lang w:eastAsia="en-US"/>
        </w:rPr>
        <w:t>La transition énergétique des usages domestiques</w:t>
      </w:r>
      <w:r w:rsidRPr="001A3CCC">
        <w:rPr>
          <w:lang w:eastAsia="en-US"/>
        </w:rPr>
        <w:t xml:space="preserve"> est portée par la mesure de cuisson propre solaire, qui propose une substitution progressive du bois et du charbon par des solutions de cuisson alimentées à l'électricité photovoltaïque, contribuant à la fois à la réduction des émissions, à la préservation des ressources forestières et à l'amélioration des conditions de vie en milieu rural, en particulier pour les femmes.</w:t>
      </w:r>
    </w:p>
    <w:p w14:paraId="48DED335" w14:textId="5B781499" w:rsidR="009B489A" w:rsidRDefault="009B489A" w:rsidP="005C18B8">
      <w:pPr>
        <w:jc w:val="both"/>
        <w:rPr>
          <w:lang w:eastAsia="en-US"/>
        </w:rPr>
      </w:pPr>
      <w:r w:rsidRPr="009B489A">
        <w:rPr>
          <w:b/>
          <w:bCs/>
          <w:lang w:eastAsia="en-US"/>
        </w:rPr>
        <w:t>L'intégration du sous-secteur des transports</w:t>
      </w:r>
      <w:r w:rsidRPr="009B489A">
        <w:rPr>
          <w:lang w:eastAsia="en-US"/>
        </w:rPr>
        <w:t xml:space="preserve"> constitue par ailleurs l'une des avancées majeures du portefeuille CDN 3.0. Représentant près </w:t>
      </w:r>
      <w:r w:rsidRPr="00D33AB2">
        <w:rPr>
          <w:lang w:eastAsia="en-US"/>
        </w:rPr>
        <w:t xml:space="preserve">de </w:t>
      </w:r>
      <w:r w:rsidR="00D33AB2" w:rsidRPr="00D33AB2">
        <w:rPr>
          <w:lang w:eastAsia="en-US"/>
        </w:rPr>
        <w:t>69</w:t>
      </w:r>
      <w:r w:rsidRPr="00D33AB2">
        <w:rPr>
          <w:lang w:eastAsia="en-US"/>
        </w:rPr>
        <w:t xml:space="preserve"> %</w:t>
      </w:r>
      <w:r w:rsidR="00D33AB2">
        <w:rPr>
          <w:rStyle w:val="Appelnotedebasdep"/>
          <w:lang w:eastAsia="en-US"/>
        </w:rPr>
        <w:footnoteReference w:id="4"/>
      </w:r>
      <w:r w:rsidRPr="00D33AB2">
        <w:rPr>
          <w:lang w:eastAsia="en-US"/>
        </w:rPr>
        <w:t xml:space="preserve"> des</w:t>
      </w:r>
      <w:r w:rsidRPr="009B489A">
        <w:rPr>
          <w:lang w:eastAsia="en-US"/>
        </w:rPr>
        <w:t xml:space="preserve"> émissions du secteur de l'énergie en 2022, ce sous-secteur était jusqu'ici absent du portefeuille atténuation de la CDN 2.0. Son intégration dans la CDN 3.0 se traduit par trois projets structurants portés par la Direction Nationale des Transports : la construction des ports secs de Kayes et de Sikasso, visant à optimiser la logistique multimodale et à réduire les déplacements routiers longue distance ; le renouvellement du parc automobile commercial vers des véhicules plus performants et moins émissifs ; et la réalisation d'un tramway à Bamako, offrant une alternative de mobilité urbaine décarbonée face à la congestion croissante du district. Ensemble, ces projets posent les bases d'une trajectoire de décarbonation du transport, à approfondir et compléter lors des prochaines révisions de la CDN.</w:t>
      </w:r>
    </w:p>
    <w:p w14:paraId="509D650F" w14:textId="75E51821" w:rsidR="00EF6529" w:rsidRDefault="00EF6529" w:rsidP="007D3B56">
      <w:pPr>
        <w:jc w:val="both"/>
        <w:rPr>
          <w:lang w:eastAsia="en-US"/>
        </w:rPr>
      </w:pPr>
      <w:r w:rsidRPr="00EF6529">
        <w:rPr>
          <w:lang w:eastAsia="en-US"/>
        </w:rPr>
        <w:t xml:space="preserve">D'autres mesures viennent enfin élargir le périmètre sectoriel par rapport à la CDN 2.0, </w:t>
      </w:r>
      <w:r>
        <w:rPr>
          <w:lang w:eastAsia="en-US"/>
        </w:rPr>
        <w:t>notamment</w:t>
      </w:r>
      <w:r w:rsidRPr="00EF6529">
        <w:rPr>
          <w:lang w:eastAsia="en-US"/>
        </w:rPr>
        <w:t xml:space="preserve"> : la transition vers une industrie bas-carbone portée par le secteur privé (CNPM), et le développement de la bioénergie et de la valorisation des résidus agricoles (ANERB, Yiriimex, M-ACC). </w:t>
      </w:r>
    </w:p>
    <w:p w14:paraId="3F9DD017" w14:textId="3EB27F99" w:rsidR="001A3CCC" w:rsidRDefault="009A41B8" w:rsidP="009A41B8">
      <w:pPr>
        <w:jc w:val="both"/>
        <w:rPr>
          <w:lang w:eastAsia="en-US"/>
        </w:rPr>
      </w:pPr>
      <w:r w:rsidRPr="009A41B8">
        <w:rPr>
          <w:lang w:eastAsia="en-US"/>
        </w:rPr>
        <w:t>Pris dans leur ensemble, ces mesures dessinent une trajectoire sectorielle cohérente, combinant production électrique bas-carbone à grande échelle, infrastructure de transport d'électricité, accès énergétique en milieu rural, décarbonation des transports et transition des usages domestiques et industriels. Cette structuration facilite la lecture du portefeuille par les partenaires techniques et financiers et prépare le passage à la définition de l'objectif sectoriel chiffré présenté dans la section suivante.</w:t>
      </w:r>
    </w:p>
    <w:tbl>
      <w:tblPr>
        <w:tblStyle w:val="Grilledutableau"/>
        <w:tblW w:w="0" w:type="auto"/>
        <w:shd w:val="clear" w:color="auto" w:fill="D0CECE" w:themeFill="background2" w:themeFillShade="E6"/>
        <w:tblLook w:val="04A0" w:firstRow="1" w:lastRow="0" w:firstColumn="1" w:lastColumn="0" w:noHBand="0" w:noVBand="1"/>
      </w:tblPr>
      <w:tblGrid>
        <w:gridCol w:w="9418"/>
      </w:tblGrid>
      <w:tr w:rsidR="000A5832" w14:paraId="17D80AF8" w14:textId="77777777" w:rsidTr="000A5832">
        <w:tc>
          <w:tcPr>
            <w:tcW w:w="9418" w:type="dxa"/>
            <w:shd w:val="clear" w:color="auto" w:fill="D0CECE" w:themeFill="background2" w:themeFillShade="E6"/>
          </w:tcPr>
          <w:p w14:paraId="4F2B7147" w14:textId="77777777" w:rsidR="000A5832" w:rsidRPr="00202F0C" w:rsidRDefault="000A5832" w:rsidP="000A5832">
            <w:pPr>
              <w:spacing w:before="120" w:after="120"/>
              <w:jc w:val="both"/>
              <w:rPr>
                <w:b/>
                <w:bCs/>
              </w:rPr>
            </w:pPr>
            <w:r w:rsidRPr="00202F0C">
              <w:rPr>
                <w:b/>
                <w:bCs/>
              </w:rPr>
              <w:t>Méthodologie d'estimation des potentiels d'atténuation</w:t>
            </w:r>
            <w:r>
              <w:rPr>
                <w:b/>
                <w:bCs/>
              </w:rPr>
              <w:t> :</w:t>
            </w:r>
          </w:p>
          <w:p w14:paraId="50A5A1EF" w14:textId="77777777" w:rsidR="000A5832" w:rsidRDefault="000A5832" w:rsidP="000A5832">
            <w:pPr>
              <w:spacing w:before="120" w:after="120"/>
              <w:jc w:val="both"/>
            </w:pPr>
            <w:r>
              <w:t>Le travail de quantification des potentiels d'atténuation associés aux mesures consolidées a été conduit en plusieurs étapes, afin de garantir la cohérence d'ensemble du portefeuille et la comparabilité des résultats à l'échelle sectorielle.</w:t>
            </w:r>
          </w:p>
          <w:p w14:paraId="7D42324D" w14:textId="77777777" w:rsidR="000A5832" w:rsidRDefault="000A5832" w:rsidP="000A5832">
            <w:pPr>
              <w:pStyle w:val="Paragraphedeliste"/>
              <w:numPr>
                <w:ilvl w:val="0"/>
                <w:numId w:val="42"/>
              </w:numPr>
              <w:spacing w:before="120" w:after="120"/>
              <w:contextualSpacing w:val="0"/>
              <w:jc w:val="both"/>
            </w:pPr>
            <w:r w:rsidRPr="00202F0C">
              <w:rPr>
                <w:b/>
                <w:bCs/>
                <w:i/>
                <w:iCs/>
                <w:color w:val="002060"/>
              </w:rPr>
              <w:t>Pour les projets ne disposant pas d'une estimation d'atténuation transmise par leur porteur</w:t>
            </w:r>
            <w:r>
              <w:t xml:space="preserve">, un calcul a été réalisé sur la base des hypothèses techniques fournies dans les questionnaires (capacité installée, productible, durée de fonctionnement, période de mise en œuvre, etc.). </w:t>
            </w:r>
            <w:r>
              <w:lastRenderedPageBreak/>
              <w:t>Lorsque ces hypothèses n'étaient pas renseignées de manière exhaustive, des estimations complémentaires ont été établies à partir des valeurs de référence usuellement retenues pour ce type de technologies dans le contexte malien (facteurs de capacité, ratios d'usage, durées de vie utiles). Cette démarche a permis de doter l'ensemble du portefeuille d'estimations harmonisées, à l'exception du projet de Développement de la Bioénergie porté par l'ANERB, pour lequel les composantes techniques restent insuffisamment précisées à ce stade pour permettre une quantification fiable de l'impact d'atténuation.</w:t>
            </w:r>
          </w:p>
          <w:p w14:paraId="04EAF9AE" w14:textId="609FBB90" w:rsidR="00E426F3" w:rsidRDefault="000A5832" w:rsidP="00D82751">
            <w:pPr>
              <w:pStyle w:val="Paragraphedeliste"/>
              <w:numPr>
                <w:ilvl w:val="0"/>
                <w:numId w:val="42"/>
              </w:numPr>
              <w:spacing w:before="120" w:after="120"/>
              <w:jc w:val="both"/>
            </w:pPr>
            <w:r w:rsidRPr="00202F0C">
              <w:rPr>
                <w:b/>
                <w:bCs/>
                <w:i/>
                <w:iCs/>
                <w:color w:val="002060"/>
              </w:rPr>
              <w:t>Pour les projets disposant déjà d'une estimation d'atténuation transmise par leur porteur</w:t>
            </w:r>
            <w:r>
              <w:t>, un travail de revue a été conduit</w:t>
            </w:r>
            <w:r w:rsidR="00E426F3">
              <w:t xml:space="preserve">. </w:t>
            </w:r>
            <w:r w:rsidR="00E426F3" w:rsidRPr="00E426F3">
              <w:t>Celui-ci a conclu à la nécessité de recalculer une part significative de ces estimations, en particulier pour les projets de production d'électricité renouvelable centralisée portés par EDM (solaire photovoltaïque et hydroélectricité). Les valeurs initialement communiquées reposaient sur une comparaison statique avec le mix électrique actuel du Mali. Or, l'évaluation du potentiel d'atténuation à l'horizon de la CDN 3.0 (2035) requiert de raisonner par rapport à une trajectoire de référence prospective, décrivant l'évolution probable du système énergétique en l'absence de mesures additionnelles. Dans cette trajectoire, modélisée sous LEAP (Low Emissions Analysis Platform), la satisfaction de la demande croissante d'électricité repose largement sur des moyens de production thermiques fossiles. La substitution opérée par chaque projet renouvelable s'effectue donc par rapport à un mix marginalement plus carboné que le mix actuel, ce qui produit un impact d'atténuation supérieur à celui initialement estimé par les porteurs.</w:t>
            </w:r>
          </w:p>
          <w:p w14:paraId="176EFC76" w14:textId="32B85E0F" w:rsidR="000A5832" w:rsidRDefault="000A5832" w:rsidP="000A5832">
            <w:pPr>
              <w:spacing w:before="120" w:after="120"/>
              <w:jc w:val="both"/>
            </w:pPr>
            <w:r>
              <w:t xml:space="preserve">L'application de cette approche a conduit à une révision substantielle à la hausse du potentiel global d'atténuation du portefeuille énergie. Sur la base des seules estimations transmises par les parties prenantes, et hors projets non renseignés, la contribution sectorielle s'établissait à environ </w:t>
            </w:r>
            <w:r w:rsidRPr="00202F0C">
              <w:rPr>
                <w:b/>
                <w:bCs/>
                <w:color w:val="002060"/>
              </w:rPr>
              <w:t>6 %</w:t>
            </w:r>
            <w:r w:rsidRPr="00202F0C">
              <w:rPr>
                <w:color w:val="002060"/>
              </w:rPr>
              <w:t xml:space="preserve"> </w:t>
            </w:r>
            <w:r>
              <w:t xml:space="preserve">de réduction par rapport à la ligne de base. Après recalcul harmonisé via LEAP et intégration des projets initialement non quantifiés, ce potentiel atteint désormais </w:t>
            </w:r>
            <w:r w:rsidR="00BA2070">
              <w:rPr>
                <w:b/>
                <w:bCs/>
                <w:color w:val="002060"/>
              </w:rPr>
              <w:t>23,1</w:t>
            </w:r>
            <w:r w:rsidR="00A17F16">
              <w:rPr>
                <w:b/>
                <w:bCs/>
                <w:color w:val="002060"/>
              </w:rPr>
              <w:t>1</w:t>
            </w:r>
            <w:r w:rsidRPr="00202F0C">
              <w:rPr>
                <w:b/>
                <w:bCs/>
                <w:color w:val="002060"/>
              </w:rPr>
              <w:t xml:space="preserve"> %</w:t>
            </w:r>
            <w:r>
              <w:t xml:space="preserve"> de réduction par rapport à la ligne de base 2035, témoignant à la fois de l'ampleur du portefeuille consolidé et de l'importance du cadre méthodologique retenu pour son évaluation.</w:t>
            </w:r>
          </w:p>
        </w:tc>
      </w:tr>
    </w:tbl>
    <w:p w14:paraId="51DCA556" w14:textId="00131F00" w:rsidR="00F11C42" w:rsidRDefault="00F11C42" w:rsidP="000A5832">
      <w:pPr>
        <w:pStyle w:val="Titre3"/>
        <w:numPr>
          <w:ilvl w:val="2"/>
          <w:numId w:val="21"/>
        </w:numPr>
        <w:spacing w:before="240"/>
        <w:ind w:left="1555" w:hanging="288"/>
      </w:pPr>
      <w:bookmarkStart w:id="46" w:name="_Toc234853869"/>
      <w:r>
        <w:lastRenderedPageBreak/>
        <w:t>Objectif sectoriel</w:t>
      </w:r>
      <w:bookmarkEnd w:id="46"/>
    </w:p>
    <w:p w14:paraId="7A410F97" w14:textId="76B28297" w:rsidR="0029412A" w:rsidRDefault="0029412A" w:rsidP="0029412A">
      <w:pPr>
        <w:spacing w:after="120"/>
        <w:jc w:val="both"/>
      </w:pPr>
      <w:r>
        <w:t>Sur la base du portefeuille consolidé de mesures d'atténuation et de la méthodologie d'évaluation harmonisée présentée dans les sections précédentes, le secteur de l'énergie contribue à la CDN 3.0 du Mali à hauteur d'une réduction d'environ</w:t>
      </w:r>
      <w:r w:rsidRPr="004636CF">
        <w:rPr>
          <w:b/>
        </w:rPr>
        <w:t xml:space="preserve"> </w:t>
      </w:r>
      <w:r w:rsidR="00671671" w:rsidRPr="00671671">
        <w:rPr>
          <w:b/>
        </w:rPr>
        <w:t xml:space="preserve">5 197 </w:t>
      </w:r>
      <w:r w:rsidR="00671671">
        <w:rPr>
          <w:b/>
        </w:rPr>
        <w:t>kT</w:t>
      </w:r>
      <w:r w:rsidRPr="004636CF">
        <w:rPr>
          <w:b/>
        </w:rPr>
        <w:t>CO₂éq/an à l'horizon 2035</w:t>
      </w:r>
      <w:r>
        <w:t xml:space="preserve">, soit </w:t>
      </w:r>
      <w:r w:rsidR="00671671">
        <w:rPr>
          <w:b/>
          <w:color w:val="002060"/>
        </w:rPr>
        <w:t>23,11</w:t>
      </w:r>
      <w:r w:rsidRPr="008C12C1">
        <w:rPr>
          <w:b/>
          <w:color w:val="002060"/>
        </w:rPr>
        <w:t xml:space="preserve"> %</w:t>
      </w:r>
      <w:r w:rsidRPr="008C12C1">
        <w:rPr>
          <w:color w:val="002060"/>
        </w:rPr>
        <w:t xml:space="preserve"> </w:t>
      </w:r>
      <w:r>
        <w:t xml:space="preserve">par rapport à la ligne de base sectorielle établie à </w:t>
      </w:r>
      <w:r w:rsidRPr="004636CF">
        <w:rPr>
          <w:b/>
        </w:rPr>
        <w:t>22 488 kt CO₂éq pour cette même année</w:t>
      </w:r>
      <w:r>
        <w:t>. Cette contribution constitue une révision substantielle de l'ambition sectorielle, en cohérence avec l'élargissement du périmètre du portefeuille (intégration des transports, de l'industrie et des usages domestiques) et avec le recalcul prospectif des estimations d'atténuation des projets de production renouvelable centralisée.</w:t>
      </w:r>
    </w:p>
    <w:p w14:paraId="269D625E" w14:textId="21BBCA8A" w:rsidR="00A33C61" w:rsidRDefault="00094249" w:rsidP="00A97893">
      <w:pPr>
        <w:keepNext/>
        <w:spacing w:after="120"/>
        <w:jc w:val="center"/>
      </w:pPr>
      <w:r>
        <w:rPr>
          <w:noProof/>
        </w:rPr>
        <w:lastRenderedPageBreak/>
        <w:drawing>
          <wp:inline distT="0" distB="0" distL="0" distR="0" wp14:anchorId="5128F4C0" wp14:editId="6698B32D">
            <wp:extent cx="5877881" cy="3462201"/>
            <wp:effectExtent l="0" t="0" r="8890" b="5080"/>
            <wp:docPr id="20390173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14358" cy="3483687"/>
                    </a:xfrm>
                    <a:prstGeom prst="rect">
                      <a:avLst/>
                    </a:prstGeom>
                    <a:noFill/>
                  </pic:spPr>
                </pic:pic>
              </a:graphicData>
            </a:graphic>
          </wp:inline>
        </w:drawing>
      </w:r>
    </w:p>
    <w:p w14:paraId="128D3126" w14:textId="22282CC3" w:rsidR="0097106C" w:rsidRPr="009D7828" w:rsidRDefault="00A33C61" w:rsidP="00A33C61">
      <w:pPr>
        <w:pStyle w:val="Lgende"/>
        <w:jc w:val="center"/>
      </w:pPr>
      <w:bookmarkStart w:id="47" w:name="_Toc234853916"/>
      <w:r>
        <w:t xml:space="preserve">Figure </w:t>
      </w:r>
      <w:r>
        <w:fldChar w:fldCharType="begin"/>
      </w:r>
      <w:r>
        <w:instrText xml:space="preserve"> SEQ Figure \* ARABIC </w:instrText>
      </w:r>
      <w:r>
        <w:fldChar w:fldCharType="separate"/>
      </w:r>
      <w:r w:rsidR="004D5580">
        <w:rPr>
          <w:noProof/>
        </w:rPr>
        <w:t>6</w:t>
      </w:r>
      <w:r>
        <w:fldChar w:fldCharType="end"/>
      </w:r>
      <w:r w:rsidRPr="009D7828">
        <w:t xml:space="preserve"> : Evolution des émissions du scénario de référence VS scénario d'atténuation pour le secteur de l'énergie</w:t>
      </w:r>
      <w:bookmarkEnd w:id="47"/>
    </w:p>
    <w:p w14:paraId="427BB283" w14:textId="77777777" w:rsidR="0029412A" w:rsidRDefault="0029412A" w:rsidP="0029412A">
      <w:pPr>
        <w:spacing w:after="120"/>
        <w:jc w:val="both"/>
      </w:pPr>
      <w:r>
        <w:t>La trajectoire sectorielle s'appuie sur quatre grands blocs de contribution, qui structurent le scénario d'atténuation à 2035 :</w:t>
      </w:r>
    </w:p>
    <w:p w14:paraId="1E7C33E4" w14:textId="77777777" w:rsidR="0029412A" w:rsidRDefault="0029412A" w:rsidP="002D2CE6">
      <w:pPr>
        <w:pStyle w:val="Paragraphedeliste"/>
        <w:numPr>
          <w:ilvl w:val="0"/>
          <w:numId w:val="59"/>
        </w:numPr>
        <w:spacing w:after="120"/>
        <w:jc w:val="both"/>
      </w:pPr>
      <w:r w:rsidRPr="0029412A">
        <w:rPr>
          <w:b/>
          <w:bCs/>
        </w:rPr>
        <w:t>La décarbonation de la production électrique centralisée</w:t>
      </w:r>
      <w:r>
        <w:t xml:space="preserve">, qui mobilise les programmes solaires photovoltaïques (avec et sans stockage), le programme hydroélectrique national et l'extension du réseau de transport. Ce premier bloc concentre l'essentiel du potentiel d'atténuation du secteur, avec une contribution agrégée d'environ </w:t>
      </w:r>
      <w:r w:rsidRPr="000E04BF">
        <w:rPr>
          <w:b/>
          <w:color w:val="002060"/>
        </w:rPr>
        <w:t xml:space="preserve">3 281 kt CO₂éq/an, soit près de </w:t>
      </w:r>
      <w:r w:rsidR="002D2CE6" w:rsidRPr="000E04BF">
        <w:rPr>
          <w:b/>
          <w:color w:val="002060"/>
        </w:rPr>
        <w:t>63</w:t>
      </w:r>
      <w:r w:rsidRPr="000E04BF">
        <w:rPr>
          <w:b/>
          <w:color w:val="002060"/>
        </w:rPr>
        <w:t xml:space="preserve"> % </w:t>
      </w:r>
      <w:r w:rsidRPr="00BA4500">
        <w:rPr>
          <w:color w:val="000000" w:themeColor="text1"/>
        </w:rPr>
        <w:t xml:space="preserve">de l'effort sectoriel, </w:t>
      </w:r>
      <w:r>
        <w:t>traduisant le poids structurel de la décarbonation du mix électrique dans la trajectoire bas-carbone du Mali.</w:t>
      </w:r>
    </w:p>
    <w:p w14:paraId="1DDF85AD" w14:textId="77777777" w:rsidR="002D2CE6" w:rsidRPr="002D2CE6" w:rsidRDefault="002D2CE6" w:rsidP="002D2CE6">
      <w:pPr>
        <w:pStyle w:val="Paragraphedeliste"/>
        <w:numPr>
          <w:ilvl w:val="0"/>
          <w:numId w:val="59"/>
        </w:numPr>
        <w:spacing w:after="120"/>
        <w:jc w:val="both"/>
      </w:pPr>
      <w:r w:rsidRPr="002D2CE6">
        <w:rPr>
          <w:b/>
          <w:bCs/>
        </w:rPr>
        <w:t>L'élargissement de l'accès énergétique en milieu rural</w:t>
      </w:r>
      <w:r w:rsidRPr="002D2CE6">
        <w:t xml:space="preserve">, à travers les mini-réseaux hybrides, les mini-réseaux solaires photovoltaïques et les systèmes solaires individuels, qui contribuent ensemble pour environ </w:t>
      </w:r>
      <w:r w:rsidRPr="000E04BF">
        <w:rPr>
          <w:b/>
          <w:color w:val="002060"/>
        </w:rPr>
        <w:t>539 kt CO₂éq/an (10 %)</w:t>
      </w:r>
      <w:r w:rsidRPr="000E04BF">
        <w:rPr>
          <w:color w:val="002060"/>
        </w:rPr>
        <w:t xml:space="preserve">, </w:t>
      </w:r>
      <w:r w:rsidRPr="002D2CE6">
        <w:t>en substitution aux solutions thermiques décentralisées et au kérosène.</w:t>
      </w:r>
    </w:p>
    <w:p w14:paraId="2317FB24" w14:textId="77777777" w:rsidR="002D2CE6" w:rsidRPr="002D2CE6" w:rsidRDefault="002D2CE6" w:rsidP="002D2CE6">
      <w:pPr>
        <w:pStyle w:val="Paragraphedeliste"/>
        <w:numPr>
          <w:ilvl w:val="0"/>
          <w:numId w:val="59"/>
        </w:numPr>
        <w:spacing w:after="120"/>
        <w:jc w:val="both"/>
      </w:pPr>
      <w:r w:rsidRPr="002D2CE6">
        <w:rPr>
          <w:b/>
          <w:bCs/>
        </w:rPr>
        <w:t>La décarbonation des transports</w:t>
      </w:r>
      <w:r w:rsidRPr="002D2CE6">
        <w:t xml:space="preserve">, jusqu'ici absente du portefeuille d'atténuation de la CDN 2.0, qui apporte une contribution d'environ </w:t>
      </w:r>
      <w:r w:rsidRPr="000E04BF">
        <w:rPr>
          <w:b/>
          <w:color w:val="002060"/>
        </w:rPr>
        <w:t>460 kt CO₂éq/an (9 %)</w:t>
      </w:r>
      <w:r w:rsidRPr="000E04BF">
        <w:rPr>
          <w:color w:val="002060"/>
        </w:rPr>
        <w:t xml:space="preserve"> </w:t>
      </w:r>
      <w:r w:rsidRPr="002D2CE6">
        <w:t>via les ports secs, le renouvellement du parc automobile commercial et le tramway de Bamako.</w:t>
      </w:r>
    </w:p>
    <w:p w14:paraId="6A0A5DE1" w14:textId="77777777" w:rsidR="002D2CE6" w:rsidRPr="002D2CE6" w:rsidRDefault="002D2CE6" w:rsidP="002D2CE6">
      <w:pPr>
        <w:pStyle w:val="Paragraphedeliste"/>
        <w:numPr>
          <w:ilvl w:val="0"/>
          <w:numId w:val="59"/>
        </w:numPr>
        <w:spacing w:after="120"/>
        <w:jc w:val="both"/>
      </w:pPr>
      <w:r w:rsidRPr="002D2CE6">
        <w:rPr>
          <w:b/>
          <w:bCs/>
        </w:rPr>
        <w:t>La transition des usages domestiques et industriels</w:t>
      </w:r>
      <w:r w:rsidRPr="002D2CE6">
        <w:t xml:space="preserve">, à travers la cuisson propre solaire, les bioénergies (briquettes, certification des technologies et carburants), le développement de la bioénergie ANERB et la mesure de transition industrielle bas-carbone, qui représentent ensemble environ </w:t>
      </w:r>
      <w:r w:rsidRPr="000E04BF">
        <w:rPr>
          <w:b/>
          <w:color w:val="002060"/>
        </w:rPr>
        <w:t>917 kt CO₂éq/an (18 %)</w:t>
      </w:r>
      <w:r w:rsidRPr="000E04BF">
        <w:rPr>
          <w:color w:val="002060"/>
        </w:rPr>
        <w:t>.</w:t>
      </w:r>
    </w:p>
    <w:p w14:paraId="2AC07DB8" w14:textId="77777777" w:rsidR="0029412A" w:rsidRDefault="0029412A" w:rsidP="002D2CE6">
      <w:pPr>
        <w:spacing w:after="120"/>
        <w:jc w:val="both"/>
      </w:pPr>
      <w:r>
        <w:t>Ces blocs traduisent la cohérence d'ensemble du scénario sectoriel : un effort principal porté par la transformation du système électrique national, complété par des leviers de diversification couvrant les sous-secteurs jusqu'ici sous-représentés dans les contributions du Mali.</w:t>
      </w:r>
    </w:p>
    <w:p w14:paraId="662CCA8A" w14:textId="77777777" w:rsidR="004636CF" w:rsidRDefault="004636CF" w:rsidP="0029412A">
      <w:pPr>
        <w:spacing w:after="240"/>
        <w:jc w:val="both"/>
      </w:pPr>
    </w:p>
    <w:p w14:paraId="7FAF6697" w14:textId="215A0AA6" w:rsidR="00E24FBA" w:rsidRPr="00E24FBA" w:rsidRDefault="00E24FBA" w:rsidP="00E24FBA">
      <w:pPr>
        <w:pStyle w:val="Lgende"/>
        <w:keepNext/>
        <w:rPr>
          <w:sz w:val="20"/>
          <w:szCs w:val="20"/>
        </w:rPr>
      </w:pPr>
      <w:bookmarkStart w:id="48" w:name="_Toc234853941"/>
      <w:r w:rsidRPr="00E24FBA">
        <w:rPr>
          <w:sz w:val="20"/>
          <w:szCs w:val="20"/>
        </w:rPr>
        <w:t xml:space="preserve">Tableau </w:t>
      </w:r>
      <w:r w:rsidRPr="00E24FBA">
        <w:rPr>
          <w:sz w:val="20"/>
          <w:szCs w:val="20"/>
        </w:rPr>
        <w:fldChar w:fldCharType="begin"/>
      </w:r>
      <w:r w:rsidRPr="00E24FBA">
        <w:rPr>
          <w:sz w:val="20"/>
          <w:szCs w:val="20"/>
        </w:rPr>
        <w:instrText xml:space="preserve"> SEQ Tableau \* ARABIC </w:instrText>
      </w:r>
      <w:r w:rsidRPr="00E24FBA">
        <w:rPr>
          <w:sz w:val="20"/>
          <w:szCs w:val="20"/>
        </w:rPr>
        <w:fldChar w:fldCharType="separate"/>
      </w:r>
      <w:r w:rsidR="0018772E">
        <w:rPr>
          <w:noProof/>
          <w:sz w:val="20"/>
          <w:szCs w:val="20"/>
        </w:rPr>
        <w:t>17</w:t>
      </w:r>
      <w:r w:rsidRPr="00E24FBA">
        <w:rPr>
          <w:sz w:val="20"/>
          <w:szCs w:val="20"/>
        </w:rPr>
        <w:fldChar w:fldCharType="end"/>
      </w:r>
      <w:r w:rsidRPr="00E35393">
        <w:rPr>
          <w:sz w:val="20"/>
          <w:szCs w:val="20"/>
        </w:rPr>
        <w:t xml:space="preserve"> :</w:t>
      </w:r>
      <w:r w:rsidRPr="00E24FBA">
        <w:rPr>
          <w:sz w:val="20"/>
          <w:szCs w:val="20"/>
        </w:rPr>
        <w:t xml:space="preserve"> </w:t>
      </w:r>
      <w:r w:rsidRPr="00E35393">
        <w:rPr>
          <w:sz w:val="20"/>
          <w:szCs w:val="20"/>
        </w:rPr>
        <w:t>Principaux indicateurs de l'objectif sectoriel énergie</w:t>
      </w:r>
      <w:bookmarkEnd w:id="48"/>
    </w:p>
    <w:tbl>
      <w:tblPr>
        <w:tblStyle w:val="Grilledutableau"/>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4752"/>
      </w:tblGrid>
      <w:tr w:rsidR="009A5C3B" w:rsidRPr="000161BA" w14:paraId="35FA588A" w14:textId="77777777" w:rsidTr="004636CF">
        <w:trPr>
          <w:trHeight w:val="415"/>
        </w:trPr>
        <w:tc>
          <w:tcPr>
            <w:tcW w:w="4752" w:type="dxa"/>
            <w:shd w:val="clear" w:color="auto" w:fill="1F4E79" w:themeFill="accent1" w:themeFillShade="80"/>
            <w:vAlign w:val="center"/>
          </w:tcPr>
          <w:p w14:paraId="087DAE48" w14:textId="34898692" w:rsidR="009A5C3B" w:rsidRPr="004636CF" w:rsidRDefault="000161BA" w:rsidP="009257AB">
            <w:pPr>
              <w:jc w:val="center"/>
              <w:rPr>
                <w:b/>
                <w:color w:val="FFFFFF" w:themeColor="background1"/>
              </w:rPr>
            </w:pPr>
            <w:r w:rsidRPr="004636CF">
              <w:rPr>
                <w:b/>
                <w:color w:val="FFFFFF" w:themeColor="background1"/>
              </w:rPr>
              <w:t>Indicateur</w:t>
            </w:r>
          </w:p>
        </w:tc>
        <w:tc>
          <w:tcPr>
            <w:tcW w:w="4752" w:type="dxa"/>
            <w:shd w:val="clear" w:color="auto" w:fill="1F4E79" w:themeFill="accent1" w:themeFillShade="80"/>
            <w:vAlign w:val="center"/>
          </w:tcPr>
          <w:p w14:paraId="5893B7AD" w14:textId="68C6FA82" w:rsidR="009A5C3B" w:rsidRPr="004636CF" w:rsidRDefault="000161BA" w:rsidP="009257AB">
            <w:pPr>
              <w:jc w:val="center"/>
              <w:rPr>
                <w:b/>
                <w:color w:val="FFFFFF" w:themeColor="background1"/>
              </w:rPr>
            </w:pPr>
            <w:r w:rsidRPr="004636CF">
              <w:rPr>
                <w:b/>
                <w:color w:val="FFFFFF" w:themeColor="background1"/>
              </w:rPr>
              <w:t>Cible</w:t>
            </w:r>
          </w:p>
        </w:tc>
      </w:tr>
      <w:tr w:rsidR="009A5C3B" w:rsidRPr="0018772E" w14:paraId="395D91E2" w14:textId="77777777" w:rsidTr="009257AB">
        <w:trPr>
          <w:trHeight w:val="20"/>
        </w:trPr>
        <w:tc>
          <w:tcPr>
            <w:tcW w:w="4752" w:type="dxa"/>
            <w:vAlign w:val="center"/>
          </w:tcPr>
          <w:p w14:paraId="6023872A" w14:textId="26AF0C3B" w:rsidR="009A5C3B" w:rsidRPr="000161BA" w:rsidRDefault="00275F81" w:rsidP="009257AB">
            <w:pPr>
              <w:rPr>
                <w:b/>
                <w:bCs/>
              </w:rPr>
            </w:pPr>
            <w:r w:rsidRPr="000161BA">
              <w:rPr>
                <w:b/>
                <w:bCs/>
              </w:rPr>
              <w:t>Atténuation annuelle sectorielle</w:t>
            </w:r>
          </w:p>
        </w:tc>
        <w:tc>
          <w:tcPr>
            <w:tcW w:w="4752" w:type="dxa"/>
          </w:tcPr>
          <w:p w14:paraId="4E0538B7" w14:textId="2A8564A9" w:rsidR="009A5C3B" w:rsidRPr="0018772E" w:rsidRDefault="00275F81" w:rsidP="009257AB">
            <w:pPr>
              <w:jc w:val="both"/>
              <w:rPr>
                <w:lang w:val="en-US"/>
              </w:rPr>
            </w:pPr>
            <w:r w:rsidRPr="00275F81">
              <w:t>~</w:t>
            </w:r>
            <w:r w:rsidR="00B308F7" w:rsidRPr="00B308F7">
              <w:t xml:space="preserve">5 197 </w:t>
            </w:r>
            <w:r w:rsidR="00B308F7">
              <w:t>kT</w:t>
            </w:r>
            <w:r w:rsidRPr="00275F81">
              <w:t>CO₂éq/an</w:t>
            </w:r>
          </w:p>
        </w:tc>
      </w:tr>
      <w:tr w:rsidR="009A5C3B" w14:paraId="4ACB618B" w14:textId="77777777" w:rsidTr="009257AB">
        <w:trPr>
          <w:trHeight w:val="20"/>
        </w:trPr>
        <w:tc>
          <w:tcPr>
            <w:tcW w:w="4752" w:type="dxa"/>
            <w:vAlign w:val="center"/>
          </w:tcPr>
          <w:p w14:paraId="55B256EE" w14:textId="70E37E42" w:rsidR="009A5C3B" w:rsidRPr="000161BA" w:rsidRDefault="0024088E" w:rsidP="009257AB">
            <w:pPr>
              <w:rPr>
                <w:b/>
                <w:bCs/>
              </w:rPr>
            </w:pPr>
            <w:r w:rsidRPr="000161BA">
              <w:rPr>
                <w:b/>
                <w:bCs/>
              </w:rPr>
              <w:t>Réduction par rapport à la ligne de base 2035</w:t>
            </w:r>
          </w:p>
        </w:tc>
        <w:tc>
          <w:tcPr>
            <w:tcW w:w="4752" w:type="dxa"/>
          </w:tcPr>
          <w:p w14:paraId="35BDBB68" w14:textId="30945367" w:rsidR="009A5C3B" w:rsidRDefault="00B308F7" w:rsidP="009257AB">
            <w:pPr>
              <w:jc w:val="both"/>
            </w:pPr>
            <w:r>
              <w:t>23,11</w:t>
            </w:r>
            <w:r w:rsidR="00275F81" w:rsidRPr="00275F81">
              <w:t xml:space="preserve"> %</w:t>
            </w:r>
          </w:p>
        </w:tc>
      </w:tr>
      <w:tr w:rsidR="009A5C3B" w14:paraId="5354BBCC" w14:textId="77777777" w:rsidTr="009257AB">
        <w:trPr>
          <w:trHeight w:val="20"/>
        </w:trPr>
        <w:tc>
          <w:tcPr>
            <w:tcW w:w="4752" w:type="dxa"/>
            <w:vAlign w:val="center"/>
          </w:tcPr>
          <w:p w14:paraId="114F56E7" w14:textId="4CC9107E" w:rsidR="009A5C3B" w:rsidRPr="000161BA" w:rsidRDefault="000161BA" w:rsidP="009257AB">
            <w:pPr>
              <w:tabs>
                <w:tab w:val="left" w:pos="1131"/>
              </w:tabs>
              <w:rPr>
                <w:b/>
                <w:bCs/>
              </w:rPr>
            </w:pPr>
            <w:r w:rsidRPr="000161BA">
              <w:rPr>
                <w:b/>
                <w:bCs/>
              </w:rPr>
              <w:t>Coût total d'investissement</w:t>
            </w:r>
          </w:p>
        </w:tc>
        <w:tc>
          <w:tcPr>
            <w:tcW w:w="4752" w:type="dxa"/>
          </w:tcPr>
          <w:p w14:paraId="2BC5838E" w14:textId="1A0B49F9" w:rsidR="009A5C3B" w:rsidRDefault="006A43E3" w:rsidP="009257AB">
            <w:pPr>
              <w:jc w:val="both"/>
            </w:pPr>
            <w:r w:rsidRPr="006A43E3">
              <w:t>~3 211 Mds FCFA</w:t>
            </w:r>
          </w:p>
        </w:tc>
      </w:tr>
    </w:tbl>
    <w:p w14:paraId="5F0AB362" w14:textId="77777777" w:rsidR="00495F8D" w:rsidRDefault="00495F8D" w:rsidP="00495F8D">
      <w:pPr>
        <w:spacing w:after="120"/>
      </w:pPr>
    </w:p>
    <w:tbl>
      <w:tblPr>
        <w:tblStyle w:val="Grilledutableau"/>
        <w:tblW w:w="0" w:type="auto"/>
        <w:tblLook w:val="04A0" w:firstRow="1" w:lastRow="0" w:firstColumn="1" w:lastColumn="0" w:noHBand="0" w:noVBand="1"/>
      </w:tblPr>
      <w:tblGrid>
        <w:gridCol w:w="9418"/>
      </w:tblGrid>
      <w:tr w:rsidR="00DA76B7" w14:paraId="4028C56A" w14:textId="77777777" w:rsidTr="00DA76B7">
        <w:tc>
          <w:tcPr>
            <w:tcW w:w="9418" w:type="dxa"/>
            <w:shd w:val="clear" w:color="auto" w:fill="D0CECE" w:themeFill="background2" w:themeFillShade="E6"/>
          </w:tcPr>
          <w:p w14:paraId="1B4C5CFC" w14:textId="77777777" w:rsidR="00DA76B7" w:rsidRPr="00495F8D" w:rsidRDefault="00DA76B7" w:rsidP="00DA76B7">
            <w:pPr>
              <w:spacing w:before="120" w:after="120"/>
              <w:rPr>
                <w:b/>
                <w:bCs/>
                <w:color w:val="002060"/>
              </w:rPr>
            </w:pPr>
            <w:r w:rsidRPr="00495F8D">
              <w:rPr>
                <w:b/>
                <w:bCs/>
                <w:color w:val="002060"/>
              </w:rPr>
              <w:t>Vers un relèvement possible de l'ambition sectorielle énergie</w:t>
            </w:r>
            <w:r>
              <w:rPr>
                <w:b/>
                <w:bCs/>
                <w:color w:val="002060"/>
              </w:rPr>
              <w:t> :</w:t>
            </w:r>
          </w:p>
          <w:p w14:paraId="5B97F53B" w14:textId="77777777" w:rsidR="00DA76B7" w:rsidRDefault="00DA76B7" w:rsidP="00DA76B7">
            <w:pPr>
              <w:spacing w:before="120" w:after="120"/>
              <w:jc w:val="both"/>
            </w:pPr>
            <w:r>
              <w:t xml:space="preserve">L'objectif de 18,75 % présenté dans cette section traduit le potentiel du portefeuille consolidé au moment de la revue, mais ne représente pas un plafond. La mise en regard avec les politiques sectorielles existantes fait apparaître plusieurs orientations actées au niveau national mais non encore traduites en mesures opérationnelles. </w:t>
            </w:r>
          </w:p>
          <w:p w14:paraId="6FA7AF6C" w14:textId="77777777" w:rsidR="00DA76B7" w:rsidRPr="001E760B" w:rsidRDefault="00DA76B7" w:rsidP="00DA76B7">
            <w:pPr>
              <w:pStyle w:val="Paragraphedeliste"/>
              <w:numPr>
                <w:ilvl w:val="0"/>
                <w:numId w:val="47"/>
              </w:numPr>
              <w:spacing w:before="120" w:after="120"/>
              <w:contextualSpacing w:val="0"/>
              <w:jc w:val="both"/>
            </w:pPr>
            <w:r w:rsidRPr="001E760B">
              <w:rPr>
                <w:b/>
                <w:bCs/>
              </w:rPr>
              <w:t xml:space="preserve">Renforcement des énergies renouvelables centralisées : </w:t>
            </w:r>
            <w:r w:rsidRPr="001E760B">
              <w:t>densification du déploiement solaire et hydroélectrique au-delà des capacités déjà programmées, exploration d'autres filières renouvelables telles que l'éolien, identification de nouveaux sites prioritaires et accélération du stockage pour sécuriser l'intégration au réseau.</w:t>
            </w:r>
          </w:p>
          <w:p w14:paraId="0F01BE05" w14:textId="77777777" w:rsidR="00DA76B7" w:rsidRDefault="00DA76B7" w:rsidP="00DA76B7">
            <w:pPr>
              <w:pStyle w:val="Paragraphedeliste"/>
              <w:numPr>
                <w:ilvl w:val="0"/>
                <w:numId w:val="47"/>
              </w:numPr>
              <w:spacing w:before="120" w:after="120"/>
              <w:contextualSpacing w:val="0"/>
              <w:jc w:val="both"/>
            </w:pPr>
            <w:r w:rsidRPr="0043088F">
              <w:rPr>
                <w:b/>
                <w:bCs/>
              </w:rPr>
              <w:t>Efficacité énergétique :</w:t>
            </w:r>
            <w:r>
              <w:t xml:space="preserve"> réduction des pertes du réseau, performance énergétique des bâtiments publics et privés, normes et étiquetage des équipements, éclairage efficace — un axe quasi absent du portefeuille hors industrie, alors qu'il constitue généralement le levier le moins coûteux par tonne évitée.</w:t>
            </w:r>
          </w:p>
          <w:p w14:paraId="50E37BFD" w14:textId="77777777" w:rsidR="00DA76B7" w:rsidRDefault="00DA76B7" w:rsidP="00DA76B7">
            <w:pPr>
              <w:pStyle w:val="Paragraphedeliste"/>
              <w:numPr>
                <w:ilvl w:val="0"/>
                <w:numId w:val="47"/>
              </w:numPr>
              <w:spacing w:before="120" w:after="120"/>
              <w:contextualSpacing w:val="0"/>
              <w:jc w:val="both"/>
            </w:pPr>
            <w:r w:rsidRPr="0043088F">
              <w:rPr>
                <w:b/>
                <w:bCs/>
              </w:rPr>
              <w:t>Biocarburants pour le transport :</w:t>
            </w:r>
            <w:r>
              <w:t xml:space="preserve"> développement de l'éthanol et du biodiesel en substitution aux hydrocarbures importés, non traduit en mesure opérationnelle malgré le poids du transport dans les émissions énergétiques.</w:t>
            </w:r>
          </w:p>
          <w:p w14:paraId="42187F43" w14:textId="77777777" w:rsidR="00DA76B7" w:rsidRPr="002C69EB" w:rsidRDefault="00DA76B7" w:rsidP="00DA76B7">
            <w:pPr>
              <w:pStyle w:val="Paragraphedeliste"/>
              <w:numPr>
                <w:ilvl w:val="0"/>
                <w:numId w:val="47"/>
              </w:numPr>
              <w:spacing w:before="120" w:after="120"/>
              <w:contextualSpacing w:val="0"/>
              <w:jc w:val="both"/>
            </w:pPr>
            <w:r w:rsidRPr="002C69EB">
              <w:rPr>
                <w:b/>
                <w:bCs/>
              </w:rPr>
              <w:t>Électrification du parc de transport :</w:t>
            </w:r>
            <w:r w:rsidRPr="002C69EB">
              <w:t xml:space="preserve"> le portefeuille actuel concentre les mesures du sous-secteur sur le transport collectif et le fret, sans composante dédiée à l'électrification des véhicules. Le déploiement d'une telle composante, ciblant en priorité les segments à forte croissance et à usage intensif</w:t>
            </w:r>
            <w:r>
              <w:t>,</w:t>
            </w:r>
            <w:r w:rsidRPr="002C69EB">
              <w:t xml:space="preserve"> comme les deux et trois-roues motorisés, qui dominent la mobilité quotidienne des ménages maliens</w:t>
            </w:r>
            <w:r>
              <w:t xml:space="preserve">, </w:t>
            </w:r>
            <w:r w:rsidRPr="00685DE1">
              <w:t>constituerait un levier d'atténuation à fort potentiel,</w:t>
            </w:r>
            <w:r w:rsidRPr="002C69EB">
              <w:t xml:space="preserve"> en </w:t>
            </w:r>
            <w:r w:rsidRPr="00685DE1">
              <w:t>substitution aux carburants fossiles.</w:t>
            </w:r>
          </w:p>
          <w:p w14:paraId="40D70BD3" w14:textId="77777777" w:rsidR="00DA76B7" w:rsidRDefault="00DA76B7" w:rsidP="00DA76B7">
            <w:pPr>
              <w:pStyle w:val="Paragraphedeliste"/>
              <w:numPr>
                <w:ilvl w:val="0"/>
                <w:numId w:val="47"/>
              </w:numPr>
              <w:spacing w:before="120" w:after="120"/>
              <w:contextualSpacing w:val="0"/>
              <w:jc w:val="both"/>
            </w:pPr>
            <w:r w:rsidRPr="0043088F">
              <w:rPr>
                <w:b/>
                <w:bCs/>
              </w:rPr>
              <w:t>Solarisation thermique des établissements sociaux :</w:t>
            </w:r>
            <w:r>
              <w:t xml:space="preserve"> équipement des centres de santé, maternités et écoles en chauffe-eau solaires, gisement complémentaire à fort co-bénéfice social et sanitaire.</w:t>
            </w:r>
          </w:p>
          <w:p w14:paraId="455DF264" w14:textId="3185C71E" w:rsidR="00DA76B7" w:rsidRDefault="00DA76B7" w:rsidP="00DA76B7">
            <w:pPr>
              <w:spacing w:before="120" w:after="120"/>
              <w:jc w:val="both"/>
            </w:pPr>
            <w:r>
              <w:t>L'intégration progressive de ces leviers via les engagements conditionnels du Mali, permettrait de rehausser l'ambition sectorielle au-delà du seuil retenu, en cohérence avec les orientations déjà actées au niveau national.</w:t>
            </w:r>
          </w:p>
        </w:tc>
      </w:tr>
    </w:tbl>
    <w:p w14:paraId="1AB62AD1" w14:textId="217E8820" w:rsidR="007932F7" w:rsidRDefault="001F64BE" w:rsidP="00531E58">
      <w:pPr>
        <w:pStyle w:val="Titre2"/>
      </w:pPr>
      <w:bookmarkStart w:id="49" w:name="_Toc234853870"/>
      <w:r>
        <w:t>Secteur de l’agriculture</w:t>
      </w:r>
      <w:bookmarkEnd w:id="49"/>
    </w:p>
    <w:p w14:paraId="016266B0" w14:textId="73AA37AA" w:rsidR="009C5106" w:rsidRPr="009C5106" w:rsidRDefault="007932F7" w:rsidP="002C3767">
      <w:pPr>
        <w:pStyle w:val="Titre3"/>
        <w:numPr>
          <w:ilvl w:val="2"/>
          <w:numId w:val="21"/>
        </w:numPr>
      </w:pPr>
      <w:bookmarkStart w:id="50" w:name="_Toc234853871"/>
      <w:r w:rsidRPr="001F64BE">
        <w:t>Orientations et mesures retenues des consultations</w:t>
      </w:r>
      <w:bookmarkEnd w:id="50"/>
    </w:p>
    <w:p w14:paraId="79031BF2" w14:textId="1E52284B" w:rsidR="00B54AE4" w:rsidRDefault="00B54AE4" w:rsidP="00B54AE4">
      <w:pPr>
        <w:spacing w:before="240"/>
        <w:rPr>
          <w:b/>
          <w:bCs/>
          <w:u w:val="single"/>
        </w:rPr>
      </w:pPr>
      <w:r w:rsidRPr="00A37F85">
        <w:rPr>
          <w:b/>
          <w:bCs/>
          <w:u w:val="single"/>
        </w:rPr>
        <w:t xml:space="preserve">Orientation de structuration du portefeuille </w:t>
      </w:r>
      <w:r w:rsidR="00D33C11">
        <w:rPr>
          <w:b/>
          <w:bCs/>
          <w:u w:val="single"/>
        </w:rPr>
        <w:t>de l’Agriculture</w:t>
      </w:r>
      <w:r w:rsidRPr="00A37F85">
        <w:rPr>
          <w:b/>
          <w:bCs/>
          <w:u w:val="single"/>
        </w:rPr>
        <w:t xml:space="preserve"> pour la CDN 3.0</w:t>
      </w:r>
    </w:p>
    <w:p w14:paraId="4DA89E37" w14:textId="44958FEC" w:rsidR="00A2514E" w:rsidRPr="00A2514E" w:rsidRDefault="00A2514E" w:rsidP="00A2514E">
      <w:pPr>
        <w:spacing w:after="240"/>
        <w:jc w:val="both"/>
      </w:pPr>
      <w:r w:rsidRPr="00A2514E">
        <w:lastRenderedPageBreak/>
        <w:t xml:space="preserve">L’évaluation de la CDN 2.0 met en évidence que le secteur Agriculture dispose d’un potentiel important d’atténuation et d’adaptation, mais que le portefeuille précédent souffrait d’une structuration insuffisante. Les objectifs étaient agrégés au niveau sectoriel, sans ventilation par mesure, ce qui ne permettait pas d’identifier la contribution spécifique de chaque action aux 25 % de réduction attendus dans le secteur agriculture. Par ailleurs, aucune quantification des émissions évitées n’était disponible pour les mesures, y compris celles documentées comme réalisées. </w:t>
      </w:r>
      <w:r w:rsidR="00306EC6" w:rsidRPr="00306EC6">
        <w:t>Cette limite réduit la lisibilité de la performance climatique du secteur et ne permet pas une allocation optimale des financements climat ni un suivi rigoureux des résultats.</w:t>
      </w:r>
    </w:p>
    <w:p w14:paraId="08B9C173" w14:textId="665C2737" w:rsidR="005364CD" w:rsidRPr="003522DA" w:rsidRDefault="00A2514E" w:rsidP="003522DA">
      <w:pPr>
        <w:spacing w:after="240"/>
        <w:jc w:val="both"/>
      </w:pPr>
      <w:r w:rsidRPr="00A2514E">
        <w:t xml:space="preserve">Pour la CDN 3.0, le portefeuille agricole devrait donc être structuré autour d’un nombre limité de mesures consolidées, regroupant les projets similaires, avec pour chacune : un porteur clairement identifié, un calendrier, un budget, un statut de maturité, des indicateurs physiques, des indicateurs d’adaptation et une méthode de quantification des réductions d’émissions. Cette orientation est cohérente avec les recommandations </w:t>
      </w:r>
      <w:r w:rsidR="00086D21">
        <w:t>des parties prenantes</w:t>
      </w:r>
      <w:r w:rsidRPr="00A2514E">
        <w:t xml:space="preserve">, qui préconise de transformer chaque mesure en fiche-projet normalisée, de définir une méthodologie de quantification ex ante et ex post, et de décomposer les programmes trop larges en mesures ciblées et traçables. </w:t>
      </w:r>
      <w:r w:rsidR="00306EC6" w:rsidRPr="00306EC6">
        <w:t>Elle permet également d’assurer la comparabilité internationale des engagements du Mali et de renforcer la crédibilité technique de la CDN 3.0 dans le cadre du mécanisme de transparence renforcé de l’Accord de Paris.</w:t>
      </w:r>
    </w:p>
    <w:p w14:paraId="139FEAE5" w14:textId="677568D0" w:rsidR="00B54AE4" w:rsidRPr="005364CD" w:rsidRDefault="00D33C11" w:rsidP="005364CD">
      <w:pPr>
        <w:rPr>
          <w:b/>
          <w:bCs/>
          <w:u w:val="single"/>
        </w:rPr>
      </w:pPr>
      <w:r w:rsidRPr="00B25A47">
        <w:rPr>
          <w:b/>
          <w:bCs/>
          <w:u w:val="single"/>
        </w:rPr>
        <w:t xml:space="preserve">Mesures d’atténuation identifiées pour le secteur </w:t>
      </w:r>
      <w:r w:rsidR="005364CD">
        <w:rPr>
          <w:b/>
          <w:bCs/>
          <w:u w:val="single"/>
        </w:rPr>
        <w:t>de l’Agriculture</w:t>
      </w:r>
      <w:r>
        <w:rPr>
          <w:b/>
          <w:bCs/>
          <w:u w:val="single"/>
        </w:rPr>
        <w:t xml:space="preserve"> par les parties prenantes</w:t>
      </w:r>
    </w:p>
    <w:p w14:paraId="704AF1F3" w14:textId="6F0EF8F9" w:rsidR="00734FEF" w:rsidRDefault="00030085" w:rsidP="00734FEF">
      <w:pPr>
        <w:spacing w:after="240"/>
        <w:jc w:val="both"/>
      </w:pPr>
      <w:r w:rsidRPr="00030085">
        <w:t xml:space="preserve">Les consultations sectorielles menées dans le cadre de la préparation de la CDN 3.0 ont permis d’identifier un premier portefeuille de mesures d’atténuation proposées par les principales structures techniques du secteur </w:t>
      </w:r>
      <w:r w:rsidR="00CD7141">
        <w:t>Agriculture.</w:t>
      </w:r>
      <w:r w:rsidR="00983AE8" w:rsidRPr="00983AE8">
        <w:t xml:space="preserve"> Ces propositions ont été recueillies à travers les fiches de collecte transmises aux parties prenantes sectorielles.</w:t>
      </w:r>
    </w:p>
    <w:p w14:paraId="1A2AC20A" w14:textId="319573EC" w:rsidR="00290C94" w:rsidRDefault="00290C94" w:rsidP="00290C94">
      <w:pPr>
        <w:spacing w:after="240"/>
        <w:jc w:val="both"/>
      </w:pPr>
      <w:r w:rsidRPr="00290C94">
        <w:t>Les mesures identifiées couvrent principalement la riziculture durable, l’agriculture durable, l’agroécologie, la restauration de la fertilité des sols, la gestion durable des paysages, l’utilisation efficiente des engrais, ainsi que le renforcement du système MRV agriculture-élevage. La majorité des projets présentent des co-bénéfices importants en matière d’adaptation et d’atténuation, notamment à travers la réduction des émissions de CH₄ et de N₂O, le stockage du carbone dans les sols et la restauration des écosystèmes productifs.</w:t>
      </w:r>
      <w:r w:rsidR="00306EC6">
        <w:t xml:space="preserve"> </w:t>
      </w:r>
      <w:r w:rsidR="00306EC6" w:rsidRPr="00306EC6">
        <w:t>Ces mesures traduisent une convergence progressive vers des systèmes agricoles plus résilients, plus productifs et moins intensifs en carbone, en cohérence avec les orientations nationales en matière d’agriculture durable et de sécurité alimentaire.</w:t>
      </w:r>
    </w:p>
    <w:p w14:paraId="0D4C9401" w14:textId="5808CDC5" w:rsidR="00CC77B9" w:rsidRDefault="00734FEF" w:rsidP="00734FEF">
      <w:pPr>
        <w:spacing w:after="240"/>
        <w:jc w:val="both"/>
      </w:pPr>
      <w:r w:rsidRPr="00734FEF">
        <w:t>Le tableau ci-dessous présente la liste brute des mesures d’atténuation identifiées pour le secteur Agriculture dans le cadre de la CDN 3.0, ainsi que les porteurs institutionnels et les coûts prévisionnels renseignés lors des consultations sectorielles</w:t>
      </w:r>
      <w:r w:rsidR="004F0190">
        <w:t>.</w:t>
      </w:r>
      <w:r w:rsidR="00306EC6">
        <w:t xml:space="preserve"> </w:t>
      </w:r>
      <w:r w:rsidR="00306EC6" w:rsidRPr="00306EC6">
        <w:t>Cette base constitue un portefeuille initial à consolider, hiérarchiser et quantifier afin de définir les engagements finaux du Mali à l’horizon 2035.</w:t>
      </w:r>
    </w:p>
    <w:p w14:paraId="51A4F359" w14:textId="77777777" w:rsidR="00306EC6" w:rsidRDefault="00306EC6" w:rsidP="00734FEF">
      <w:pPr>
        <w:spacing w:after="240"/>
        <w:jc w:val="both"/>
      </w:pPr>
    </w:p>
    <w:p w14:paraId="45195E98" w14:textId="77777777" w:rsidR="00306EC6" w:rsidRPr="00734FEF" w:rsidRDefault="00306EC6" w:rsidP="00734FEF">
      <w:pPr>
        <w:spacing w:after="240"/>
        <w:jc w:val="both"/>
      </w:pPr>
    </w:p>
    <w:p w14:paraId="5AC81E8F" w14:textId="67424BD7" w:rsidR="009C5106" w:rsidRPr="004F0190" w:rsidRDefault="009C5106" w:rsidP="009C5106">
      <w:pPr>
        <w:pStyle w:val="Lgende"/>
        <w:keepNext/>
        <w:rPr>
          <w:sz w:val="20"/>
          <w:szCs w:val="20"/>
        </w:rPr>
      </w:pPr>
      <w:bookmarkStart w:id="51" w:name="_Toc234853942"/>
      <w:r w:rsidRPr="004F0190">
        <w:rPr>
          <w:sz w:val="20"/>
          <w:szCs w:val="20"/>
        </w:rPr>
        <w:lastRenderedPageBreak/>
        <w:t xml:space="preserve">Tableau </w:t>
      </w:r>
      <w:r w:rsidRPr="004F0190">
        <w:rPr>
          <w:sz w:val="20"/>
          <w:szCs w:val="20"/>
        </w:rPr>
        <w:fldChar w:fldCharType="begin"/>
      </w:r>
      <w:r w:rsidRPr="004F0190">
        <w:rPr>
          <w:sz w:val="20"/>
          <w:szCs w:val="20"/>
        </w:rPr>
        <w:instrText xml:space="preserve"> SEQ Tableau \* ARABIC </w:instrText>
      </w:r>
      <w:r w:rsidRPr="004F0190">
        <w:rPr>
          <w:sz w:val="20"/>
          <w:szCs w:val="20"/>
        </w:rPr>
        <w:fldChar w:fldCharType="separate"/>
      </w:r>
      <w:r w:rsidR="0018772E">
        <w:rPr>
          <w:noProof/>
          <w:sz w:val="20"/>
          <w:szCs w:val="20"/>
        </w:rPr>
        <w:t>18</w:t>
      </w:r>
      <w:r w:rsidRPr="004F0190">
        <w:rPr>
          <w:sz w:val="20"/>
          <w:szCs w:val="20"/>
        </w:rPr>
        <w:fldChar w:fldCharType="end"/>
      </w:r>
      <w:r w:rsidRPr="004F0190">
        <w:rPr>
          <w:sz w:val="20"/>
          <w:szCs w:val="20"/>
        </w:rPr>
        <w:t xml:space="preserve"> : Liste brute des mesures d’atténuation identifiées pour le secteur Agriculture dans le cadre de la CDN 3.0</w:t>
      </w:r>
      <w:bookmarkEnd w:id="51"/>
    </w:p>
    <w:tbl>
      <w:tblPr>
        <w:tblW w:w="5224" w:type="pct"/>
        <w:tblLayout w:type="fixed"/>
        <w:tblCellMar>
          <w:left w:w="70" w:type="dxa"/>
          <w:right w:w="70" w:type="dxa"/>
        </w:tblCellMar>
        <w:tblLook w:val="04A0" w:firstRow="1" w:lastRow="0" w:firstColumn="1" w:lastColumn="0" w:noHBand="0" w:noVBand="1"/>
      </w:tblPr>
      <w:tblGrid>
        <w:gridCol w:w="385"/>
        <w:gridCol w:w="2160"/>
        <w:gridCol w:w="2552"/>
        <w:gridCol w:w="3242"/>
        <w:gridCol w:w="1490"/>
      </w:tblGrid>
      <w:tr w:rsidR="00EE0440" w:rsidRPr="00496D27" w14:paraId="2830AFAB" w14:textId="77777777" w:rsidTr="00496D27">
        <w:trPr>
          <w:trHeight w:val="595"/>
        </w:trPr>
        <w:tc>
          <w:tcPr>
            <w:tcW w:w="196" w:type="pct"/>
            <w:tcBorders>
              <w:top w:val="single" w:sz="4" w:space="0" w:color="auto"/>
              <w:left w:val="single" w:sz="4" w:space="0" w:color="auto"/>
              <w:bottom w:val="nil"/>
              <w:right w:val="single" w:sz="4" w:space="0" w:color="auto"/>
            </w:tcBorders>
            <w:shd w:val="clear" w:color="000000" w:fill="153D64"/>
            <w:noWrap/>
            <w:vAlign w:val="center"/>
            <w:hideMark/>
          </w:tcPr>
          <w:p w14:paraId="2CABE25F" w14:textId="77777777" w:rsidR="00EE0440" w:rsidRPr="00496D27" w:rsidRDefault="00EE0440" w:rsidP="00EE0440">
            <w:pPr>
              <w:spacing w:after="0" w:line="240" w:lineRule="auto"/>
              <w:jc w:val="center"/>
              <w:rPr>
                <w:rFonts w:asciiTheme="minorHAnsi" w:eastAsia="Times New Roman" w:hAnsiTheme="minorHAnsi" w:cstheme="minorHAnsi"/>
                <w:b/>
                <w:color w:val="FFFFFF"/>
                <w:sz w:val="20"/>
                <w:szCs w:val="20"/>
                <w:lang w:eastAsia="fr-FR"/>
              </w:rPr>
            </w:pPr>
            <w:r w:rsidRPr="00496D27">
              <w:rPr>
                <w:rFonts w:asciiTheme="minorHAnsi" w:eastAsia="Times New Roman" w:hAnsiTheme="minorHAnsi" w:cstheme="minorHAnsi"/>
                <w:b/>
                <w:color w:val="FFFFFF"/>
                <w:sz w:val="20"/>
                <w:szCs w:val="20"/>
                <w:lang w:eastAsia="fr-FR"/>
              </w:rPr>
              <w:t>N°</w:t>
            </w:r>
          </w:p>
        </w:tc>
        <w:tc>
          <w:tcPr>
            <w:tcW w:w="1099" w:type="pct"/>
            <w:tcBorders>
              <w:top w:val="single" w:sz="4" w:space="0" w:color="auto"/>
              <w:left w:val="nil"/>
              <w:bottom w:val="single" w:sz="4" w:space="0" w:color="auto"/>
              <w:right w:val="single" w:sz="4" w:space="0" w:color="auto"/>
            </w:tcBorders>
            <w:shd w:val="clear" w:color="000000" w:fill="153D64"/>
            <w:noWrap/>
            <w:vAlign w:val="center"/>
            <w:hideMark/>
          </w:tcPr>
          <w:p w14:paraId="59181779" w14:textId="77777777" w:rsidR="00EE0440" w:rsidRPr="00496D27" w:rsidRDefault="00EE0440" w:rsidP="00EE0440">
            <w:pPr>
              <w:spacing w:after="0" w:line="240" w:lineRule="auto"/>
              <w:jc w:val="center"/>
              <w:rPr>
                <w:rFonts w:asciiTheme="minorHAnsi" w:eastAsia="Times New Roman" w:hAnsiTheme="minorHAnsi" w:cstheme="minorHAnsi"/>
                <w:b/>
                <w:color w:val="FFFFFF"/>
                <w:sz w:val="20"/>
                <w:szCs w:val="20"/>
                <w:lang w:eastAsia="fr-FR"/>
              </w:rPr>
            </w:pPr>
            <w:r w:rsidRPr="00496D27">
              <w:rPr>
                <w:rFonts w:asciiTheme="minorHAnsi" w:eastAsia="Times New Roman" w:hAnsiTheme="minorHAnsi" w:cstheme="minorHAnsi"/>
                <w:b/>
                <w:color w:val="FFFFFF"/>
                <w:sz w:val="20"/>
                <w:szCs w:val="20"/>
                <w:lang w:eastAsia="fr-FR"/>
              </w:rPr>
              <w:t>Porteur</w:t>
            </w:r>
          </w:p>
        </w:tc>
        <w:tc>
          <w:tcPr>
            <w:tcW w:w="1298" w:type="pct"/>
            <w:tcBorders>
              <w:top w:val="single" w:sz="4" w:space="0" w:color="auto"/>
              <w:left w:val="nil"/>
              <w:bottom w:val="nil"/>
              <w:right w:val="single" w:sz="4" w:space="0" w:color="auto"/>
            </w:tcBorders>
            <w:shd w:val="clear" w:color="000000" w:fill="153D64"/>
            <w:noWrap/>
            <w:vAlign w:val="center"/>
            <w:hideMark/>
          </w:tcPr>
          <w:p w14:paraId="0C49694F" w14:textId="6CFF2703" w:rsidR="00EE0440" w:rsidRPr="00496D27" w:rsidRDefault="00EE0440" w:rsidP="00EE0440">
            <w:pPr>
              <w:spacing w:after="0" w:line="240" w:lineRule="auto"/>
              <w:jc w:val="center"/>
              <w:rPr>
                <w:rFonts w:asciiTheme="minorHAnsi" w:eastAsia="Times New Roman" w:hAnsiTheme="minorHAnsi" w:cstheme="minorHAnsi"/>
                <w:b/>
                <w:color w:val="FFFFFF"/>
                <w:sz w:val="20"/>
                <w:szCs w:val="20"/>
                <w:lang w:eastAsia="fr-FR"/>
              </w:rPr>
            </w:pPr>
            <w:r w:rsidRPr="00496D27">
              <w:rPr>
                <w:rFonts w:asciiTheme="minorHAnsi" w:eastAsia="Times New Roman" w:hAnsiTheme="minorHAnsi" w:cstheme="minorHAnsi"/>
                <w:b/>
                <w:color w:val="FFFFFF"/>
                <w:sz w:val="20"/>
                <w:szCs w:val="20"/>
                <w:lang w:eastAsia="fr-FR"/>
              </w:rPr>
              <w:t>Source de proposition</w:t>
            </w:r>
          </w:p>
        </w:tc>
        <w:tc>
          <w:tcPr>
            <w:tcW w:w="1649" w:type="pct"/>
            <w:tcBorders>
              <w:top w:val="single" w:sz="4" w:space="0" w:color="auto"/>
              <w:left w:val="nil"/>
              <w:bottom w:val="single" w:sz="4" w:space="0" w:color="auto"/>
              <w:right w:val="single" w:sz="4" w:space="0" w:color="auto"/>
            </w:tcBorders>
            <w:shd w:val="clear" w:color="000000" w:fill="153D64"/>
            <w:noWrap/>
            <w:vAlign w:val="center"/>
            <w:hideMark/>
          </w:tcPr>
          <w:p w14:paraId="7759A1D6" w14:textId="77777777" w:rsidR="00EE0440" w:rsidRPr="00496D27" w:rsidRDefault="00EE0440" w:rsidP="00EE0440">
            <w:pPr>
              <w:spacing w:after="0" w:line="240" w:lineRule="auto"/>
              <w:jc w:val="center"/>
              <w:rPr>
                <w:rFonts w:asciiTheme="minorHAnsi" w:eastAsia="Times New Roman" w:hAnsiTheme="minorHAnsi" w:cstheme="minorHAnsi"/>
                <w:b/>
                <w:color w:val="FFFFFF"/>
                <w:sz w:val="20"/>
                <w:szCs w:val="20"/>
                <w:lang w:eastAsia="fr-FR"/>
              </w:rPr>
            </w:pPr>
            <w:r w:rsidRPr="00496D27">
              <w:rPr>
                <w:rFonts w:asciiTheme="minorHAnsi" w:eastAsia="Times New Roman" w:hAnsiTheme="minorHAnsi" w:cstheme="minorHAnsi"/>
                <w:b/>
                <w:color w:val="FFFFFF"/>
                <w:sz w:val="20"/>
                <w:szCs w:val="20"/>
                <w:lang w:eastAsia="fr-FR"/>
              </w:rPr>
              <w:t>Intitulé de projet/programme</w:t>
            </w:r>
          </w:p>
        </w:tc>
        <w:tc>
          <w:tcPr>
            <w:tcW w:w="758" w:type="pct"/>
            <w:tcBorders>
              <w:top w:val="single" w:sz="4" w:space="0" w:color="auto"/>
              <w:left w:val="nil"/>
              <w:bottom w:val="single" w:sz="4" w:space="0" w:color="auto"/>
              <w:right w:val="single" w:sz="4" w:space="0" w:color="auto"/>
            </w:tcBorders>
            <w:shd w:val="clear" w:color="000000" w:fill="153D64"/>
            <w:noWrap/>
            <w:vAlign w:val="center"/>
            <w:hideMark/>
          </w:tcPr>
          <w:p w14:paraId="44A27A0A" w14:textId="78C650AA" w:rsidR="00EE0440" w:rsidRPr="00496D27" w:rsidRDefault="00EE0440" w:rsidP="00EE0440">
            <w:pPr>
              <w:spacing w:after="0" w:line="240" w:lineRule="auto"/>
              <w:jc w:val="center"/>
              <w:rPr>
                <w:rFonts w:asciiTheme="minorHAnsi" w:eastAsia="Times New Roman" w:hAnsiTheme="minorHAnsi" w:cstheme="minorHAnsi"/>
                <w:b/>
                <w:color w:val="FFFFFF"/>
                <w:sz w:val="20"/>
                <w:szCs w:val="20"/>
                <w:lang w:eastAsia="fr-FR"/>
              </w:rPr>
            </w:pPr>
            <w:r w:rsidRPr="00496D27">
              <w:rPr>
                <w:rFonts w:asciiTheme="minorHAnsi" w:eastAsia="Times New Roman" w:hAnsiTheme="minorHAnsi" w:cstheme="minorHAnsi"/>
                <w:b/>
                <w:color w:val="FFFFFF"/>
                <w:sz w:val="20"/>
                <w:szCs w:val="20"/>
                <w:lang w:eastAsia="fr-FR"/>
              </w:rPr>
              <w:t>Coût en FCFA</w:t>
            </w:r>
          </w:p>
        </w:tc>
      </w:tr>
      <w:tr w:rsidR="00EE0440" w:rsidRPr="00496D27" w14:paraId="15996FFE" w14:textId="77777777" w:rsidTr="00496D27">
        <w:trPr>
          <w:trHeight w:val="920"/>
        </w:trPr>
        <w:tc>
          <w:tcPr>
            <w:tcW w:w="196" w:type="pct"/>
            <w:tcBorders>
              <w:top w:val="single" w:sz="4" w:space="0" w:color="auto"/>
              <w:left w:val="single" w:sz="4" w:space="0" w:color="auto"/>
              <w:bottom w:val="single" w:sz="4" w:space="0" w:color="auto"/>
              <w:right w:val="single" w:sz="4" w:space="0" w:color="auto"/>
            </w:tcBorders>
            <w:noWrap/>
            <w:vAlign w:val="center"/>
            <w:hideMark/>
          </w:tcPr>
          <w:p w14:paraId="6ED00B62" w14:textId="77777777" w:rsidR="00EE0440" w:rsidRPr="00496D27" w:rsidRDefault="00EE0440"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1</w:t>
            </w:r>
          </w:p>
        </w:tc>
        <w:tc>
          <w:tcPr>
            <w:tcW w:w="1099" w:type="pct"/>
            <w:tcBorders>
              <w:top w:val="nil"/>
              <w:left w:val="nil"/>
              <w:bottom w:val="single" w:sz="4" w:space="0" w:color="auto"/>
              <w:right w:val="single" w:sz="4" w:space="0" w:color="auto"/>
            </w:tcBorders>
            <w:vAlign w:val="center"/>
            <w:hideMark/>
          </w:tcPr>
          <w:p w14:paraId="3E51ADC1"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Direction nationale de l’agriculture (DNA)</w:t>
            </w:r>
          </w:p>
        </w:tc>
        <w:tc>
          <w:tcPr>
            <w:tcW w:w="1298" w:type="pct"/>
            <w:tcBorders>
              <w:top w:val="single" w:sz="4" w:space="0" w:color="auto"/>
              <w:left w:val="nil"/>
              <w:bottom w:val="single" w:sz="4" w:space="0" w:color="auto"/>
              <w:right w:val="single" w:sz="4" w:space="0" w:color="auto"/>
            </w:tcBorders>
            <w:noWrap/>
            <w:vAlign w:val="center"/>
            <w:hideMark/>
          </w:tcPr>
          <w:p w14:paraId="5E83A864" w14:textId="3E3BEF66" w:rsidR="00EE0440" w:rsidRPr="00496D27" w:rsidRDefault="00AB4291"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hAnsiTheme="minorHAnsi" w:cstheme="minorHAnsi"/>
                <w:sz w:val="20"/>
                <w:szCs w:val="20"/>
              </w:rPr>
              <w:t xml:space="preserve">Fiche de collecte transmise par la DNA </w:t>
            </w:r>
          </w:p>
        </w:tc>
        <w:tc>
          <w:tcPr>
            <w:tcW w:w="1649" w:type="pct"/>
            <w:tcBorders>
              <w:top w:val="nil"/>
              <w:left w:val="nil"/>
              <w:bottom w:val="single" w:sz="4" w:space="0" w:color="auto"/>
              <w:right w:val="single" w:sz="4" w:space="0" w:color="auto"/>
            </w:tcBorders>
            <w:vAlign w:val="center"/>
            <w:hideMark/>
          </w:tcPr>
          <w:p w14:paraId="7BDFF804"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Programme National de Mise à l'échelle du Système de riziculture Intensif (PN-SRI) au Mali</w:t>
            </w:r>
          </w:p>
        </w:tc>
        <w:tc>
          <w:tcPr>
            <w:tcW w:w="758" w:type="pct"/>
            <w:tcBorders>
              <w:top w:val="nil"/>
              <w:left w:val="nil"/>
              <w:bottom w:val="single" w:sz="4" w:space="0" w:color="auto"/>
              <w:right w:val="single" w:sz="4" w:space="0" w:color="auto"/>
            </w:tcBorders>
            <w:noWrap/>
            <w:vAlign w:val="center"/>
            <w:hideMark/>
          </w:tcPr>
          <w:p w14:paraId="5A3A9CAD" w14:textId="3363C189" w:rsidR="00EE0440" w:rsidRPr="00496D27" w:rsidRDefault="00EE0440" w:rsidP="00287D38">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14 112</w:t>
            </w:r>
            <w:r w:rsidR="00287D38" w:rsidRPr="00496D27">
              <w:rPr>
                <w:rFonts w:asciiTheme="minorHAnsi" w:eastAsia="Times New Roman" w:hAnsiTheme="minorHAnsi" w:cstheme="minorHAnsi"/>
                <w:color w:val="000000"/>
                <w:sz w:val="20"/>
                <w:szCs w:val="20"/>
                <w:lang w:eastAsia="fr-FR"/>
              </w:rPr>
              <w:t> </w:t>
            </w:r>
            <w:r w:rsidRPr="00496D27">
              <w:rPr>
                <w:rFonts w:asciiTheme="minorHAnsi" w:eastAsia="Times New Roman" w:hAnsiTheme="minorHAnsi" w:cstheme="minorHAnsi"/>
                <w:color w:val="000000"/>
                <w:sz w:val="20"/>
                <w:szCs w:val="20"/>
                <w:lang w:eastAsia="fr-FR"/>
              </w:rPr>
              <w:t>000 000</w:t>
            </w:r>
          </w:p>
        </w:tc>
      </w:tr>
      <w:tr w:rsidR="00EE0440" w:rsidRPr="00496D27" w14:paraId="7B8615BD" w14:textId="77777777" w:rsidTr="00496D27">
        <w:trPr>
          <w:trHeight w:val="930"/>
        </w:trPr>
        <w:tc>
          <w:tcPr>
            <w:tcW w:w="196" w:type="pct"/>
            <w:tcBorders>
              <w:top w:val="nil"/>
              <w:left w:val="single" w:sz="4" w:space="0" w:color="auto"/>
              <w:bottom w:val="single" w:sz="4" w:space="0" w:color="auto"/>
              <w:right w:val="single" w:sz="4" w:space="0" w:color="auto"/>
            </w:tcBorders>
            <w:noWrap/>
            <w:vAlign w:val="center"/>
            <w:hideMark/>
          </w:tcPr>
          <w:p w14:paraId="3A6A2044" w14:textId="77777777" w:rsidR="00EE0440" w:rsidRPr="00496D27" w:rsidRDefault="00EE0440"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2</w:t>
            </w:r>
          </w:p>
        </w:tc>
        <w:tc>
          <w:tcPr>
            <w:tcW w:w="1099" w:type="pct"/>
            <w:tcBorders>
              <w:top w:val="nil"/>
              <w:left w:val="nil"/>
              <w:bottom w:val="single" w:sz="4" w:space="0" w:color="auto"/>
              <w:right w:val="single" w:sz="4" w:space="0" w:color="auto"/>
            </w:tcBorders>
            <w:vAlign w:val="center"/>
            <w:hideMark/>
          </w:tcPr>
          <w:p w14:paraId="1464A500"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Direction nationale de l’agriculture (DNA)</w:t>
            </w:r>
          </w:p>
        </w:tc>
        <w:tc>
          <w:tcPr>
            <w:tcW w:w="1298" w:type="pct"/>
            <w:tcBorders>
              <w:top w:val="nil"/>
              <w:left w:val="nil"/>
              <w:bottom w:val="single" w:sz="4" w:space="0" w:color="auto"/>
              <w:right w:val="single" w:sz="4" w:space="0" w:color="auto"/>
            </w:tcBorders>
            <w:noWrap/>
            <w:vAlign w:val="center"/>
            <w:hideMark/>
          </w:tcPr>
          <w:p w14:paraId="741AB1BC" w14:textId="1E05C13E" w:rsidR="00EE0440" w:rsidRPr="00496D27" w:rsidRDefault="00AB4291"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hAnsiTheme="minorHAnsi" w:cstheme="minorHAnsi"/>
                <w:sz w:val="20"/>
                <w:szCs w:val="20"/>
              </w:rPr>
              <w:t>Fiche de collecte transmise par la DNA</w:t>
            </w:r>
          </w:p>
        </w:tc>
        <w:tc>
          <w:tcPr>
            <w:tcW w:w="1649" w:type="pct"/>
            <w:tcBorders>
              <w:top w:val="nil"/>
              <w:left w:val="nil"/>
              <w:bottom w:val="single" w:sz="4" w:space="0" w:color="auto"/>
              <w:right w:val="single" w:sz="4" w:space="0" w:color="auto"/>
            </w:tcBorders>
            <w:vAlign w:val="center"/>
            <w:hideMark/>
          </w:tcPr>
          <w:p w14:paraId="3F21771A"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Programme Promotion de la Production et de la productivité de l'Agriculture Durable au Mali</w:t>
            </w:r>
          </w:p>
        </w:tc>
        <w:tc>
          <w:tcPr>
            <w:tcW w:w="758" w:type="pct"/>
            <w:tcBorders>
              <w:top w:val="nil"/>
              <w:left w:val="nil"/>
              <w:bottom w:val="single" w:sz="4" w:space="0" w:color="auto"/>
              <w:right w:val="single" w:sz="4" w:space="0" w:color="auto"/>
            </w:tcBorders>
            <w:noWrap/>
            <w:vAlign w:val="center"/>
            <w:hideMark/>
          </w:tcPr>
          <w:p w14:paraId="01E2F964" w14:textId="77777777" w:rsidR="00EE0440" w:rsidRPr="00496D27" w:rsidRDefault="00EE0440" w:rsidP="00287D38">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26 981 000 000</w:t>
            </w:r>
          </w:p>
        </w:tc>
      </w:tr>
      <w:tr w:rsidR="00EE0440" w:rsidRPr="00496D27" w14:paraId="50744778" w14:textId="77777777" w:rsidTr="00496D27">
        <w:trPr>
          <w:trHeight w:val="980"/>
        </w:trPr>
        <w:tc>
          <w:tcPr>
            <w:tcW w:w="196" w:type="pct"/>
            <w:tcBorders>
              <w:top w:val="nil"/>
              <w:left w:val="single" w:sz="4" w:space="0" w:color="auto"/>
              <w:bottom w:val="single" w:sz="4" w:space="0" w:color="auto"/>
              <w:right w:val="single" w:sz="4" w:space="0" w:color="auto"/>
            </w:tcBorders>
            <w:noWrap/>
            <w:vAlign w:val="center"/>
            <w:hideMark/>
          </w:tcPr>
          <w:p w14:paraId="61FCFE81" w14:textId="77777777" w:rsidR="00EE0440" w:rsidRPr="00496D27" w:rsidRDefault="00EE0440"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3</w:t>
            </w:r>
          </w:p>
        </w:tc>
        <w:tc>
          <w:tcPr>
            <w:tcW w:w="1099" w:type="pct"/>
            <w:tcBorders>
              <w:top w:val="nil"/>
              <w:left w:val="nil"/>
              <w:bottom w:val="single" w:sz="4" w:space="0" w:color="auto"/>
              <w:right w:val="single" w:sz="4" w:space="0" w:color="auto"/>
            </w:tcBorders>
            <w:vAlign w:val="center"/>
            <w:hideMark/>
          </w:tcPr>
          <w:p w14:paraId="41BC7B99"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Direction nationale de l’agriculture (DNA)</w:t>
            </w:r>
          </w:p>
        </w:tc>
        <w:tc>
          <w:tcPr>
            <w:tcW w:w="1298" w:type="pct"/>
            <w:tcBorders>
              <w:top w:val="nil"/>
              <w:left w:val="nil"/>
              <w:bottom w:val="single" w:sz="4" w:space="0" w:color="auto"/>
              <w:right w:val="single" w:sz="4" w:space="0" w:color="auto"/>
            </w:tcBorders>
            <w:noWrap/>
            <w:vAlign w:val="center"/>
            <w:hideMark/>
          </w:tcPr>
          <w:p w14:paraId="76DE6329" w14:textId="0701BDB3" w:rsidR="00EE0440" w:rsidRPr="00496D27" w:rsidRDefault="00AB4291"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hAnsiTheme="minorHAnsi" w:cstheme="minorHAnsi"/>
                <w:sz w:val="20"/>
                <w:szCs w:val="20"/>
              </w:rPr>
              <w:t>Fiche de collecte transmise par la DNA</w:t>
            </w:r>
          </w:p>
        </w:tc>
        <w:tc>
          <w:tcPr>
            <w:tcW w:w="1649" w:type="pct"/>
            <w:tcBorders>
              <w:top w:val="nil"/>
              <w:left w:val="nil"/>
              <w:bottom w:val="single" w:sz="4" w:space="0" w:color="auto"/>
              <w:right w:val="single" w:sz="4" w:space="0" w:color="auto"/>
            </w:tcBorders>
            <w:vAlign w:val="center"/>
            <w:hideMark/>
          </w:tcPr>
          <w:p w14:paraId="4C8F2024"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 xml:space="preserve">Projet d’amélioration de la fertilité des sols et d’adaptions aux effets du Changement climatique </w:t>
            </w:r>
          </w:p>
        </w:tc>
        <w:tc>
          <w:tcPr>
            <w:tcW w:w="758" w:type="pct"/>
            <w:tcBorders>
              <w:top w:val="nil"/>
              <w:left w:val="nil"/>
              <w:bottom w:val="single" w:sz="4" w:space="0" w:color="auto"/>
              <w:right w:val="single" w:sz="4" w:space="0" w:color="auto"/>
            </w:tcBorders>
            <w:noWrap/>
            <w:vAlign w:val="center"/>
            <w:hideMark/>
          </w:tcPr>
          <w:p w14:paraId="29D0F5D9" w14:textId="77777777" w:rsidR="00EE0440" w:rsidRPr="00496D27" w:rsidRDefault="00EE0440" w:rsidP="00287D38">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10 638 000 000</w:t>
            </w:r>
          </w:p>
        </w:tc>
      </w:tr>
      <w:tr w:rsidR="00EE0440" w:rsidRPr="00496D27" w14:paraId="0E19AE28" w14:textId="77777777" w:rsidTr="00496D27">
        <w:trPr>
          <w:trHeight w:val="880"/>
        </w:trPr>
        <w:tc>
          <w:tcPr>
            <w:tcW w:w="196" w:type="pct"/>
            <w:tcBorders>
              <w:top w:val="nil"/>
              <w:left w:val="single" w:sz="4" w:space="0" w:color="auto"/>
              <w:bottom w:val="single" w:sz="4" w:space="0" w:color="auto"/>
              <w:right w:val="single" w:sz="4" w:space="0" w:color="auto"/>
            </w:tcBorders>
            <w:noWrap/>
            <w:vAlign w:val="center"/>
            <w:hideMark/>
          </w:tcPr>
          <w:p w14:paraId="17E6A4EE" w14:textId="77777777" w:rsidR="00EE0440" w:rsidRPr="00496D27" w:rsidRDefault="00EE0440"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4</w:t>
            </w:r>
          </w:p>
        </w:tc>
        <w:tc>
          <w:tcPr>
            <w:tcW w:w="1099" w:type="pct"/>
            <w:tcBorders>
              <w:top w:val="nil"/>
              <w:left w:val="nil"/>
              <w:bottom w:val="single" w:sz="4" w:space="0" w:color="auto"/>
              <w:right w:val="single" w:sz="4" w:space="0" w:color="auto"/>
            </w:tcBorders>
            <w:vAlign w:val="center"/>
            <w:hideMark/>
          </w:tcPr>
          <w:p w14:paraId="06520C3E"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Direction nationale de l’agriculture (DNA)</w:t>
            </w:r>
          </w:p>
        </w:tc>
        <w:tc>
          <w:tcPr>
            <w:tcW w:w="1298" w:type="pct"/>
            <w:tcBorders>
              <w:top w:val="nil"/>
              <w:left w:val="nil"/>
              <w:bottom w:val="single" w:sz="4" w:space="0" w:color="auto"/>
              <w:right w:val="single" w:sz="4" w:space="0" w:color="auto"/>
            </w:tcBorders>
            <w:noWrap/>
            <w:vAlign w:val="center"/>
            <w:hideMark/>
          </w:tcPr>
          <w:p w14:paraId="14AC4878" w14:textId="253FF744" w:rsidR="00EE0440" w:rsidRPr="00496D27" w:rsidRDefault="00AB4291"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hAnsiTheme="minorHAnsi" w:cstheme="minorHAnsi"/>
                <w:sz w:val="20"/>
                <w:szCs w:val="20"/>
              </w:rPr>
              <w:t>Fiche de collecte transmise par la DNA</w:t>
            </w:r>
          </w:p>
        </w:tc>
        <w:tc>
          <w:tcPr>
            <w:tcW w:w="1649" w:type="pct"/>
            <w:tcBorders>
              <w:top w:val="nil"/>
              <w:left w:val="nil"/>
              <w:bottom w:val="single" w:sz="4" w:space="0" w:color="auto"/>
              <w:right w:val="single" w:sz="4" w:space="0" w:color="auto"/>
            </w:tcBorders>
            <w:vAlign w:val="center"/>
            <w:hideMark/>
          </w:tcPr>
          <w:p w14:paraId="3064E1EF" w14:textId="695D3253"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 xml:space="preserve">Projet de promotion des systèmes de culture </w:t>
            </w:r>
            <w:r w:rsidR="00450A3A" w:rsidRPr="00496D27">
              <w:rPr>
                <w:rFonts w:asciiTheme="minorHAnsi" w:eastAsia="Times New Roman" w:hAnsiTheme="minorHAnsi" w:cstheme="minorHAnsi"/>
                <w:color w:val="000000"/>
                <w:sz w:val="20"/>
                <w:szCs w:val="20"/>
                <w:lang w:eastAsia="fr-FR"/>
              </w:rPr>
              <w:t>agroécologiques</w:t>
            </w:r>
            <w:r w:rsidRPr="00496D27">
              <w:rPr>
                <w:rFonts w:asciiTheme="minorHAnsi" w:eastAsia="Times New Roman" w:hAnsiTheme="minorHAnsi" w:cstheme="minorHAnsi"/>
                <w:color w:val="000000"/>
                <w:sz w:val="20"/>
                <w:szCs w:val="20"/>
                <w:lang w:eastAsia="fr-FR"/>
              </w:rPr>
              <w:t xml:space="preserve"> et de protection des sols au mali (PAESOL)</w:t>
            </w:r>
          </w:p>
        </w:tc>
        <w:tc>
          <w:tcPr>
            <w:tcW w:w="758" w:type="pct"/>
            <w:tcBorders>
              <w:top w:val="nil"/>
              <w:left w:val="nil"/>
              <w:bottom w:val="single" w:sz="4" w:space="0" w:color="auto"/>
              <w:right w:val="single" w:sz="4" w:space="0" w:color="auto"/>
            </w:tcBorders>
            <w:noWrap/>
            <w:vAlign w:val="center"/>
            <w:hideMark/>
          </w:tcPr>
          <w:p w14:paraId="293C6C76" w14:textId="77777777" w:rsidR="00EE0440" w:rsidRPr="00496D27" w:rsidRDefault="00EE0440" w:rsidP="00287D38">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 </w:t>
            </w:r>
          </w:p>
        </w:tc>
      </w:tr>
      <w:tr w:rsidR="00EE0440" w:rsidRPr="00496D27" w14:paraId="32D31F2C" w14:textId="77777777" w:rsidTr="00496D27">
        <w:trPr>
          <w:trHeight w:val="940"/>
        </w:trPr>
        <w:tc>
          <w:tcPr>
            <w:tcW w:w="196" w:type="pct"/>
            <w:tcBorders>
              <w:top w:val="nil"/>
              <w:left w:val="single" w:sz="4" w:space="0" w:color="auto"/>
              <w:bottom w:val="single" w:sz="4" w:space="0" w:color="auto"/>
              <w:right w:val="single" w:sz="4" w:space="0" w:color="auto"/>
            </w:tcBorders>
            <w:noWrap/>
            <w:vAlign w:val="center"/>
            <w:hideMark/>
          </w:tcPr>
          <w:p w14:paraId="0A3AEC5B" w14:textId="77777777" w:rsidR="00EE0440" w:rsidRPr="00496D27" w:rsidRDefault="00EE0440"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5</w:t>
            </w:r>
          </w:p>
        </w:tc>
        <w:tc>
          <w:tcPr>
            <w:tcW w:w="1099" w:type="pct"/>
            <w:tcBorders>
              <w:top w:val="nil"/>
              <w:left w:val="nil"/>
              <w:bottom w:val="single" w:sz="4" w:space="0" w:color="auto"/>
              <w:right w:val="single" w:sz="4" w:space="0" w:color="auto"/>
            </w:tcBorders>
            <w:vAlign w:val="center"/>
            <w:hideMark/>
          </w:tcPr>
          <w:p w14:paraId="118A1EE7"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Direction nationale de l’agriculture (DNA)</w:t>
            </w:r>
          </w:p>
        </w:tc>
        <w:tc>
          <w:tcPr>
            <w:tcW w:w="1298" w:type="pct"/>
            <w:tcBorders>
              <w:top w:val="nil"/>
              <w:left w:val="nil"/>
              <w:bottom w:val="single" w:sz="4" w:space="0" w:color="auto"/>
              <w:right w:val="single" w:sz="4" w:space="0" w:color="auto"/>
            </w:tcBorders>
            <w:noWrap/>
            <w:vAlign w:val="center"/>
            <w:hideMark/>
          </w:tcPr>
          <w:p w14:paraId="7AD02E19" w14:textId="1CCFF6DB" w:rsidR="00EE0440" w:rsidRPr="00496D27" w:rsidRDefault="00AB4291"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hAnsiTheme="minorHAnsi" w:cstheme="minorHAnsi"/>
                <w:sz w:val="20"/>
                <w:szCs w:val="20"/>
              </w:rPr>
              <w:t>Fiche de collecte transmise par la DNA</w:t>
            </w:r>
          </w:p>
        </w:tc>
        <w:tc>
          <w:tcPr>
            <w:tcW w:w="1649" w:type="pct"/>
            <w:tcBorders>
              <w:top w:val="nil"/>
              <w:left w:val="nil"/>
              <w:bottom w:val="single" w:sz="4" w:space="0" w:color="auto"/>
              <w:right w:val="single" w:sz="4" w:space="0" w:color="auto"/>
            </w:tcBorders>
            <w:vAlign w:val="center"/>
            <w:hideMark/>
          </w:tcPr>
          <w:p w14:paraId="1F857F67"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Programme de promotion des technologies de production et de l’utilisation de l’engrais organique et le Placement Profond des Engrais chimiques (PPE)</w:t>
            </w:r>
          </w:p>
        </w:tc>
        <w:tc>
          <w:tcPr>
            <w:tcW w:w="758" w:type="pct"/>
            <w:tcBorders>
              <w:top w:val="nil"/>
              <w:left w:val="nil"/>
              <w:bottom w:val="nil"/>
              <w:right w:val="single" w:sz="4" w:space="0" w:color="auto"/>
            </w:tcBorders>
            <w:noWrap/>
            <w:vAlign w:val="center"/>
            <w:hideMark/>
          </w:tcPr>
          <w:p w14:paraId="5F7551E1" w14:textId="77777777" w:rsidR="00EE0440" w:rsidRPr="00496D27" w:rsidRDefault="00EE0440" w:rsidP="00287D38">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8 250 000 000</w:t>
            </w:r>
          </w:p>
        </w:tc>
      </w:tr>
      <w:tr w:rsidR="00EE0440" w:rsidRPr="00496D27" w14:paraId="686CA7E3" w14:textId="77777777" w:rsidTr="00496D27">
        <w:trPr>
          <w:trHeight w:val="940"/>
        </w:trPr>
        <w:tc>
          <w:tcPr>
            <w:tcW w:w="196" w:type="pct"/>
            <w:tcBorders>
              <w:top w:val="nil"/>
              <w:left w:val="single" w:sz="4" w:space="0" w:color="auto"/>
              <w:bottom w:val="single" w:sz="4" w:space="0" w:color="auto"/>
              <w:right w:val="single" w:sz="4" w:space="0" w:color="auto"/>
            </w:tcBorders>
            <w:noWrap/>
            <w:vAlign w:val="center"/>
            <w:hideMark/>
          </w:tcPr>
          <w:p w14:paraId="685FAD2E" w14:textId="77777777" w:rsidR="00EE0440" w:rsidRPr="00496D27" w:rsidRDefault="00EE0440"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6</w:t>
            </w:r>
          </w:p>
        </w:tc>
        <w:tc>
          <w:tcPr>
            <w:tcW w:w="1099" w:type="pct"/>
            <w:tcBorders>
              <w:top w:val="nil"/>
              <w:left w:val="nil"/>
              <w:bottom w:val="single" w:sz="4" w:space="0" w:color="auto"/>
              <w:right w:val="single" w:sz="4" w:space="0" w:color="auto"/>
            </w:tcBorders>
            <w:vAlign w:val="center"/>
            <w:hideMark/>
          </w:tcPr>
          <w:p w14:paraId="3983A184"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Direction nationale de l’agriculture (DNA)</w:t>
            </w:r>
          </w:p>
        </w:tc>
        <w:tc>
          <w:tcPr>
            <w:tcW w:w="1298" w:type="pct"/>
            <w:tcBorders>
              <w:top w:val="nil"/>
              <w:left w:val="nil"/>
              <w:bottom w:val="single" w:sz="4" w:space="0" w:color="auto"/>
              <w:right w:val="single" w:sz="4" w:space="0" w:color="auto"/>
            </w:tcBorders>
            <w:noWrap/>
            <w:vAlign w:val="center"/>
            <w:hideMark/>
          </w:tcPr>
          <w:p w14:paraId="09D81CB3" w14:textId="6FFEEDA2" w:rsidR="00EE0440" w:rsidRPr="00496D27" w:rsidRDefault="00AB4291"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hAnsiTheme="minorHAnsi" w:cstheme="minorHAnsi"/>
                <w:sz w:val="20"/>
                <w:szCs w:val="20"/>
              </w:rPr>
              <w:t>Fiche de collecte transmise par la DNA</w:t>
            </w:r>
          </w:p>
        </w:tc>
        <w:tc>
          <w:tcPr>
            <w:tcW w:w="1649" w:type="pct"/>
            <w:tcBorders>
              <w:top w:val="nil"/>
              <w:left w:val="nil"/>
              <w:bottom w:val="single" w:sz="4" w:space="0" w:color="auto"/>
              <w:right w:val="single" w:sz="4" w:space="0" w:color="auto"/>
            </w:tcBorders>
            <w:vAlign w:val="center"/>
            <w:hideMark/>
          </w:tcPr>
          <w:p w14:paraId="42D1A70A"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Le projet Paysages Résilients, Productifs et Durables (PRPD)</w:t>
            </w:r>
          </w:p>
        </w:tc>
        <w:tc>
          <w:tcPr>
            <w:tcW w:w="758" w:type="pct"/>
            <w:tcBorders>
              <w:top w:val="single" w:sz="4" w:space="0" w:color="auto"/>
              <w:left w:val="nil"/>
              <w:bottom w:val="single" w:sz="4" w:space="0" w:color="auto"/>
              <w:right w:val="single" w:sz="4" w:space="0" w:color="auto"/>
            </w:tcBorders>
            <w:noWrap/>
            <w:vAlign w:val="center"/>
            <w:hideMark/>
          </w:tcPr>
          <w:p w14:paraId="00020454" w14:textId="77777777" w:rsidR="00EE0440" w:rsidRPr="00496D27" w:rsidRDefault="00EE0440" w:rsidP="00287D38">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27 875 000 000</w:t>
            </w:r>
          </w:p>
        </w:tc>
      </w:tr>
      <w:tr w:rsidR="00EE0440" w:rsidRPr="00496D27" w14:paraId="4B182BC0" w14:textId="77777777" w:rsidTr="00496D27">
        <w:trPr>
          <w:trHeight w:val="1260"/>
        </w:trPr>
        <w:tc>
          <w:tcPr>
            <w:tcW w:w="196" w:type="pct"/>
            <w:tcBorders>
              <w:top w:val="nil"/>
              <w:left w:val="single" w:sz="4" w:space="0" w:color="auto"/>
              <w:bottom w:val="single" w:sz="4" w:space="0" w:color="auto"/>
              <w:right w:val="single" w:sz="4" w:space="0" w:color="auto"/>
            </w:tcBorders>
            <w:noWrap/>
            <w:vAlign w:val="center"/>
            <w:hideMark/>
          </w:tcPr>
          <w:p w14:paraId="2B719119" w14:textId="77777777" w:rsidR="00EE0440" w:rsidRPr="00496D27" w:rsidRDefault="00EE0440"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7</w:t>
            </w:r>
          </w:p>
        </w:tc>
        <w:tc>
          <w:tcPr>
            <w:tcW w:w="1099" w:type="pct"/>
            <w:tcBorders>
              <w:top w:val="nil"/>
              <w:left w:val="nil"/>
              <w:bottom w:val="single" w:sz="4" w:space="0" w:color="auto"/>
              <w:right w:val="single" w:sz="4" w:space="0" w:color="auto"/>
            </w:tcBorders>
            <w:vAlign w:val="center"/>
            <w:hideMark/>
          </w:tcPr>
          <w:p w14:paraId="3ED8476C"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Direction nationale de l’agriculture (DNA)</w:t>
            </w:r>
          </w:p>
        </w:tc>
        <w:tc>
          <w:tcPr>
            <w:tcW w:w="1298" w:type="pct"/>
            <w:tcBorders>
              <w:top w:val="nil"/>
              <w:left w:val="nil"/>
              <w:bottom w:val="single" w:sz="4" w:space="0" w:color="auto"/>
              <w:right w:val="single" w:sz="4" w:space="0" w:color="auto"/>
            </w:tcBorders>
            <w:noWrap/>
            <w:vAlign w:val="center"/>
            <w:hideMark/>
          </w:tcPr>
          <w:p w14:paraId="0A38BDD3" w14:textId="77FCC28E" w:rsidR="00EE0440" w:rsidRPr="00496D27" w:rsidRDefault="00AB4291"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hAnsiTheme="minorHAnsi" w:cstheme="minorHAnsi"/>
                <w:sz w:val="20"/>
                <w:szCs w:val="20"/>
              </w:rPr>
              <w:t>Fiche de collecte transmise par la DNA</w:t>
            </w:r>
          </w:p>
        </w:tc>
        <w:tc>
          <w:tcPr>
            <w:tcW w:w="1649" w:type="pct"/>
            <w:tcBorders>
              <w:top w:val="nil"/>
              <w:left w:val="nil"/>
              <w:bottom w:val="single" w:sz="4" w:space="0" w:color="auto"/>
              <w:right w:val="single" w:sz="4" w:space="0" w:color="auto"/>
            </w:tcBorders>
            <w:vAlign w:val="center"/>
            <w:hideMark/>
          </w:tcPr>
          <w:p w14:paraId="3DD6F4FC" w14:textId="76EB6433"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 xml:space="preserve">Projet de Mise en place d’un centre d'innovations technologiques dans les agropoles de Kayes </w:t>
            </w:r>
            <w:r w:rsidR="000E6FB3" w:rsidRPr="00496D27">
              <w:rPr>
                <w:rFonts w:asciiTheme="minorHAnsi" w:eastAsia="Times New Roman" w:hAnsiTheme="minorHAnsi" w:cstheme="minorHAnsi"/>
                <w:color w:val="000000"/>
                <w:sz w:val="20"/>
                <w:szCs w:val="20"/>
                <w:lang w:eastAsia="fr-FR"/>
              </w:rPr>
              <w:t>-</w:t>
            </w:r>
            <w:r w:rsidRPr="00496D27">
              <w:rPr>
                <w:rFonts w:asciiTheme="minorHAnsi" w:eastAsia="Times New Roman" w:hAnsiTheme="minorHAnsi" w:cstheme="minorHAnsi"/>
                <w:color w:val="000000"/>
                <w:sz w:val="20"/>
                <w:szCs w:val="20"/>
                <w:lang w:eastAsia="fr-FR"/>
              </w:rPr>
              <w:t xml:space="preserve"> Sud, Koulikoro </w:t>
            </w:r>
            <w:r w:rsidR="000E6FB3" w:rsidRPr="00496D27">
              <w:rPr>
                <w:rFonts w:asciiTheme="minorHAnsi" w:eastAsia="Times New Roman" w:hAnsiTheme="minorHAnsi" w:cstheme="minorHAnsi"/>
                <w:color w:val="000000"/>
                <w:sz w:val="20"/>
                <w:szCs w:val="20"/>
                <w:lang w:eastAsia="fr-FR"/>
              </w:rPr>
              <w:t>-</w:t>
            </w:r>
            <w:r w:rsidRPr="00496D27">
              <w:rPr>
                <w:rFonts w:asciiTheme="minorHAnsi" w:eastAsia="Times New Roman" w:hAnsiTheme="minorHAnsi" w:cstheme="minorHAnsi"/>
                <w:color w:val="000000"/>
                <w:sz w:val="20"/>
                <w:szCs w:val="20"/>
                <w:lang w:eastAsia="fr-FR"/>
              </w:rPr>
              <w:t xml:space="preserve"> Péri-urbain de Bamako, Mali Sud, Zone office du Niger/Office Riz Ségou, Zone Lacustre</w:t>
            </w:r>
          </w:p>
        </w:tc>
        <w:tc>
          <w:tcPr>
            <w:tcW w:w="758" w:type="pct"/>
            <w:tcBorders>
              <w:top w:val="nil"/>
              <w:left w:val="nil"/>
              <w:bottom w:val="single" w:sz="4" w:space="0" w:color="auto"/>
              <w:right w:val="single" w:sz="4" w:space="0" w:color="auto"/>
            </w:tcBorders>
            <w:noWrap/>
            <w:vAlign w:val="center"/>
            <w:hideMark/>
          </w:tcPr>
          <w:p w14:paraId="7A813D43" w14:textId="77777777" w:rsidR="00EE0440" w:rsidRPr="00496D27" w:rsidRDefault="00EE0440" w:rsidP="00287D38">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5 500 000 000</w:t>
            </w:r>
          </w:p>
        </w:tc>
      </w:tr>
      <w:tr w:rsidR="00EE0440" w:rsidRPr="00496D27" w14:paraId="04D8D412" w14:textId="77777777" w:rsidTr="00496D27">
        <w:trPr>
          <w:trHeight w:val="835"/>
        </w:trPr>
        <w:tc>
          <w:tcPr>
            <w:tcW w:w="196" w:type="pct"/>
            <w:tcBorders>
              <w:top w:val="nil"/>
              <w:left w:val="single" w:sz="4" w:space="0" w:color="auto"/>
              <w:bottom w:val="single" w:sz="4" w:space="0" w:color="auto"/>
              <w:right w:val="single" w:sz="4" w:space="0" w:color="auto"/>
            </w:tcBorders>
            <w:noWrap/>
            <w:vAlign w:val="center"/>
            <w:hideMark/>
          </w:tcPr>
          <w:p w14:paraId="79533AB1" w14:textId="77777777" w:rsidR="00EE0440" w:rsidRPr="00496D27" w:rsidRDefault="00EE0440"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8</w:t>
            </w:r>
          </w:p>
        </w:tc>
        <w:tc>
          <w:tcPr>
            <w:tcW w:w="1099" w:type="pct"/>
            <w:tcBorders>
              <w:top w:val="nil"/>
              <w:left w:val="nil"/>
              <w:bottom w:val="single" w:sz="4" w:space="0" w:color="auto"/>
              <w:right w:val="single" w:sz="4" w:space="0" w:color="auto"/>
            </w:tcBorders>
            <w:vAlign w:val="center"/>
            <w:hideMark/>
          </w:tcPr>
          <w:p w14:paraId="08FF7F42"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Direction Nationale des productions et industries animales (DNPIA)</w:t>
            </w:r>
          </w:p>
        </w:tc>
        <w:tc>
          <w:tcPr>
            <w:tcW w:w="1298" w:type="pct"/>
            <w:tcBorders>
              <w:top w:val="nil"/>
              <w:left w:val="nil"/>
              <w:bottom w:val="single" w:sz="4" w:space="0" w:color="auto"/>
              <w:right w:val="single" w:sz="4" w:space="0" w:color="auto"/>
            </w:tcBorders>
            <w:noWrap/>
            <w:vAlign w:val="center"/>
            <w:hideMark/>
          </w:tcPr>
          <w:p w14:paraId="17C982E5" w14:textId="4895A307" w:rsidR="00AB4291" w:rsidRPr="00496D27" w:rsidRDefault="00AB4291"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hAnsiTheme="minorHAnsi" w:cstheme="minorHAnsi"/>
                <w:sz w:val="20"/>
                <w:szCs w:val="20"/>
              </w:rPr>
              <w:t>Fiche de collecte transmise par la DNPIA</w:t>
            </w:r>
          </w:p>
          <w:p w14:paraId="4CC1AA44" w14:textId="1120614C" w:rsidR="00EE0440" w:rsidRPr="00496D27" w:rsidRDefault="00AB4291" w:rsidP="00EE0440">
            <w:pPr>
              <w:spacing w:after="0" w:line="240" w:lineRule="auto"/>
              <w:jc w:val="center"/>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w:t>
            </w:r>
            <w:r w:rsidR="00EE0440" w:rsidRPr="00496D27">
              <w:rPr>
                <w:rFonts w:asciiTheme="minorHAnsi" w:eastAsia="Times New Roman" w:hAnsiTheme="minorHAnsi" w:cstheme="minorHAnsi"/>
                <w:color w:val="000000"/>
                <w:sz w:val="20"/>
                <w:szCs w:val="20"/>
                <w:lang w:eastAsia="fr-FR"/>
              </w:rPr>
              <w:t>CDN 2.0</w:t>
            </w:r>
            <w:r w:rsidRPr="00496D27">
              <w:rPr>
                <w:rFonts w:asciiTheme="minorHAnsi" w:eastAsia="Times New Roman" w:hAnsiTheme="minorHAnsi" w:cstheme="minorHAnsi"/>
                <w:color w:val="000000"/>
                <w:sz w:val="20"/>
                <w:szCs w:val="20"/>
                <w:lang w:eastAsia="fr-FR"/>
              </w:rPr>
              <w:t>)</w:t>
            </w:r>
          </w:p>
        </w:tc>
        <w:tc>
          <w:tcPr>
            <w:tcW w:w="1649" w:type="pct"/>
            <w:tcBorders>
              <w:top w:val="nil"/>
              <w:left w:val="nil"/>
              <w:bottom w:val="single" w:sz="4" w:space="0" w:color="auto"/>
              <w:right w:val="single" w:sz="4" w:space="0" w:color="auto"/>
            </w:tcBorders>
            <w:vAlign w:val="center"/>
            <w:hideMark/>
          </w:tcPr>
          <w:p w14:paraId="3CADE1BF" w14:textId="77777777" w:rsidR="00EE0440" w:rsidRPr="00496D27" w:rsidRDefault="00EE0440" w:rsidP="00EE0440">
            <w:pPr>
              <w:spacing w:after="0" w:line="240" w:lineRule="auto"/>
              <w:rPr>
                <w:rFonts w:asciiTheme="minorHAnsi" w:eastAsia="Times New Roman" w:hAnsiTheme="minorHAnsi" w:cstheme="minorHAnsi"/>
                <w:color w:val="000000"/>
                <w:sz w:val="20"/>
                <w:szCs w:val="20"/>
                <w:lang w:eastAsia="fr-FR"/>
              </w:rPr>
            </w:pPr>
            <w:r w:rsidRPr="00496D27">
              <w:rPr>
                <w:rFonts w:asciiTheme="minorHAnsi" w:eastAsia="Times New Roman" w:hAnsiTheme="minorHAnsi" w:cstheme="minorHAnsi"/>
                <w:color w:val="000000"/>
                <w:sz w:val="20"/>
                <w:szCs w:val="20"/>
                <w:lang w:eastAsia="fr-FR"/>
              </w:rPr>
              <w:t xml:space="preserve">Projet d’aménagement pastoral résilient aux changements climatiques </w:t>
            </w:r>
          </w:p>
        </w:tc>
        <w:tc>
          <w:tcPr>
            <w:tcW w:w="758" w:type="pct"/>
            <w:tcBorders>
              <w:top w:val="nil"/>
              <w:left w:val="nil"/>
              <w:bottom w:val="single" w:sz="4" w:space="0" w:color="auto"/>
              <w:right w:val="single" w:sz="4" w:space="0" w:color="auto"/>
            </w:tcBorders>
            <w:noWrap/>
            <w:vAlign w:val="center"/>
            <w:hideMark/>
          </w:tcPr>
          <w:p w14:paraId="75BA3D91" w14:textId="20048FE4" w:rsidR="00EE0440" w:rsidRPr="00496D27" w:rsidRDefault="008772CF" w:rsidP="00496D27">
            <w:pPr>
              <w:spacing w:after="0" w:line="240" w:lineRule="auto"/>
              <w:jc w:val="center"/>
              <w:rPr>
                <w:rFonts w:asciiTheme="minorHAnsi" w:eastAsia="Times New Roman" w:hAnsiTheme="minorHAnsi" w:cstheme="minorHAnsi"/>
                <w:color w:val="000000"/>
                <w:sz w:val="20"/>
                <w:szCs w:val="20"/>
                <w:lang w:eastAsia="fr-FR"/>
              </w:rPr>
            </w:pPr>
            <w:r>
              <w:rPr>
                <w:rFonts w:asciiTheme="minorHAnsi" w:eastAsia="Times New Roman" w:hAnsiTheme="minorHAnsi" w:cstheme="minorHAnsi"/>
                <w:color w:val="000000"/>
                <w:sz w:val="20"/>
                <w:szCs w:val="20"/>
                <w:lang w:eastAsia="fr-FR"/>
              </w:rPr>
              <w:t>Non déter</w:t>
            </w:r>
            <w:r w:rsidR="00911EEF">
              <w:rPr>
                <w:rFonts w:asciiTheme="minorHAnsi" w:eastAsia="Times New Roman" w:hAnsiTheme="minorHAnsi" w:cstheme="minorHAnsi"/>
                <w:color w:val="000000"/>
                <w:sz w:val="20"/>
                <w:szCs w:val="20"/>
                <w:lang w:eastAsia="fr-FR"/>
              </w:rPr>
              <w:t>m</w:t>
            </w:r>
            <w:r>
              <w:rPr>
                <w:rFonts w:asciiTheme="minorHAnsi" w:eastAsia="Times New Roman" w:hAnsiTheme="minorHAnsi" w:cstheme="minorHAnsi"/>
                <w:color w:val="000000"/>
                <w:sz w:val="20"/>
                <w:szCs w:val="20"/>
                <w:lang w:eastAsia="fr-FR"/>
              </w:rPr>
              <w:t xml:space="preserve">iné </w:t>
            </w:r>
            <w:r w:rsidR="00496D27">
              <w:rPr>
                <w:rFonts w:asciiTheme="minorHAnsi" w:eastAsia="Times New Roman" w:hAnsiTheme="minorHAnsi" w:cstheme="minorHAnsi"/>
                <w:color w:val="000000"/>
                <w:sz w:val="20"/>
                <w:szCs w:val="20"/>
                <w:lang w:eastAsia="fr-FR"/>
              </w:rPr>
              <w:t>?</w:t>
            </w:r>
          </w:p>
        </w:tc>
      </w:tr>
    </w:tbl>
    <w:p w14:paraId="5C66C39C" w14:textId="77777777" w:rsidR="00745DEE" w:rsidRPr="00745DEE" w:rsidRDefault="00745DEE" w:rsidP="00745DEE"/>
    <w:p w14:paraId="529B6127" w14:textId="77777777" w:rsidR="007932F7" w:rsidRPr="001F64BE" w:rsidRDefault="007932F7" w:rsidP="002C3767">
      <w:pPr>
        <w:pStyle w:val="Titre3"/>
        <w:numPr>
          <w:ilvl w:val="2"/>
          <w:numId w:val="21"/>
        </w:numPr>
      </w:pPr>
      <w:bookmarkStart w:id="52" w:name="_Toc234853872"/>
      <w:r w:rsidRPr="001F64BE">
        <w:t>Ligne de base et projections des émissions</w:t>
      </w:r>
      <w:bookmarkEnd w:id="52"/>
    </w:p>
    <w:p w14:paraId="474B8D76" w14:textId="09159715" w:rsidR="00B92466" w:rsidRPr="00B92466" w:rsidRDefault="001A676D" w:rsidP="00FE4B4A">
      <w:pPr>
        <w:jc w:val="both"/>
      </w:pPr>
      <w:r w:rsidRPr="001A676D">
        <w:t xml:space="preserve">La </w:t>
      </w:r>
      <w:r w:rsidRPr="00FE4B4A">
        <w:t xml:space="preserve">construction de la ligne de base pour le secteur de l'Agriculture dans le cadre de l'élaboration de la CDN 3.0 du Mali a été réalisée à l'aide de l'outil LEAP-SEI </w:t>
      </w:r>
      <w:r w:rsidR="00FE4B4A" w:rsidRPr="00FE4B4A">
        <w:t>(Low Emissions Analysis Platform</w:t>
      </w:r>
      <w:r w:rsidRPr="00FE4B4A">
        <w:t>), conformément aux Lignes directrices 2006 du GIEC pour les inventaires nationaux de gaz à effet de serre (et leurs raffinements 2019).</w:t>
      </w:r>
      <w:r w:rsidR="00306EC6" w:rsidRPr="00306EC6">
        <w:t xml:space="preserve"> Cette approche permet d’assurer une modélisation cohérente, transparente et compatible avec les exigences du Cadre de Transparence Renforcé de l’Accord de Paris.</w:t>
      </w:r>
    </w:p>
    <w:p w14:paraId="7848B847" w14:textId="77777777" w:rsidR="007A2CCD" w:rsidRDefault="007A2CCD" w:rsidP="007A2CCD">
      <w:pPr>
        <w:jc w:val="both"/>
      </w:pPr>
      <w:r>
        <w:t>Le périmètre couvre exclusivement le secteur Agriculture (catégorie 3 du GIEC, hors UTCATF et Foresterie). Les catégories intégrées sont les suivantes :</w:t>
      </w:r>
    </w:p>
    <w:p w14:paraId="1EA17CA9" w14:textId="06DDCE15" w:rsidR="00A90CEC" w:rsidRPr="00A90CEC" w:rsidRDefault="00A90CEC" w:rsidP="00A90CEC">
      <w:pPr>
        <w:pStyle w:val="Lgende"/>
        <w:keepNext/>
        <w:rPr>
          <w:sz w:val="20"/>
          <w:szCs w:val="20"/>
        </w:rPr>
      </w:pPr>
      <w:bookmarkStart w:id="53" w:name="_Toc234853943"/>
      <w:r w:rsidRPr="00A90CEC">
        <w:rPr>
          <w:sz w:val="20"/>
          <w:szCs w:val="20"/>
        </w:rPr>
        <w:lastRenderedPageBreak/>
        <w:t xml:space="preserve">Tableau </w:t>
      </w:r>
      <w:r w:rsidRPr="00A90CEC">
        <w:rPr>
          <w:sz w:val="20"/>
          <w:szCs w:val="20"/>
        </w:rPr>
        <w:fldChar w:fldCharType="begin"/>
      </w:r>
      <w:r w:rsidRPr="00A90CEC">
        <w:rPr>
          <w:sz w:val="20"/>
          <w:szCs w:val="20"/>
        </w:rPr>
        <w:instrText xml:space="preserve"> SEQ Tableau \* ARABIC </w:instrText>
      </w:r>
      <w:r w:rsidRPr="00A90CEC">
        <w:rPr>
          <w:sz w:val="20"/>
          <w:szCs w:val="20"/>
        </w:rPr>
        <w:fldChar w:fldCharType="separate"/>
      </w:r>
      <w:r w:rsidR="0018772E">
        <w:rPr>
          <w:noProof/>
          <w:sz w:val="20"/>
          <w:szCs w:val="20"/>
        </w:rPr>
        <w:t>19</w:t>
      </w:r>
      <w:r w:rsidRPr="00A90CEC">
        <w:rPr>
          <w:sz w:val="20"/>
          <w:szCs w:val="20"/>
        </w:rPr>
        <w:fldChar w:fldCharType="end"/>
      </w:r>
      <w:r w:rsidRPr="00E35393">
        <w:rPr>
          <w:sz w:val="20"/>
          <w:szCs w:val="20"/>
        </w:rPr>
        <w:t xml:space="preserve"> : Sources d'émissions de GES du secteur agricole — classification GIEC 2006</w:t>
      </w:r>
      <w:bookmarkEnd w:id="53"/>
    </w:p>
    <w:tbl>
      <w:tblPr>
        <w:tblStyle w:val="Grilledutableau"/>
        <w:tblW w:w="9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3883"/>
        <w:gridCol w:w="1317"/>
        <w:gridCol w:w="2924"/>
      </w:tblGrid>
      <w:tr w:rsidR="007A2CCD" w:rsidRPr="005137EC" w14:paraId="4E7C95B0" w14:textId="77777777" w:rsidTr="00344C6B">
        <w:tc>
          <w:tcPr>
            <w:tcW w:w="0" w:type="auto"/>
            <w:shd w:val="clear" w:color="auto" w:fill="1F3864" w:themeFill="accent5" w:themeFillShade="80"/>
            <w:vAlign w:val="center"/>
            <w:hideMark/>
          </w:tcPr>
          <w:p w14:paraId="781EDD65" w14:textId="77777777" w:rsidR="007A2CCD" w:rsidRPr="005137EC" w:rsidRDefault="007A2CCD" w:rsidP="007A2CCD">
            <w:pPr>
              <w:rPr>
                <w:rFonts w:eastAsia="Times New Roman"/>
                <w:b/>
                <w:sz w:val="20"/>
                <w:szCs w:val="20"/>
                <w:lang w:val="en-US" w:eastAsia="en-US"/>
              </w:rPr>
            </w:pPr>
            <w:r w:rsidRPr="005137EC">
              <w:rPr>
                <w:rFonts w:eastAsia="Times New Roman"/>
                <w:b/>
                <w:sz w:val="20"/>
                <w:szCs w:val="20"/>
                <w:lang w:val="en-US" w:eastAsia="en-US"/>
              </w:rPr>
              <w:t>Catégorie IPCC</w:t>
            </w:r>
          </w:p>
        </w:tc>
        <w:tc>
          <w:tcPr>
            <w:tcW w:w="0" w:type="auto"/>
            <w:shd w:val="clear" w:color="auto" w:fill="1F3864" w:themeFill="accent5" w:themeFillShade="80"/>
            <w:vAlign w:val="center"/>
            <w:hideMark/>
          </w:tcPr>
          <w:p w14:paraId="532056B0" w14:textId="77777777" w:rsidR="007A2CCD" w:rsidRPr="005137EC" w:rsidRDefault="007A2CCD" w:rsidP="00344C6B">
            <w:pPr>
              <w:jc w:val="both"/>
              <w:rPr>
                <w:rFonts w:eastAsia="Times New Roman"/>
                <w:b/>
                <w:sz w:val="20"/>
                <w:szCs w:val="20"/>
                <w:lang w:val="en-US" w:eastAsia="en-US"/>
              </w:rPr>
            </w:pPr>
            <w:r w:rsidRPr="005137EC">
              <w:rPr>
                <w:rFonts w:eastAsia="Times New Roman"/>
                <w:b/>
                <w:sz w:val="20"/>
                <w:szCs w:val="20"/>
                <w:lang w:val="en-US" w:eastAsia="en-US"/>
              </w:rPr>
              <w:t>Source d'émission</w:t>
            </w:r>
          </w:p>
        </w:tc>
        <w:tc>
          <w:tcPr>
            <w:tcW w:w="0" w:type="auto"/>
            <w:shd w:val="clear" w:color="auto" w:fill="1F3864" w:themeFill="accent5" w:themeFillShade="80"/>
            <w:vAlign w:val="center"/>
            <w:hideMark/>
          </w:tcPr>
          <w:p w14:paraId="1AAA8677" w14:textId="77777777" w:rsidR="007A2CCD" w:rsidRPr="005137EC" w:rsidRDefault="007A2CCD" w:rsidP="00344C6B">
            <w:pPr>
              <w:jc w:val="both"/>
              <w:rPr>
                <w:rFonts w:eastAsia="Times New Roman"/>
                <w:b/>
                <w:sz w:val="20"/>
                <w:szCs w:val="20"/>
                <w:lang w:val="en-US" w:eastAsia="en-US"/>
              </w:rPr>
            </w:pPr>
            <w:r w:rsidRPr="005137EC">
              <w:rPr>
                <w:rFonts w:eastAsia="Times New Roman"/>
                <w:b/>
                <w:sz w:val="20"/>
                <w:szCs w:val="20"/>
                <w:lang w:val="en-US" w:eastAsia="en-US"/>
              </w:rPr>
              <w:t>Gaz principaux</w:t>
            </w:r>
          </w:p>
        </w:tc>
        <w:tc>
          <w:tcPr>
            <w:tcW w:w="0" w:type="auto"/>
            <w:shd w:val="clear" w:color="auto" w:fill="1F3864" w:themeFill="accent5" w:themeFillShade="80"/>
            <w:vAlign w:val="center"/>
            <w:hideMark/>
          </w:tcPr>
          <w:p w14:paraId="1AF5459F" w14:textId="77777777" w:rsidR="007A2CCD" w:rsidRPr="005137EC" w:rsidRDefault="007A2CCD" w:rsidP="00344C6B">
            <w:pPr>
              <w:jc w:val="both"/>
              <w:rPr>
                <w:rFonts w:eastAsia="Times New Roman"/>
                <w:b/>
                <w:sz w:val="20"/>
                <w:szCs w:val="20"/>
                <w:lang w:val="en-US" w:eastAsia="en-US"/>
              </w:rPr>
            </w:pPr>
            <w:r w:rsidRPr="005137EC">
              <w:rPr>
                <w:rFonts w:eastAsia="Times New Roman"/>
                <w:b/>
                <w:sz w:val="20"/>
                <w:szCs w:val="20"/>
                <w:lang w:val="en-US" w:eastAsia="en-US"/>
              </w:rPr>
              <w:t>Origine</w:t>
            </w:r>
          </w:p>
        </w:tc>
      </w:tr>
      <w:tr w:rsidR="007A2CCD" w:rsidRPr="005137EC" w14:paraId="5F62CEA8" w14:textId="77777777" w:rsidTr="005137EC">
        <w:trPr>
          <w:trHeight w:val="488"/>
        </w:trPr>
        <w:tc>
          <w:tcPr>
            <w:tcW w:w="0" w:type="auto"/>
            <w:vAlign w:val="center"/>
            <w:hideMark/>
          </w:tcPr>
          <w:p w14:paraId="1C87723B" w14:textId="77777777" w:rsidR="007A2CCD" w:rsidRPr="005137EC" w:rsidRDefault="007A2CCD" w:rsidP="007A2CCD">
            <w:pPr>
              <w:rPr>
                <w:rFonts w:eastAsia="Times New Roman"/>
                <w:sz w:val="20"/>
                <w:szCs w:val="20"/>
                <w:lang w:eastAsia="en-US"/>
              </w:rPr>
            </w:pPr>
            <w:r w:rsidRPr="005137EC">
              <w:rPr>
                <w:rFonts w:eastAsia="Times New Roman"/>
                <w:b/>
                <w:sz w:val="20"/>
                <w:szCs w:val="20"/>
                <w:lang w:eastAsia="en-US"/>
              </w:rPr>
              <w:t>3.A.1</w:t>
            </w:r>
          </w:p>
        </w:tc>
        <w:tc>
          <w:tcPr>
            <w:tcW w:w="0" w:type="auto"/>
            <w:vAlign w:val="center"/>
            <w:hideMark/>
          </w:tcPr>
          <w:p w14:paraId="13360D7D" w14:textId="77777777" w:rsidR="007A2CCD" w:rsidRPr="005137EC" w:rsidRDefault="007A2CCD" w:rsidP="00344C6B">
            <w:pPr>
              <w:jc w:val="both"/>
              <w:rPr>
                <w:rFonts w:eastAsia="Times New Roman"/>
                <w:sz w:val="20"/>
                <w:szCs w:val="20"/>
                <w:lang w:eastAsia="en-US"/>
              </w:rPr>
            </w:pPr>
            <w:r w:rsidRPr="005137EC">
              <w:rPr>
                <w:rFonts w:eastAsia="Times New Roman"/>
                <w:sz w:val="20"/>
                <w:szCs w:val="20"/>
                <w:lang w:eastAsia="en-US"/>
              </w:rPr>
              <w:t>Fermentation entérique</w:t>
            </w:r>
          </w:p>
        </w:tc>
        <w:tc>
          <w:tcPr>
            <w:tcW w:w="0" w:type="auto"/>
            <w:vAlign w:val="center"/>
            <w:hideMark/>
          </w:tcPr>
          <w:p w14:paraId="1BB035E6" w14:textId="77777777" w:rsidR="007A2CCD" w:rsidRPr="005137EC" w:rsidRDefault="007A2CCD" w:rsidP="00344C6B">
            <w:pPr>
              <w:jc w:val="center"/>
              <w:rPr>
                <w:rFonts w:eastAsia="Times New Roman"/>
                <w:sz w:val="20"/>
                <w:szCs w:val="20"/>
                <w:lang w:eastAsia="en-US"/>
              </w:rPr>
            </w:pPr>
            <w:r w:rsidRPr="005137EC">
              <w:rPr>
                <w:rFonts w:eastAsia="Times New Roman"/>
                <w:sz w:val="20"/>
                <w:szCs w:val="20"/>
                <w:lang w:eastAsia="en-US"/>
              </w:rPr>
              <w:t>CH₄</w:t>
            </w:r>
          </w:p>
        </w:tc>
        <w:tc>
          <w:tcPr>
            <w:tcW w:w="0" w:type="auto"/>
            <w:vAlign w:val="center"/>
            <w:hideMark/>
          </w:tcPr>
          <w:p w14:paraId="521088F4" w14:textId="77777777" w:rsidR="007A2CCD" w:rsidRPr="005137EC" w:rsidRDefault="007A2CCD" w:rsidP="00344C6B">
            <w:pPr>
              <w:jc w:val="both"/>
              <w:rPr>
                <w:rFonts w:eastAsia="Times New Roman"/>
                <w:sz w:val="20"/>
                <w:szCs w:val="20"/>
                <w:lang w:eastAsia="en-US"/>
              </w:rPr>
            </w:pPr>
            <w:r w:rsidRPr="005137EC">
              <w:rPr>
                <w:rFonts w:eastAsia="Times New Roman"/>
                <w:sz w:val="20"/>
                <w:szCs w:val="20"/>
                <w:lang w:eastAsia="en-US"/>
              </w:rPr>
              <w:t>Ruminants (bovins, ovins, caprins, camélidés)</w:t>
            </w:r>
          </w:p>
        </w:tc>
      </w:tr>
      <w:tr w:rsidR="007A2CCD" w:rsidRPr="005137EC" w14:paraId="7932A493" w14:textId="77777777" w:rsidTr="005137EC">
        <w:trPr>
          <w:trHeight w:val="488"/>
        </w:trPr>
        <w:tc>
          <w:tcPr>
            <w:tcW w:w="0" w:type="auto"/>
            <w:vAlign w:val="center"/>
            <w:hideMark/>
          </w:tcPr>
          <w:p w14:paraId="6C9EF0F3" w14:textId="77777777" w:rsidR="007A2CCD" w:rsidRPr="005137EC" w:rsidRDefault="007A2CCD" w:rsidP="007A2CCD">
            <w:pPr>
              <w:rPr>
                <w:rFonts w:eastAsia="Times New Roman"/>
                <w:sz w:val="20"/>
                <w:szCs w:val="20"/>
                <w:lang w:eastAsia="en-US"/>
              </w:rPr>
            </w:pPr>
            <w:r w:rsidRPr="005137EC">
              <w:rPr>
                <w:rFonts w:eastAsia="Times New Roman"/>
                <w:b/>
                <w:sz w:val="20"/>
                <w:szCs w:val="20"/>
                <w:lang w:eastAsia="en-US"/>
              </w:rPr>
              <w:t>3.A.2</w:t>
            </w:r>
          </w:p>
        </w:tc>
        <w:tc>
          <w:tcPr>
            <w:tcW w:w="0" w:type="auto"/>
            <w:vAlign w:val="center"/>
            <w:hideMark/>
          </w:tcPr>
          <w:p w14:paraId="288E8607" w14:textId="77777777" w:rsidR="007A2CCD" w:rsidRPr="005137EC" w:rsidRDefault="007A2CCD" w:rsidP="00344C6B">
            <w:pPr>
              <w:jc w:val="both"/>
              <w:rPr>
                <w:rFonts w:eastAsia="Times New Roman"/>
                <w:sz w:val="20"/>
                <w:szCs w:val="20"/>
                <w:lang w:eastAsia="en-US"/>
              </w:rPr>
            </w:pPr>
            <w:r w:rsidRPr="005137EC">
              <w:rPr>
                <w:rFonts w:eastAsia="Times New Roman"/>
                <w:sz w:val="20"/>
                <w:szCs w:val="20"/>
                <w:lang w:eastAsia="en-US"/>
              </w:rPr>
              <w:t>Gestion du fumier</w:t>
            </w:r>
          </w:p>
        </w:tc>
        <w:tc>
          <w:tcPr>
            <w:tcW w:w="0" w:type="auto"/>
            <w:vAlign w:val="center"/>
            <w:hideMark/>
          </w:tcPr>
          <w:p w14:paraId="7EB875CF" w14:textId="77777777" w:rsidR="007A2CCD" w:rsidRPr="005137EC" w:rsidRDefault="007A2CCD" w:rsidP="00344C6B">
            <w:pPr>
              <w:jc w:val="center"/>
              <w:rPr>
                <w:rFonts w:eastAsia="Times New Roman"/>
                <w:sz w:val="20"/>
                <w:szCs w:val="20"/>
                <w:lang w:eastAsia="en-US"/>
              </w:rPr>
            </w:pPr>
            <w:r w:rsidRPr="005137EC">
              <w:rPr>
                <w:rFonts w:eastAsia="Times New Roman"/>
                <w:sz w:val="20"/>
                <w:szCs w:val="20"/>
                <w:lang w:eastAsia="en-US"/>
              </w:rPr>
              <w:t>CH₄, N₂O</w:t>
            </w:r>
          </w:p>
        </w:tc>
        <w:tc>
          <w:tcPr>
            <w:tcW w:w="0" w:type="auto"/>
            <w:vAlign w:val="center"/>
            <w:hideMark/>
          </w:tcPr>
          <w:p w14:paraId="058C7A0B" w14:textId="77777777" w:rsidR="007A2CCD" w:rsidRPr="005137EC" w:rsidRDefault="007A2CCD" w:rsidP="00344C6B">
            <w:pPr>
              <w:jc w:val="both"/>
              <w:rPr>
                <w:rFonts w:eastAsia="Times New Roman"/>
                <w:sz w:val="20"/>
                <w:szCs w:val="20"/>
                <w:lang w:eastAsia="en-US"/>
              </w:rPr>
            </w:pPr>
            <w:r w:rsidRPr="005137EC">
              <w:rPr>
                <w:rFonts w:eastAsia="Times New Roman"/>
                <w:sz w:val="20"/>
                <w:szCs w:val="20"/>
                <w:lang w:eastAsia="en-US"/>
              </w:rPr>
              <w:t>Déjections animales</w:t>
            </w:r>
          </w:p>
        </w:tc>
      </w:tr>
      <w:tr w:rsidR="007A2CCD" w:rsidRPr="005137EC" w14:paraId="0E48250A" w14:textId="77777777" w:rsidTr="005137EC">
        <w:trPr>
          <w:trHeight w:val="488"/>
        </w:trPr>
        <w:tc>
          <w:tcPr>
            <w:tcW w:w="0" w:type="auto"/>
            <w:vAlign w:val="center"/>
            <w:hideMark/>
          </w:tcPr>
          <w:p w14:paraId="26E09E87" w14:textId="77777777" w:rsidR="007A2CCD" w:rsidRPr="005137EC" w:rsidRDefault="007A2CCD" w:rsidP="007A2CCD">
            <w:pPr>
              <w:rPr>
                <w:rFonts w:eastAsia="Times New Roman"/>
                <w:sz w:val="20"/>
                <w:szCs w:val="20"/>
                <w:lang w:eastAsia="en-US"/>
              </w:rPr>
            </w:pPr>
            <w:r w:rsidRPr="005137EC">
              <w:rPr>
                <w:rFonts w:eastAsia="Times New Roman"/>
                <w:b/>
                <w:sz w:val="20"/>
                <w:szCs w:val="20"/>
                <w:lang w:eastAsia="en-US"/>
              </w:rPr>
              <w:t>3.C.4 / 3.C.5</w:t>
            </w:r>
          </w:p>
        </w:tc>
        <w:tc>
          <w:tcPr>
            <w:tcW w:w="0" w:type="auto"/>
            <w:vAlign w:val="center"/>
            <w:hideMark/>
          </w:tcPr>
          <w:p w14:paraId="122E7617" w14:textId="77777777" w:rsidR="007A2CCD" w:rsidRPr="005137EC" w:rsidRDefault="007A2CCD" w:rsidP="00344C6B">
            <w:pPr>
              <w:jc w:val="both"/>
              <w:rPr>
                <w:rFonts w:eastAsia="Times New Roman"/>
                <w:sz w:val="20"/>
                <w:szCs w:val="20"/>
                <w:lang w:eastAsia="en-US"/>
              </w:rPr>
            </w:pPr>
            <w:r w:rsidRPr="005137EC">
              <w:rPr>
                <w:rFonts w:eastAsia="Times New Roman"/>
                <w:sz w:val="20"/>
                <w:szCs w:val="20"/>
                <w:lang w:eastAsia="en-US"/>
              </w:rPr>
              <w:t>Émissions directes et indirectes des sols gérés (engrais azotés)</w:t>
            </w:r>
          </w:p>
        </w:tc>
        <w:tc>
          <w:tcPr>
            <w:tcW w:w="0" w:type="auto"/>
            <w:vAlign w:val="center"/>
            <w:hideMark/>
          </w:tcPr>
          <w:p w14:paraId="1B750A0E" w14:textId="77777777" w:rsidR="007A2CCD" w:rsidRPr="005137EC" w:rsidRDefault="007A2CCD" w:rsidP="00344C6B">
            <w:pPr>
              <w:jc w:val="center"/>
              <w:rPr>
                <w:rFonts w:eastAsia="Times New Roman"/>
                <w:sz w:val="20"/>
                <w:szCs w:val="20"/>
                <w:lang w:eastAsia="en-US"/>
              </w:rPr>
            </w:pPr>
            <w:r w:rsidRPr="005137EC">
              <w:rPr>
                <w:rFonts w:eastAsia="Times New Roman"/>
                <w:sz w:val="20"/>
                <w:szCs w:val="20"/>
                <w:lang w:eastAsia="en-US"/>
              </w:rPr>
              <w:t>N₂O</w:t>
            </w:r>
          </w:p>
        </w:tc>
        <w:tc>
          <w:tcPr>
            <w:tcW w:w="0" w:type="auto"/>
            <w:vAlign w:val="center"/>
            <w:hideMark/>
          </w:tcPr>
          <w:p w14:paraId="740F6950" w14:textId="77777777" w:rsidR="007A2CCD" w:rsidRPr="005137EC" w:rsidRDefault="007A2CCD" w:rsidP="00344C6B">
            <w:pPr>
              <w:jc w:val="both"/>
              <w:rPr>
                <w:rFonts w:eastAsia="Times New Roman"/>
                <w:sz w:val="20"/>
                <w:szCs w:val="20"/>
                <w:lang w:eastAsia="en-US"/>
              </w:rPr>
            </w:pPr>
            <w:r w:rsidRPr="005137EC">
              <w:rPr>
                <w:rFonts w:eastAsia="Times New Roman"/>
                <w:sz w:val="20"/>
                <w:szCs w:val="20"/>
                <w:lang w:eastAsia="en-US"/>
              </w:rPr>
              <w:t>Engrais minéraux et organiques</w:t>
            </w:r>
          </w:p>
        </w:tc>
      </w:tr>
      <w:tr w:rsidR="007A2CCD" w:rsidRPr="005137EC" w14:paraId="1606859C" w14:textId="77777777" w:rsidTr="005137EC">
        <w:trPr>
          <w:trHeight w:val="489"/>
        </w:trPr>
        <w:tc>
          <w:tcPr>
            <w:tcW w:w="0" w:type="auto"/>
            <w:vAlign w:val="center"/>
            <w:hideMark/>
          </w:tcPr>
          <w:p w14:paraId="00C1B798" w14:textId="77777777" w:rsidR="007A2CCD" w:rsidRPr="005137EC" w:rsidRDefault="007A2CCD" w:rsidP="007A2CCD">
            <w:pPr>
              <w:rPr>
                <w:rFonts w:eastAsia="Times New Roman"/>
                <w:sz w:val="20"/>
                <w:szCs w:val="20"/>
                <w:lang w:eastAsia="en-US"/>
              </w:rPr>
            </w:pPr>
            <w:r w:rsidRPr="005137EC">
              <w:rPr>
                <w:rFonts w:eastAsia="Times New Roman"/>
                <w:b/>
                <w:sz w:val="20"/>
                <w:szCs w:val="20"/>
                <w:lang w:eastAsia="en-US"/>
              </w:rPr>
              <w:t>3.C.7</w:t>
            </w:r>
          </w:p>
        </w:tc>
        <w:tc>
          <w:tcPr>
            <w:tcW w:w="0" w:type="auto"/>
            <w:vAlign w:val="center"/>
            <w:hideMark/>
          </w:tcPr>
          <w:p w14:paraId="22ACF639" w14:textId="77777777" w:rsidR="007A2CCD" w:rsidRPr="005137EC" w:rsidRDefault="007A2CCD" w:rsidP="00344C6B">
            <w:pPr>
              <w:jc w:val="both"/>
              <w:rPr>
                <w:rFonts w:eastAsia="Times New Roman"/>
                <w:sz w:val="20"/>
                <w:szCs w:val="20"/>
                <w:lang w:eastAsia="en-US"/>
              </w:rPr>
            </w:pPr>
            <w:r w:rsidRPr="005137EC">
              <w:rPr>
                <w:rFonts w:eastAsia="Times New Roman"/>
                <w:sz w:val="20"/>
                <w:szCs w:val="20"/>
                <w:lang w:eastAsia="en-US"/>
              </w:rPr>
              <w:t>Riziculture</w:t>
            </w:r>
          </w:p>
        </w:tc>
        <w:tc>
          <w:tcPr>
            <w:tcW w:w="0" w:type="auto"/>
            <w:vAlign w:val="center"/>
            <w:hideMark/>
          </w:tcPr>
          <w:p w14:paraId="606E9E6E" w14:textId="77777777" w:rsidR="007A2CCD" w:rsidRPr="005137EC" w:rsidRDefault="007A2CCD" w:rsidP="00344C6B">
            <w:pPr>
              <w:jc w:val="center"/>
              <w:rPr>
                <w:rFonts w:eastAsia="Times New Roman"/>
                <w:sz w:val="20"/>
                <w:szCs w:val="20"/>
                <w:lang w:eastAsia="en-US"/>
              </w:rPr>
            </w:pPr>
            <w:r w:rsidRPr="005137EC">
              <w:rPr>
                <w:rFonts w:eastAsia="Times New Roman"/>
                <w:sz w:val="20"/>
                <w:szCs w:val="20"/>
                <w:lang w:eastAsia="en-US"/>
              </w:rPr>
              <w:t>CH₄</w:t>
            </w:r>
          </w:p>
        </w:tc>
        <w:tc>
          <w:tcPr>
            <w:tcW w:w="0" w:type="auto"/>
            <w:vAlign w:val="center"/>
            <w:hideMark/>
          </w:tcPr>
          <w:p w14:paraId="0EC0D05F" w14:textId="77777777" w:rsidR="007A2CCD" w:rsidRPr="005137EC" w:rsidRDefault="007A2CCD" w:rsidP="00344C6B">
            <w:pPr>
              <w:jc w:val="both"/>
              <w:rPr>
                <w:rFonts w:eastAsia="Times New Roman"/>
                <w:sz w:val="20"/>
                <w:szCs w:val="20"/>
                <w:lang w:eastAsia="en-US"/>
              </w:rPr>
            </w:pPr>
            <w:r w:rsidRPr="005137EC">
              <w:rPr>
                <w:rFonts w:eastAsia="Times New Roman"/>
                <w:sz w:val="20"/>
                <w:szCs w:val="20"/>
                <w:lang w:eastAsia="en-US"/>
              </w:rPr>
              <w:t>Rizières irriguées et pluviales</w:t>
            </w:r>
          </w:p>
        </w:tc>
      </w:tr>
    </w:tbl>
    <w:p w14:paraId="515C22C4" w14:textId="77777777" w:rsidR="00306EC6" w:rsidRPr="00532CCE" w:rsidRDefault="00306EC6" w:rsidP="00C16833">
      <w:pPr>
        <w:spacing w:before="120" w:after="120"/>
        <w:jc w:val="both"/>
      </w:pPr>
      <w:r w:rsidRPr="00532CCE">
        <w:t>La structuration de ces catégories permet une meilleure attribution des émissions par sous-secteur, facilitant ainsi la définition de mesures ciblées et la quantification des impacts de la CDN 3.0.</w:t>
      </w:r>
    </w:p>
    <w:p w14:paraId="428A73DA" w14:textId="66BFA4B0" w:rsidR="00FC5DDA" w:rsidRDefault="00FC5DDA" w:rsidP="00C16833">
      <w:pPr>
        <w:spacing w:before="120" w:after="120"/>
        <w:jc w:val="both"/>
      </w:pPr>
      <w:r w:rsidRPr="00FC5DDA">
        <w:rPr>
          <w:b/>
          <w:bCs/>
        </w:rPr>
        <w:t>Point de vigilance méthodologique :</w:t>
      </w:r>
      <w:r w:rsidRPr="00FC5DDA">
        <w:t xml:space="preserve"> La présente ligne de base intègre les émissions liées aux engrais azotés appliqués aux sols cultivés, qui ne figuraient pas dans l'inventaire de la Quatrième Communication Nationale (QCN) du Mali. Bien que ces émissions soient relativement modestes au Mali au regard de celles de l'élevage, leur intégration dans la modélisation LEAP explique en partie l'écart constaté entre la ligne de base CDN 3.0 et les niveaux d'émissions précédemment rapportés dans la QCN. Cette inclusion répond à une exigence de complétude méthodologique au regard des Lignes directrices GIEC 2006.</w:t>
      </w:r>
      <w:r w:rsidR="00306EC6">
        <w:t xml:space="preserve"> </w:t>
      </w:r>
      <w:r w:rsidR="00306EC6" w:rsidRPr="00306EC6">
        <w:t>Elle améliore également la robustesse de l’analyse sectorielle en intégrant des sources d’émissions auparavant sous-estimées, notamment dans les systèmes de culture intensifiés.</w:t>
      </w:r>
    </w:p>
    <w:p w14:paraId="69D3D7CD" w14:textId="45E64582" w:rsidR="00A01FA1" w:rsidRDefault="00A01FA1" w:rsidP="00A01FA1">
      <w:pPr>
        <w:spacing w:after="120"/>
        <w:jc w:val="both"/>
      </w:pPr>
      <w:r>
        <w:t>Les facteurs d'émission utilisés dans la modélisation sont majoritairement issus de la Quatrième Communication Nationale (QCN) du Mali, qui les a établis sur la base des Lignes directrices GIEC adaptées au contexte national. Cette cohérence permet d'assurer la continuité méthodologique entre l'inventaire national de référence et la présente ligne de base, en particulier pour les catégories liées à l'élevage (fermentation entérique et gestion du fumier), qui représentent la part prépondérante des émissions du secteur.</w:t>
      </w:r>
      <w:r w:rsidR="00306EC6">
        <w:t xml:space="preserve"> </w:t>
      </w:r>
      <w:r w:rsidR="00306EC6" w:rsidRPr="00532CCE">
        <w:t>Elle garantit également la comparabilité des résultats dans le temps et la fiabilité des trajectoires d’émissions projetées.</w:t>
      </w:r>
    </w:p>
    <w:p w14:paraId="4DBC6376" w14:textId="66B0552A" w:rsidR="007A2CCD" w:rsidRDefault="00A01FA1" w:rsidP="00A01FA1">
      <w:pPr>
        <w:spacing w:after="120"/>
        <w:jc w:val="both"/>
      </w:pPr>
      <w:r>
        <w:t>Pour les autres catégories non couvertes ou insuffisamment documentées dans la QCN (notamment la riziculture et les émissions liées aux apports d'azote sur les sols cultivés), les valeurs par défaut des Lignes directrices GIEC 2006 ont été utilisées, en privilégiant les facteurs adaptés à la zone climatique sahélo-soudanienne.</w:t>
      </w:r>
      <w:r w:rsidR="00306EC6">
        <w:t xml:space="preserve"> </w:t>
      </w:r>
      <w:r w:rsidR="00306EC6" w:rsidRPr="00306EC6">
        <w:t>Ce choix méthodologique permet de combler les lacunes de données nationales tout en conservant une cohérence régionale adaptée aux conditions agroécologiques du Mali.</w:t>
      </w:r>
    </w:p>
    <w:p w14:paraId="11EEFAA4" w14:textId="27AF6D3B" w:rsidR="00BB2FB0" w:rsidRDefault="00BB2FB0" w:rsidP="00A01FA1">
      <w:pPr>
        <w:spacing w:after="120"/>
        <w:jc w:val="both"/>
      </w:pPr>
      <w:r w:rsidRPr="00BB2FB0">
        <w:t xml:space="preserve">La ligne de base du secteur Agriculture du Mali, élaborée sous LEAP-SEI, projette une croissance des émissions de </w:t>
      </w:r>
      <w:r w:rsidR="002F03D3">
        <w:rPr>
          <w:b/>
          <w:bCs/>
        </w:rPr>
        <w:t>24 MtCO</w:t>
      </w:r>
      <w:r w:rsidR="002F03D3" w:rsidRPr="002F03D3">
        <w:rPr>
          <w:b/>
          <w:bCs/>
          <w:vertAlign w:val="subscript"/>
        </w:rPr>
        <w:t>2</w:t>
      </w:r>
      <w:r w:rsidR="002F03D3">
        <w:rPr>
          <w:b/>
          <w:bCs/>
        </w:rPr>
        <w:t xml:space="preserve">éq </w:t>
      </w:r>
      <w:r w:rsidRPr="00BB2FB0">
        <w:t>en 20</w:t>
      </w:r>
      <w:r w:rsidR="002F03D3">
        <w:t>22</w:t>
      </w:r>
      <w:r w:rsidRPr="00BB2FB0">
        <w:t xml:space="preserve"> à </w:t>
      </w:r>
      <w:r w:rsidRPr="00BB2FB0">
        <w:rPr>
          <w:b/>
          <w:bCs/>
        </w:rPr>
        <w:t>38,9 MtCO₂éq</w:t>
      </w:r>
      <w:r w:rsidRPr="00BB2FB0">
        <w:t xml:space="preserve"> en 2035</w:t>
      </w:r>
      <w:r w:rsidR="00207598">
        <w:t>.</w:t>
      </w:r>
      <w:r w:rsidRPr="00BB2FB0">
        <w:t xml:space="preserve"> L'intégration des émissions liées aux engrais azotés, absentes de la QCN, contribue à une légère hausse par rapport aux niveaux historiques rapportés, sans remettre en cause les ordres de grandeur observés, comme présenté dans le graphe ci-après.</w:t>
      </w:r>
      <w:r w:rsidR="00306EC6">
        <w:t xml:space="preserve"> </w:t>
      </w:r>
      <w:r w:rsidR="00306EC6" w:rsidRPr="00306EC6">
        <w:t>Cette trajectoire confirme la nécessité de renforcer les mesures d’atténuation dans les sous-secteurs clés, notamment l’élevage, la riziculture et la gestion des sols, afin de stabiliser puis réduire l’intensité carbone du secteur agricole à l’horizon 2035.</w:t>
      </w:r>
    </w:p>
    <w:p w14:paraId="3A150F18" w14:textId="77777777" w:rsidR="00B92466" w:rsidRDefault="002C5F20" w:rsidP="00B92466">
      <w:pPr>
        <w:keepNext/>
        <w:jc w:val="center"/>
      </w:pPr>
      <w:r>
        <w:rPr>
          <w:noProof/>
        </w:rPr>
        <w:lastRenderedPageBreak/>
        <w:drawing>
          <wp:inline distT="0" distB="0" distL="0" distR="0" wp14:anchorId="68AE0AD4" wp14:editId="16F723DC">
            <wp:extent cx="5328285" cy="2883535"/>
            <wp:effectExtent l="0" t="0" r="5715" b="0"/>
            <wp:docPr id="12725326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28285" cy="2883535"/>
                    </a:xfrm>
                    <a:prstGeom prst="rect">
                      <a:avLst/>
                    </a:prstGeom>
                    <a:noFill/>
                  </pic:spPr>
                </pic:pic>
              </a:graphicData>
            </a:graphic>
          </wp:inline>
        </w:drawing>
      </w:r>
    </w:p>
    <w:p w14:paraId="36F1FBB6" w14:textId="5E85BDE2" w:rsidR="00B84399" w:rsidRPr="00412719" w:rsidRDefault="00B92466" w:rsidP="00B92466">
      <w:pPr>
        <w:pStyle w:val="Lgende"/>
        <w:jc w:val="center"/>
        <w:rPr>
          <w:sz w:val="20"/>
          <w:szCs w:val="20"/>
        </w:rPr>
      </w:pPr>
      <w:bookmarkStart w:id="54" w:name="_Toc234853917"/>
      <w:r w:rsidRPr="00412719">
        <w:rPr>
          <w:sz w:val="20"/>
          <w:szCs w:val="20"/>
        </w:rPr>
        <w:t xml:space="preserve">Figure </w:t>
      </w:r>
      <w:r w:rsidRPr="00412719">
        <w:rPr>
          <w:sz w:val="20"/>
          <w:szCs w:val="20"/>
        </w:rPr>
        <w:fldChar w:fldCharType="begin"/>
      </w:r>
      <w:r w:rsidRPr="00412719">
        <w:rPr>
          <w:sz w:val="20"/>
          <w:szCs w:val="20"/>
        </w:rPr>
        <w:instrText xml:space="preserve"> SEQ Figure \* ARABIC </w:instrText>
      </w:r>
      <w:r w:rsidRPr="00412719">
        <w:rPr>
          <w:sz w:val="20"/>
          <w:szCs w:val="20"/>
        </w:rPr>
        <w:fldChar w:fldCharType="separate"/>
      </w:r>
      <w:r w:rsidR="004D5580">
        <w:rPr>
          <w:noProof/>
          <w:sz w:val="20"/>
          <w:szCs w:val="20"/>
        </w:rPr>
        <w:t>7</w:t>
      </w:r>
      <w:r w:rsidRPr="00412719">
        <w:rPr>
          <w:sz w:val="20"/>
          <w:szCs w:val="20"/>
        </w:rPr>
        <w:fldChar w:fldCharType="end"/>
      </w:r>
      <w:r w:rsidRPr="00412719">
        <w:rPr>
          <w:sz w:val="20"/>
          <w:szCs w:val="20"/>
        </w:rPr>
        <w:t xml:space="preserve"> : Evolution des émissions de la ligne de base pour le secteur de l'Agriculture</w:t>
      </w:r>
      <w:bookmarkEnd w:id="54"/>
    </w:p>
    <w:p w14:paraId="42B4FA4E" w14:textId="7B36C9DF" w:rsidR="00F91A46" w:rsidRDefault="007932F7" w:rsidP="00C31745">
      <w:pPr>
        <w:pStyle w:val="Titre3"/>
        <w:numPr>
          <w:ilvl w:val="2"/>
          <w:numId w:val="21"/>
        </w:numPr>
      </w:pPr>
      <w:bookmarkStart w:id="55" w:name="_Toc234853873"/>
      <w:r w:rsidRPr="001F64BE">
        <w:t>Scénarios d'atténuation</w:t>
      </w:r>
      <w:r>
        <w:t xml:space="preserve">, </w:t>
      </w:r>
      <w:r w:rsidRPr="001F64BE">
        <w:t>cibles</w:t>
      </w:r>
      <w:r>
        <w:t>, et coûts</w:t>
      </w:r>
      <w:r w:rsidRPr="001F64BE">
        <w:t xml:space="preserve"> associés</w:t>
      </w:r>
      <w:bookmarkEnd w:id="55"/>
    </w:p>
    <w:p w14:paraId="2869C002" w14:textId="77777777" w:rsidR="00E9083F" w:rsidRDefault="00E9083F" w:rsidP="00E9083F">
      <w:pPr>
        <w:spacing w:after="0"/>
        <w:jc w:val="both"/>
        <w:rPr>
          <w:b/>
          <w:u w:val="single"/>
        </w:rPr>
      </w:pPr>
      <w:r w:rsidRPr="00B12F4F">
        <w:rPr>
          <w:b/>
          <w:bCs/>
          <w:u w:val="single"/>
        </w:rPr>
        <w:t>Proposition de restructuration des mesures proposées par les parties prenantes en vue de leurs intégrations</w:t>
      </w:r>
      <w:r>
        <w:rPr>
          <w:b/>
          <w:bCs/>
          <w:u w:val="single"/>
        </w:rPr>
        <w:t xml:space="preserve"> </w:t>
      </w:r>
      <w:r w:rsidRPr="00B12F4F">
        <w:rPr>
          <w:b/>
          <w:bCs/>
          <w:u w:val="single"/>
        </w:rPr>
        <w:t>dans la CDN 3.0</w:t>
      </w:r>
    </w:p>
    <w:p w14:paraId="7BF7C931" w14:textId="77777777" w:rsidR="00E9083F" w:rsidRDefault="00E9083F" w:rsidP="00E9083F">
      <w:pPr>
        <w:spacing w:after="0" w:line="240" w:lineRule="auto"/>
        <w:rPr>
          <w:rFonts w:ascii="Aptos Narrow" w:eastAsia="Times New Roman" w:hAnsi="Aptos Narrow" w:cs="Times New Roman"/>
          <w:color w:val="000000"/>
          <w:lang w:eastAsia="fr-FR"/>
        </w:rPr>
      </w:pPr>
    </w:p>
    <w:p w14:paraId="6BEE4D0B" w14:textId="77777777" w:rsidR="00E9083F" w:rsidRDefault="00E9083F" w:rsidP="00E9083F">
      <w:pPr>
        <w:spacing w:after="240"/>
        <w:jc w:val="both"/>
      </w:pPr>
      <w:r w:rsidRPr="0086767F">
        <w:t>L’analyse des propositions transmises par les parties prenantes montre que le portefeuille agricole proposé pour la CDN 3.0 présente une cohérence globale avec les principales sources d’émissions du secteur, notamment la riziculture, la gestion des sols agricoles, l’utilisation des engrais azotés et les pratiques d’élevage. Toutefois, plusieurs propositions restent formulées comme des projets ou programmes isolés. Afin de renforcer la lisibilité, le suivi et la capacité de mobilisation des financements, il est recommandé de les regrouper en mesures consolidées, structurées autour de leviers d’atténuation clairement identifiables.</w:t>
      </w:r>
    </w:p>
    <w:p w14:paraId="300E7CBC" w14:textId="77777777" w:rsidR="00E9083F" w:rsidRPr="0099709B" w:rsidRDefault="00E9083F" w:rsidP="00E9083F">
      <w:pPr>
        <w:spacing w:after="240"/>
        <w:jc w:val="both"/>
      </w:pPr>
      <w:r w:rsidRPr="0099620F">
        <w:t>Cette restructuration répond directement aux enseignements de l’évaluation de la CDN 2.0, qui avait mis en évidence une présentation trop agrégée des objectifs d’atténuation, sans ventilation par mesure, ainsi qu’une absence de quantification des émissions évitées.</w:t>
      </w:r>
      <w:r w:rsidRPr="0099709B">
        <w:rPr>
          <w:rFonts w:ascii="Times New Roman" w:eastAsia="Times New Roman" w:hAnsi="Times New Roman" w:cs="Times New Roman"/>
          <w:sz w:val="24"/>
          <w:szCs w:val="24"/>
          <w:lang w:eastAsia="fr-FR"/>
        </w:rPr>
        <w:t xml:space="preserve"> </w:t>
      </w:r>
      <w:r w:rsidRPr="0099709B">
        <w:t xml:space="preserve">Le portefeuille proposé distingue par ailleurs </w:t>
      </w:r>
      <w:r>
        <w:t>une</w:t>
      </w:r>
      <w:r w:rsidRPr="0099709B">
        <w:t xml:space="preserve"> mesure inconditionnelle, pouvant être mise en œuvre sur ressources nationales ou déjà engagées, des mesures conditionnelles nécessitant un appui financier, technique ou technologique extérieur. Cette distinction permettra de renforcer la crédibilité du portefeuille </w:t>
      </w:r>
      <w:r>
        <w:t>du secteur de l’Agriculture</w:t>
      </w:r>
      <w:r w:rsidRPr="0099709B">
        <w:t xml:space="preserve"> de la CDN 3.0 et de mieux orienter les besoins de mobilisation des financements climat.</w:t>
      </w:r>
    </w:p>
    <w:p w14:paraId="36D3F4C4" w14:textId="77777777" w:rsidR="00E9083F" w:rsidRPr="0086767F" w:rsidRDefault="00E9083F" w:rsidP="00E9083F">
      <w:pPr>
        <w:spacing w:after="240"/>
        <w:jc w:val="both"/>
        <w:sectPr w:rsidR="00E9083F" w:rsidRPr="0086767F" w:rsidSect="00E9083F">
          <w:pgSz w:w="12240" w:h="15840" w:code="1"/>
          <w:pgMar w:top="1411" w:right="1411" w:bottom="1411" w:left="1411" w:header="706" w:footer="706" w:gutter="0"/>
          <w:cols w:space="708"/>
          <w:docGrid w:linePitch="360"/>
        </w:sectPr>
      </w:pPr>
      <w:r w:rsidRPr="0099709B">
        <w:t>Le tableau ci-après présente le portefeuille restructuré des mesures d’atténuation proposées pour le secteur Agriculture dans le cadre de la CDN 3.0, ainsi que les principaux projets constitutifs, les porteurs institutionnels, les coûts estimatifs et le niveau de conditionnalité associé à chaque mesur</w:t>
      </w:r>
      <w:r>
        <w:t>e.</w:t>
      </w:r>
    </w:p>
    <w:p w14:paraId="7C61CD14" w14:textId="77777777" w:rsidR="00E9083F" w:rsidRDefault="00E9083F" w:rsidP="00E9083F">
      <w:pPr>
        <w:tabs>
          <w:tab w:val="left" w:pos="1451"/>
        </w:tabs>
        <w:rPr>
          <w:rFonts w:asciiTheme="minorHAnsi" w:eastAsia="Times New Roman" w:hAnsiTheme="minorHAnsi" w:cstheme="minorHAnsi"/>
          <w:b/>
          <w:bCs/>
          <w:color w:val="FFFFFF"/>
          <w:lang w:eastAsia="fr-FR"/>
        </w:rPr>
      </w:pPr>
    </w:p>
    <w:p w14:paraId="4F057C37" w14:textId="34E58190" w:rsidR="00E9083F" w:rsidRPr="0029196F" w:rsidRDefault="00E9083F" w:rsidP="00E9083F">
      <w:pPr>
        <w:pStyle w:val="Lgende"/>
        <w:keepNext/>
        <w:rPr>
          <w:sz w:val="20"/>
          <w:szCs w:val="20"/>
        </w:rPr>
      </w:pPr>
      <w:bookmarkStart w:id="56" w:name="_Toc234853944"/>
      <w:r w:rsidRPr="0029196F">
        <w:rPr>
          <w:sz w:val="20"/>
          <w:szCs w:val="20"/>
        </w:rPr>
        <w:t xml:space="preserve">Tableau </w:t>
      </w:r>
      <w:r w:rsidRPr="0029196F">
        <w:rPr>
          <w:sz w:val="20"/>
          <w:szCs w:val="20"/>
        </w:rPr>
        <w:fldChar w:fldCharType="begin"/>
      </w:r>
      <w:r w:rsidRPr="0029196F">
        <w:rPr>
          <w:sz w:val="20"/>
          <w:szCs w:val="20"/>
        </w:rPr>
        <w:instrText xml:space="preserve"> SEQ Tableau \* ARABIC </w:instrText>
      </w:r>
      <w:r w:rsidRPr="0029196F">
        <w:rPr>
          <w:sz w:val="20"/>
          <w:szCs w:val="20"/>
        </w:rPr>
        <w:fldChar w:fldCharType="separate"/>
      </w:r>
      <w:r w:rsidR="0018772E">
        <w:rPr>
          <w:noProof/>
          <w:sz w:val="20"/>
          <w:szCs w:val="20"/>
        </w:rPr>
        <w:t>20</w:t>
      </w:r>
      <w:r w:rsidRPr="0029196F">
        <w:rPr>
          <w:sz w:val="20"/>
          <w:szCs w:val="20"/>
        </w:rPr>
        <w:fldChar w:fldCharType="end"/>
      </w:r>
      <w:r w:rsidRPr="00E35393">
        <w:rPr>
          <w:sz w:val="20"/>
          <w:szCs w:val="20"/>
        </w:rPr>
        <w:t xml:space="preserve"> :  Portefeuille restructuré des mesures d’atténuation du secteur de l'Agriculture pour la CDN 3.0</w:t>
      </w:r>
      <w:bookmarkEnd w:id="56"/>
    </w:p>
    <w:tbl>
      <w:tblPr>
        <w:tblW w:w="5000" w:type="pct"/>
        <w:tblCellMar>
          <w:left w:w="70" w:type="dxa"/>
          <w:right w:w="70" w:type="dxa"/>
        </w:tblCellMar>
        <w:tblLook w:val="04A0" w:firstRow="1" w:lastRow="0" w:firstColumn="1" w:lastColumn="0" w:noHBand="0" w:noVBand="1"/>
      </w:tblPr>
      <w:tblGrid>
        <w:gridCol w:w="1624"/>
        <w:gridCol w:w="3939"/>
        <w:gridCol w:w="1199"/>
        <w:gridCol w:w="3049"/>
        <w:gridCol w:w="1514"/>
        <w:gridCol w:w="1683"/>
      </w:tblGrid>
      <w:tr w:rsidR="00E9083F" w:rsidRPr="00633647" w14:paraId="1DB49D90" w14:textId="77777777" w:rsidTr="009B6C5A">
        <w:trPr>
          <w:trHeight w:val="515"/>
        </w:trPr>
        <w:tc>
          <w:tcPr>
            <w:tcW w:w="624" w:type="pct"/>
            <w:tcBorders>
              <w:top w:val="single" w:sz="4" w:space="0" w:color="auto"/>
              <w:left w:val="single" w:sz="4" w:space="0" w:color="auto"/>
              <w:bottom w:val="single" w:sz="4" w:space="0" w:color="auto"/>
              <w:right w:val="single" w:sz="4" w:space="0" w:color="auto"/>
            </w:tcBorders>
            <w:shd w:val="clear" w:color="auto" w:fill="1F4E79" w:themeFill="accent1" w:themeFillShade="80"/>
            <w:noWrap/>
            <w:vAlign w:val="center"/>
            <w:hideMark/>
          </w:tcPr>
          <w:p w14:paraId="207B1EE0" w14:textId="77777777" w:rsidR="00E9083F" w:rsidRPr="00633647" w:rsidRDefault="00E9083F">
            <w:pPr>
              <w:spacing w:after="0" w:line="240" w:lineRule="auto"/>
              <w:jc w:val="center"/>
              <w:rPr>
                <w:rFonts w:asciiTheme="minorHAnsi" w:eastAsia="Times New Roman" w:hAnsiTheme="minorHAnsi" w:cstheme="minorHAnsi"/>
                <w:b/>
                <w:color w:val="FFFFFF"/>
                <w:sz w:val="18"/>
                <w:szCs w:val="18"/>
                <w:lang w:eastAsia="fr-FR"/>
              </w:rPr>
            </w:pPr>
            <w:r w:rsidRPr="00633647">
              <w:rPr>
                <w:rFonts w:asciiTheme="minorHAnsi" w:eastAsia="Times New Roman" w:hAnsiTheme="minorHAnsi" w:cstheme="minorHAnsi"/>
                <w:b/>
                <w:color w:val="FFFFFF"/>
                <w:sz w:val="18"/>
                <w:szCs w:val="18"/>
                <w:lang w:eastAsia="fr-FR"/>
              </w:rPr>
              <w:t>Mesures</w:t>
            </w:r>
          </w:p>
        </w:tc>
        <w:tc>
          <w:tcPr>
            <w:tcW w:w="1514" w:type="pct"/>
            <w:tcBorders>
              <w:top w:val="single" w:sz="4" w:space="0" w:color="auto"/>
              <w:left w:val="nil"/>
              <w:bottom w:val="single" w:sz="4" w:space="0" w:color="auto"/>
              <w:right w:val="single" w:sz="4" w:space="0" w:color="auto"/>
            </w:tcBorders>
            <w:shd w:val="clear" w:color="auto" w:fill="1F4E79" w:themeFill="accent1" w:themeFillShade="80"/>
            <w:noWrap/>
            <w:vAlign w:val="center"/>
            <w:hideMark/>
          </w:tcPr>
          <w:p w14:paraId="2E5C497F" w14:textId="77777777" w:rsidR="00E9083F" w:rsidRPr="00633647" w:rsidRDefault="00E9083F">
            <w:pPr>
              <w:spacing w:after="0" w:line="240" w:lineRule="auto"/>
              <w:jc w:val="center"/>
              <w:rPr>
                <w:rFonts w:asciiTheme="minorHAnsi" w:eastAsia="Times New Roman" w:hAnsiTheme="minorHAnsi" w:cstheme="minorHAnsi"/>
                <w:b/>
                <w:color w:val="FFFFFF"/>
                <w:sz w:val="18"/>
                <w:szCs w:val="18"/>
                <w:lang w:eastAsia="fr-FR"/>
              </w:rPr>
            </w:pPr>
            <w:r w:rsidRPr="00633647">
              <w:rPr>
                <w:rFonts w:asciiTheme="minorHAnsi" w:eastAsia="Times New Roman" w:hAnsiTheme="minorHAnsi" w:cstheme="minorHAnsi"/>
                <w:b/>
                <w:color w:val="FFFFFF"/>
                <w:sz w:val="18"/>
                <w:szCs w:val="18"/>
                <w:lang w:eastAsia="fr-FR"/>
              </w:rPr>
              <w:t>Description synthétique</w:t>
            </w:r>
          </w:p>
        </w:tc>
        <w:tc>
          <w:tcPr>
            <w:tcW w:w="461" w:type="pct"/>
            <w:tcBorders>
              <w:top w:val="single" w:sz="4" w:space="0" w:color="auto"/>
              <w:left w:val="nil"/>
              <w:bottom w:val="single" w:sz="4" w:space="0" w:color="auto"/>
              <w:right w:val="single" w:sz="4" w:space="0" w:color="auto"/>
            </w:tcBorders>
            <w:shd w:val="clear" w:color="auto" w:fill="1F4E79" w:themeFill="accent1" w:themeFillShade="80"/>
            <w:noWrap/>
            <w:vAlign w:val="center"/>
            <w:hideMark/>
          </w:tcPr>
          <w:p w14:paraId="257C69FA" w14:textId="77777777" w:rsidR="00E9083F" w:rsidRPr="00633647" w:rsidRDefault="00E9083F">
            <w:pPr>
              <w:spacing w:after="0" w:line="240" w:lineRule="auto"/>
              <w:jc w:val="center"/>
              <w:rPr>
                <w:rFonts w:asciiTheme="minorHAnsi" w:eastAsia="Times New Roman" w:hAnsiTheme="minorHAnsi" w:cstheme="minorHAnsi"/>
                <w:b/>
                <w:color w:val="FFFFFF"/>
                <w:sz w:val="18"/>
                <w:szCs w:val="18"/>
                <w:lang w:eastAsia="fr-FR"/>
              </w:rPr>
            </w:pPr>
            <w:r w:rsidRPr="00633647">
              <w:rPr>
                <w:rFonts w:asciiTheme="minorHAnsi" w:eastAsia="Times New Roman" w:hAnsiTheme="minorHAnsi" w:cstheme="minorHAnsi"/>
                <w:b/>
                <w:color w:val="FFFFFF"/>
                <w:sz w:val="18"/>
                <w:szCs w:val="18"/>
                <w:lang w:eastAsia="fr-FR"/>
              </w:rPr>
              <w:t>Porteur</w:t>
            </w:r>
          </w:p>
        </w:tc>
        <w:tc>
          <w:tcPr>
            <w:tcW w:w="1172" w:type="pct"/>
            <w:tcBorders>
              <w:top w:val="single" w:sz="4" w:space="0" w:color="auto"/>
              <w:left w:val="nil"/>
              <w:bottom w:val="single" w:sz="4" w:space="0" w:color="auto"/>
              <w:right w:val="single" w:sz="4" w:space="0" w:color="auto"/>
            </w:tcBorders>
            <w:shd w:val="clear" w:color="auto" w:fill="1F4E79" w:themeFill="accent1" w:themeFillShade="80"/>
            <w:noWrap/>
            <w:vAlign w:val="center"/>
            <w:hideMark/>
          </w:tcPr>
          <w:p w14:paraId="30FA5152" w14:textId="77777777" w:rsidR="00E9083F" w:rsidRPr="00633647" w:rsidRDefault="00E9083F">
            <w:pPr>
              <w:spacing w:after="0" w:line="240" w:lineRule="auto"/>
              <w:jc w:val="center"/>
              <w:rPr>
                <w:rFonts w:asciiTheme="minorHAnsi" w:eastAsia="Times New Roman" w:hAnsiTheme="minorHAnsi" w:cstheme="minorHAnsi"/>
                <w:b/>
                <w:color w:val="FFFFFF"/>
                <w:sz w:val="18"/>
                <w:szCs w:val="18"/>
                <w:lang w:eastAsia="fr-FR"/>
              </w:rPr>
            </w:pPr>
            <w:r w:rsidRPr="00633647">
              <w:rPr>
                <w:rFonts w:asciiTheme="minorHAnsi" w:eastAsia="Times New Roman" w:hAnsiTheme="minorHAnsi" w:cstheme="minorHAnsi"/>
                <w:b/>
                <w:color w:val="FFFFFF"/>
                <w:sz w:val="18"/>
                <w:szCs w:val="18"/>
                <w:lang w:eastAsia="fr-FR"/>
              </w:rPr>
              <w:t>Intitulé de projet/programme</w:t>
            </w:r>
          </w:p>
        </w:tc>
        <w:tc>
          <w:tcPr>
            <w:tcW w:w="582" w:type="pct"/>
            <w:tcBorders>
              <w:top w:val="single" w:sz="4" w:space="0" w:color="auto"/>
              <w:left w:val="nil"/>
              <w:bottom w:val="single" w:sz="4" w:space="0" w:color="auto"/>
              <w:right w:val="single" w:sz="4" w:space="0" w:color="auto"/>
            </w:tcBorders>
            <w:shd w:val="clear" w:color="auto" w:fill="1F4E79" w:themeFill="accent1" w:themeFillShade="80"/>
            <w:noWrap/>
            <w:vAlign w:val="center"/>
            <w:hideMark/>
          </w:tcPr>
          <w:p w14:paraId="0E0E84CB" w14:textId="77777777" w:rsidR="00E9083F" w:rsidRPr="00633647" w:rsidRDefault="00E9083F">
            <w:pPr>
              <w:spacing w:after="0" w:line="240" w:lineRule="auto"/>
              <w:jc w:val="center"/>
              <w:rPr>
                <w:rFonts w:asciiTheme="minorHAnsi" w:eastAsia="Times New Roman" w:hAnsiTheme="minorHAnsi" w:cstheme="minorHAnsi"/>
                <w:b/>
                <w:color w:val="FFFFFF"/>
                <w:sz w:val="18"/>
                <w:szCs w:val="18"/>
                <w:lang w:eastAsia="fr-FR"/>
              </w:rPr>
            </w:pPr>
            <w:r w:rsidRPr="00633647">
              <w:rPr>
                <w:rFonts w:asciiTheme="minorHAnsi" w:eastAsia="Times New Roman" w:hAnsiTheme="minorHAnsi" w:cstheme="minorHAnsi"/>
                <w:b/>
                <w:color w:val="FFFFFF"/>
                <w:sz w:val="18"/>
                <w:szCs w:val="18"/>
                <w:lang w:eastAsia="fr-FR"/>
              </w:rPr>
              <w:t>Coût  en FCFA</w:t>
            </w:r>
          </w:p>
        </w:tc>
        <w:tc>
          <w:tcPr>
            <w:tcW w:w="649" w:type="pct"/>
            <w:tcBorders>
              <w:top w:val="single" w:sz="4" w:space="0" w:color="auto"/>
              <w:left w:val="nil"/>
              <w:bottom w:val="single" w:sz="4" w:space="0" w:color="auto"/>
              <w:right w:val="single" w:sz="4" w:space="0" w:color="auto"/>
            </w:tcBorders>
            <w:shd w:val="clear" w:color="auto" w:fill="1F4E79" w:themeFill="accent1" w:themeFillShade="80"/>
            <w:noWrap/>
            <w:vAlign w:val="center"/>
            <w:hideMark/>
          </w:tcPr>
          <w:p w14:paraId="5E091698" w14:textId="77777777" w:rsidR="00E9083F" w:rsidRPr="00633647" w:rsidRDefault="00E9083F">
            <w:pPr>
              <w:spacing w:after="0" w:line="240" w:lineRule="auto"/>
              <w:jc w:val="center"/>
              <w:rPr>
                <w:rFonts w:asciiTheme="minorHAnsi" w:eastAsia="Times New Roman" w:hAnsiTheme="minorHAnsi" w:cstheme="minorHAnsi"/>
                <w:b/>
                <w:color w:val="FFFFFF"/>
                <w:sz w:val="18"/>
                <w:szCs w:val="18"/>
                <w:lang w:eastAsia="fr-FR"/>
              </w:rPr>
            </w:pPr>
            <w:r w:rsidRPr="00633647">
              <w:rPr>
                <w:rFonts w:asciiTheme="minorHAnsi" w:eastAsia="Times New Roman" w:hAnsiTheme="minorHAnsi" w:cstheme="minorHAnsi"/>
                <w:b/>
                <w:color w:val="FFFFFF"/>
                <w:sz w:val="18"/>
                <w:szCs w:val="18"/>
                <w:lang w:eastAsia="fr-FR"/>
              </w:rPr>
              <w:t>Conditionnalité</w:t>
            </w:r>
          </w:p>
        </w:tc>
      </w:tr>
      <w:tr w:rsidR="00E9083F" w:rsidRPr="00633647" w14:paraId="181D582D" w14:textId="77777777" w:rsidTr="00633647">
        <w:trPr>
          <w:trHeight w:val="20"/>
        </w:trPr>
        <w:tc>
          <w:tcPr>
            <w:tcW w:w="624" w:type="pct"/>
            <w:vMerge w:val="restart"/>
            <w:tcBorders>
              <w:top w:val="nil"/>
              <w:left w:val="single" w:sz="4" w:space="0" w:color="auto"/>
              <w:bottom w:val="single" w:sz="4" w:space="0" w:color="auto"/>
              <w:right w:val="single" w:sz="4" w:space="0" w:color="auto"/>
            </w:tcBorders>
            <w:vAlign w:val="center"/>
            <w:hideMark/>
          </w:tcPr>
          <w:p w14:paraId="350D56B5"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Mesure 1 : Intensification durable et résiliente des systèmes de production agricole</w:t>
            </w:r>
          </w:p>
        </w:tc>
        <w:tc>
          <w:tcPr>
            <w:tcW w:w="1514" w:type="pct"/>
            <w:vMerge w:val="restart"/>
            <w:tcBorders>
              <w:top w:val="nil"/>
              <w:left w:val="single" w:sz="4" w:space="0" w:color="auto"/>
              <w:bottom w:val="single" w:sz="4" w:space="0" w:color="auto"/>
              <w:right w:val="single" w:sz="4" w:space="0" w:color="auto"/>
            </w:tcBorders>
            <w:vAlign w:val="center"/>
            <w:hideMark/>
          </w:tcPr>
          <w:p w14:paraId="5BC43CD6"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Cette mesure vise à accroître durablement la productivité agricole à travers la diffusion du Système de Riziculture Intensif, l’amélioration de l’accès aux intrants, la valorisation des potentialités hydro-agricoles et l’adoption de pratiques agricoles plus efficaces. Elle contribue à la sécurité alimentaire, à la résilience des producteurs et à la réduction des émissions, notamment par une meilleure gestion de l’eau en riziculture.</w:t>
            </w:r>
          </w:p>
        </w:tc>
        <w:tc>
          <w:tcPr>
            <w:tcW w:w="461" w:type="pct"/>
            <w:tcBorders>
              <w:top w:val="nil"/>
              <w:left w:val="nil"/>
              <w:bottom w:val="single" w:sz="4" w:space="0" w:color="auto"/>
              <w:right w:val="single" w:sz="4" w:space="0" w:color="auto"/>
            </w:tcBorders>
            <w:vAlign w:val="center"/>
            <w:hideMark/>
          </w:tcPr>
          <w:p w14:paraId="125ECAD7"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Direction nationale de l’agriculture (DNA)</w:t>
            </w:r>
          </w:p>
        </w:tc>
        <w:tc>
          <w:tcPr>
            <w:tcW w:w="1172" w:type="pct"/>
            <w:tcBorders>
              <w:top w:val="nil"/>
              <w:left w:val="nil"/>
              <w:bottom w:val="single" w:sz="4" w:space="0" w:color="auto"/>
              <w:right w:val="single" w:sz="4" w:space="0" w:color="auto"/>
            </w:tcBorders>
            <w:vAlign w:val="center"/>
            <w:hideMark/>
          </w:tcPr>
          <w:p w14:paraId="59985F90"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Programme National de Mise à l'échelle du Système de riziculture Intensif (PN-SRI) au Mali</w:t>
            </w:r>
          </w:p>
        </w:tc>
        <w:tc>
          <w:tcPr>
            <w:tcW w:w="582" w:type="pct"/>
            <w:tcBorders>
              <w:top w:val="nil"/>
              <w:left w:val="nil"/>
              <w:bottom w:val="single" w:sz="4" w:space="0" w:color="auto"/>
              <w:right w:val="single" w:sz="4" w:space="0" w:color="auto"/>
            </w:tcBorders>
            <w:noWrap/>
            <w:vAlign w:val="center"/>
            <w:hideMark/>
          </w:tcPr>
          <w:p w14:paraId="4596FFC3" w14:textId="77777777" w:rsidR="00E9083F" w:rsidRPr="00633647" w:rsidRDefault="00E9083F">
            <w:pPr>
              <w:spacing w:after="0" w:line="240" w:lineRule="auto"/>
              <w:jc w:val="right"/>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14 112 000 000</w:t>
            </w:r>
          </w:p>
        </w:tc>
        <w:tc>
          <w:tcPr>
            <w:tcW w:w="649" w:type="pct"/>
            <w:vMerge w:val="restart"/>
            <w:tcBorders>
              <w:top w:val="nil"/>
              <w:left w:val="nil"/>
              <w:right w:val="single" w:sz="4" w:space="0" w:color="auto"/>
            </w:tcBorders>
            <w:noWrap/>
            <w:vAlign w:val="center"/>
            <w:hideMark/>
          </w:tcPr>
          <w:p w14:paraId="4CDEBD9F" w14:textId="77777777" w:rsidR="00E9083F" w:rsidRPr="00633647" w:rsidRDefault="00E9083F">
            <w:pPr>
              <w:spacing w:after="0" w:line="240" w:lineRule="auto"/>
              <w:jc w:val="center"/>
              <w:rPr>
                <w:rFonts w:asciiTheme="minorHAnsi" w:eastAsia="Times New Roman" w:hAnsiTheme="minorHAnsi" w:cstheme="minorHAnsi"/>
                <w:color w:val="000000"/>
                <w:sz w:val="18"/>
                <w:szCs w:val="18"/>
                <w:lang w:eastAsia="fr-FR"/>
              </w:rPr>
            </w:pPr>
            <w:r w:rsidRPr="00C66C50">
              <w:rPr>
                <w:rFonts w:asciiTheme="minorHAnsi" w:eastAsia="Times New Roman" w:hAnsiTheme="minorHAnsi" w:cstheme="minorHAnsi"/>
                <w:color w:val="000000"/>
                <w:sz w:val="18"/>
                <w:szCs w:val="18"/>
                <w:lang w:eastAsia="fr-FR"/>
              </w:rPr>
              <w:t>A déterminer</w:t>
            </w:r>
            <w:r w:rsidRPr="00633647">
              <w:rPr>
                <w:rFonts w:asciiTheme="minorHAnsi" w:eastAsia="Times New Roman" w:hAnsiTheme="minorHAnsi" w:cstheme="minorHAnsi"/>
                <w:color w:val="000000"/>
                <w:sz w:val="18"/>
                <w:szCs w:val="18"/>
                <w:lang w:eastAsia="fr-FR"/>
              </w:rPr>
              <w:t xml:space="preserve"> </w:t>
            </w:r>
          </w:p>
        </w:tc>
      </w:tr>
      <w:tr w:rsidR="00E9083F" w:rsidRPr="00633647" w14:paraId="015AFD6E" w14:textId="77777777" w:rsidTr="00633647">
        <w:trPr>
          <w:trHeight w:val="20"/>
        </w:trPr>
        <w:tc>
          <w:tcPr>
            <w:tcW w:w="624" w:type="pct"/>
            <w:vMerge/>
            <w:tcBorders>
              <w:top w:val="nil"/>
              <w:left w:val="single" w:sz="4" w:space="0" w:color="auto"/>
              <w:bottom w:val="single" w:sz="4" w:space="0" w:color="auto"/>
              <w:right w:val="single" w:sz="4" w:space="0" w:color="auto"/>
            </w:tcBorders>
            <w:vAlign w:val="center"/>
            <w:hideMark/>
          </w:tcPr>
          <w:p w14:paraId="38CC80E7"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p>
        </w:tc>
        <w:tc>
          <w:tcPr>
            <w:tcW w:w="1514" w:type="pct"/>
            <w:vMerge/>
            <w:tcBorders>
              <w:top w:val="nil"/>
              <w:left w:val="single" w:sz="4" w:space="0" w:color="auto"/>
              <w:bottom w:val="single" w:sz="4" w:space="0" w:color="auto"/>
              <w:right w:val="single" w:sz="4" w:space="0" w:color="auto"/>
            </w:tcBorders>
            <w:vAlign w:val="center"/>
            <w:hideMark/>
          </w:tcPr>
          <w:p w14:paraId="1879ED7F"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p>
        </w:tc>
        <w:tc>
          <w:tcPr>
            <w:tcW w:w="461" w:type="pct"/>
            <w:tcBorders>
              <w:top w:val="nil"/>
              <w:left w:val="nil"/>
              <w:bottom w:val="single" w:sz="4" w:space="0" w:color="auto"/>
              <w:right w:val="single" w:sz="4" w:space="0" w:color="auto"/>
            </w:tcBorders>
            <w:vAlign w:val="center"/>
            <w:hideMark/>
          </w:tcPr>
          <w:p w14:paraId="1898D0DE"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Direction nationale de l’agriculture (DNA)</w:t>
            </w:r>
          </w:p>
        </w:tc>
        <w:tc>
          <w:tcPr>
            <w:tcW w:w="1172" w:type="pct"/>
            <w:tcBorders>
              <w:top w:val="nil"/>
              <w:left w:val="nil"/>
              <w:bottom w:val="single" w:sz="4" w:space="0" w:color="auto"/>
              <w:right w:val="single" w:sz="4" w:space="0" w:color="auto"/>
            </w:tcBorders>
            <w:vAlign w:val="center"/>
            <w:hideMark/>
          </w:tcPr>
          <w:p w14:paraId="3991A32D"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Programme Promotion de la Production et de la productivité de l'Agriculture Durable au Mali</w:t>
            </w:r>
          </w:p>
        </w:tc>
        <w:tc>
          <w:tcPr>
            <w:tcW w:w="582" w:type="pct"/>
            <w:tcBorders>
              <w:top w:val="nil"/>
              <w:left w:val="nil"/>
              <w:bottom w:val="single" w:sz="4" w:space="0" w:color="auto"/>
              <w:right w:val="single" w:sz="4" w:space="0" w:color="auto"/>
            </w:tcBorders>
            <w:noWrap/>
            <w:vAlign w:val="center"/>
            <w:hideMark/>
          </w:tcPr>
          <w:p w14:paraId="232DB69D" w14:textId="77777777" w:rsidR="00E9083F" w:rsidRPr="00633647" w:rsidRDefault="00E9083F">
            <w:pPr>
              <w:spacing w:after="0" w:line="240" w:lineRule="auto"/>
              <w:jc w:val="right"/>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26 981 000 000</w:t>
            </w:r>
          </w:p>
        </w:tc>
        <w:tc>
          <w:tcPr>
            <w:tcW w:w="649" w:type="pct"/>
            <w:vMerge/>
            <w:tcBorders>
              <w:left w:val="nil"/>
              <w:bottom w:val="single" w:sz="4" w:space="0" w:color="auto"/>
              <w:right w:val="single" w:sz="4" w:space="0" w:color="auto"/>
            </w:tcBorders>
            <w:noWrap/>
            <w:vAlign w:val="center"/>
            <w:hideMark/>
          </w:tcPr>
          <w:p w14:paraId="2BC36088" w14:textId="77777777" w:rsidR="00E9083F" w:rsidRPr="00633647" w:rsidRDefault="00E9083F">
            <w:pPr>
              <w:spacing w:after="0" w:line="240" w:lineRule="auto"/>
              <w:jc w:val="center"/>
              <w:rPr>
                <w:rFonts w:asciiTheme="minorHAnsi" w:eastAsia="Times New Roman" w:hAnsiTheme="minorHAnsi" w:cstheme="minorHAnsi"/>
                <w:color w:val="000000"/>
                <w:sz w:val="18"/>
                <w:szCs w:val="18"/>
                <w:lang w:eastAsia="fr-FR"/>
              </w:rPr>
            </w:pPr>
          </w:p>
        </w:tc>
      </w:tr>
      <w:tr w:rsidR="00E9083F" w:rsidRPr="00633647" w14:paraId="7AC33B7A" w14:textId="77777777" w:rsidTr="00633647">
        <w:trPr>
          <w:trHeight w:val="20"/>
        </w:trPr>
        <w:tc>
          <w:tcPr>
            <w:tcW w:w="624" w:type="pct"/>
            <w:vMerge w:val="restart"/>
            <w:tcBorders>
              <w:top w:val="nil"/>
              <w:left w:val="single" w:sz="4" w:space="0" w:color="auto"/>
              <w:bottom w:val="single" w:sz="4" w:space="0" w:color="auto"/>
              <w:right w:val="single" w:sz="4" w:space="0" w:color="auto"/>
            </w:tcBorders>
            <w:vAlign w:val="center"/>
            <w:hideMark/>
          </w:tcPr>
          <w:p w14:paraId="1AB90508"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Mesure 2: Restauration de la fertilité des sols, agroécologie et gestion durable des terres</w:t>
            </w:r>
          </w:p>
        </w:tc>
        <w:tc>
          <w:tcPr>
            <w:tcW w:w="1514" w:type="pct"/>
            <w:vMerge w:val="restart"/>
            <w:tcBorders>
              <w:top w:val="nil"/>
              <w:left w:val="single" w:sz="4" w:space="0" w:color="auto"/>
              <w:bottom w:val="single" w:sz="4" w:space="0" w:color="auto"/>
              <w:right w:val="single" w:sz="4" w:space="0" w:color="auto"/>
            </w:tcBorders>
            <w:vAlign w:val="center"/>
            <w:hideMark/>
          </w:tcPr>
          <w:p w14:paraId="4702D3DB"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Cette mesure vise à restaurer et maintenir la fertilité des sols agricoles par la fertilisation organique, l’agroécologie, la conservation des sols, la réduction de la dégradation des terres et le placement profond des engrais chimiques. Elle contribue à améliorer les rendements, renforcer la résilience des exploitations et réduire les émissions de N₂O liées à l’utilisation inefficace des engrais.</w:t>
            </w:r>
          </w:p>
          <w:p w14:paraId="528656A1"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p>
        </w:tc>
        <w:tc>
          <w:tcPr>
            <w:tcW w:w="461" w:type="pct"/>
            <w:tcBorders>
              <w:top w:val="nil"/>
              <w:left w:val="nil"/>
              <w:bottom w:val="single" w:sz="4" w:space="0" w:color="auto"/>
              <w:right w:val="single" w:sz="4" w:space="0" w:color="auto"/>
            </w:tcBorders>
            <w:vAlign w:val="center"/>
            <w:hideMark/>
          </w:tcPr>
          <w:p w14:paraId="06B64D63"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Direction nationale de l’agriculture (DNA)</w:t>
            </w:r>
          </w:p>
        </w:tc>
        <w:tc>
          <w:tcPr>
            <w:tcW w:w="1172" w:type="pct"/>
            <w:tcBorders>
              <w:top w:val="nil"/>
              <w:left w:val="nil"/>
              <w:bottom w:val="single" w:sz="4" w:space="0" w:color="auto"/>
              <w:right w:val="single" w:sz="4" w:space="0" w:color="auto"/>
            </w:tcBorders>
            <w:vAlign w:val="center"/>
            <w:hideMark/>
          </w:tcPr>
          <w:p w14:paraId="1AC37BD9"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 xml:space="preserve">Projet d’amélioration de la fertilité des sols et d’adaptions aux effets du Changement climatique </w:t>
            </w:r>
          </w:p>
        </w:tc>
        <w:tc>
          <w:tcPr>
            <w:tcW w:w="582" w:type="pct"/>
            <w:tcBorders>
              <w:top w:val="nil"/>
              <w:left w:val="nil"/>
              <w:bottom w:val="single" w:sz="4" w:space="0" w:color="auto"/>
              <w:right w:val="single" w:sz="4" w:space="0" w:color="auto"/>
            </w:tcBorders>
            <w:noWrap/>
            <w:vAlign w:val="center"/>
            <w:hideMark/>
          </w:tcPr>
          <w:p w14:paraId="5873061A" w14:textId="77777777" w:rsidR="00E9083F" w:rsidRPr="00633647" w:rsidRDefault="00E9083F">
            <w:pPr>
              <w:spacing w:after="0" w:line="240" w:lineRule="auto"/>
              <w:jc w:val="right"/>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10 638 000 000</w:t>
            </w:r>
          </w:p>
        </w:tc>
        <w:tc>
          <w:tcPr>
            <w:tcW w:w="649" w:type="pct"/>
            <w:vMerge w:val="restart"/>
            <w:tcBorders>
              <w:top w:val="nil"/>
              <w:left w:val="nil"/>
              <w:right w:val="single" w:sz="4" w:space="0" w:color="auto"/>
            </w:tcBorders>
            <w:noWrap/>
            <w:vAlign w:val="center"/>
            <w:hideMark/>
          </w:tcPr>
          <w:p w14:paraId="4FBDFE38" w14:textId="77777777" w:rsidR="00E9083F" w:rsidRPr="00633647" w:rsidRDefault="00E9083F">
            <w:pPr>
              <w:spacing w:after="0" w:line="240" w:lineRule="auto"/>
              <w:jc w:val="center"/>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 xml:space="preserve">Conditionnelle </w:t>
            </w:r>
          </w:p>
          <w:p w14:paraId="46CE7DF7" w14:textId="77777777" w:rsidR="00E9083F" w:rsidRPr="00633647" w:rsidRDefault="00E9083F">
            <w:pPr>
              <w:spacing w:after="0" w:line="240" w:lineRule="auto"/>
              <w:jc w:val="center"/>
              <w:rPr>
                <w:rFonts w:asciiTheme="minorHAnsi" w:eastAsia="Times New Roman" w:hAnsiTheme="minorHAnsi" w:cstheme="minorHAnsi"/>
                <w:color w:val="000000"/>
                <w:sz w:val="18"/>
                <w:szCs w:val="18"/>
                <w:lang w:eastAsia="fr-FR"/>
              </w:rPr>
            </w:pPr>
          </w:p>
        </w:tc>
      </w:tr>
      <w:tr w:rsidR="00E9083F" w:rsidRPr="00633647" w14:paraId="05789294" w14:textId="77777777" w:rsidTr="00633647">
        <w:trPr>
          <w:trHeight w:val="20"/>
        </w:trPr>
        <w:tc>
          <w:tcPr>
            <w:tcW w:w="624" w:type="pct"/>
            <w:vMerge/>
            <w:tcBorders>
              <w:top w:val="nil"/>
              <w:left w:val="single" w:sz="4" w:space="0" w:color="auto"/>
              <w:bottom w:val="single" w:sz="4" w:space="0" w:color="auto"/>
              <w:right w:val="single" w:sz="4" w:space="0" w:color="auto"/>
            </w:tcBorders>
            <w:vAlign w:val="center"/>
            <w:hideMark/>
          </w:tcPr>
          <w:p w14:paraId="2ECDB3DA"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p>
        </w:tc>
        <w:tc>
          <w:tcPr>
            <w:tcW w:w="1514" w:type="pct"/>
            <w:vMerge/>
            <w:tcBorders>
              <w:top w:val="nil"/>
              <w:left w:val="single" w:sz="4" w:space="0" w:color="auto"/>
              <w:bottom w:val="single" w:sz="4" w:space="0" w:color="auto"/>
              <w:right w:val="single" w:sz="4" w:space="0" w:color="auto"/>
            </w:tcBorders>
            <w:vAlign w:val="center"/>
            <w:hideMark/>
          </w:tcPr>
          <w:p w14:paraId="247987D7"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p>
        </w:tc>
        <w:tc>
          <w:tcPr>
            <w:tcW w:w="461" w:type="pct"/>
            <w:tcBorders>
              <w:top w:val="nil"/>
              <w:left w:val="nil"/>
              <w:bottom w:val="single" w:sz="4" w:space="0" w:color="auto"/>
              <w:right w:val="single" w:sz="4" w:space="0" w:color="auto"/>
            </w:tcBorders>
            <w:vAlign w:val="center"/>
            <w:hideMark/>
          </w:tcPr>
          <w:p w14:paraId="655D0E2F"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Direction nationale de l’agriculture (DNA)</w:t>
            </w:r>
          </w:p>
        </w:tc>
        <w:tc>
          <w:tcPr>
            <w:tcW w:w="1172" w:type="pct"/>
            <w:tcBorders>
              <w:top w:val="nil"/>
              <w:left w:val="nil"/>
              <w:bottom w:val="single" w:sz="4" w:space="0" w:color="auto"/>
              <w:right w:val="single" w:sz="4" w:space="0" w:color="auto"/>
            </w:tcBorders>
            <w:vAlign w:val="center"/>
            <w:hideMark/>
          </w:tcPr>
          <w:p w14:paraId="3DF5FB10"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Projet de promotion des systèmes de culture agroécologiques et de protection des sols au mali (PAESOL)</w:t>
            </w:r>
          </w:p>
        </w:tc>
        <w:tc>
          <w:tcPr>
            <w:tcW w:w="582" w:type="pct"/>
            <w:tcBorders>
              <w:top w:val="nil"/>
              <w:left w:val="nil"/>
              <w:bottom w:val="single" w:sz="4" w:space="0" w:color="auto"/>
              <w:right w:val="single" w:sz="4" w:space="0" w:color="auto"/>
            </w:tcBorders>
            <w:noWrap/>
            <w:vAlign w:val="center"/>
            <w:hideMark/>
          </w:tcPr>
          <w:p w14:paraId="20AD746C" w14:textId="004B68D4" w:rsidR="00E9083F" w:rsidRPr="00633647" w:rsidRDefault="0002016B">
            <w:pPr>
              <w:spacing w:after="0" w:line="240" w:lineRule="auto"/>
              <w:jc w:val="right"/>
              <w:rPr>
                <w:rFonts w:asciiTheme="minorHAnsi" w:eastAsia="Times New Roman" w:hAnsiTheme="minorHAnsi" w:cstheme="minorHAnsi"/>
                <w:color w:val="000000"/>
                <w:sz w:val="18"/>
                <w:szCs w:val="18"/>
                <w:lang w:eastAsia="fr-FR"/>
              </w:rPr>
            </w:pPr>
            <w:r>
              <w:rPr>
                <w:rFonts w:asciiTheme="minorHAnsi" w:eastAsia="Times New Roman" w:hAnsiTheme="minorHAnsi" w:cstheme="minorHAnsi"/>
                <w:color w:val="000000"/>
                <w:sz w:val="18"/>
                <w:szCs w:val="18"/>
                <w:lang w:eastAsia="fr-FR"/>
              </w:rPr>
              <w:t>12</w:t>
            </w:r>
            <w:r w:rsidR="00C66C50">
              <w:rPr>
                <w:rFonts w:asciiTheme="minorHAnsi" w:eastAsia="Times New Roman" w:hAnsiTheme="minorHAnsi" w:cstheme="minorHAnsi"/>
                <w:color w:val="000000"/>
                <w:sz w:val="18"/>
                <w:szCs w:val="18"/>
                <w:lang w:eastAsia="fr-FR"/>
              </w:rPr>
              <w:t> </w:t>
            </w:r>
            <w:r>
              <w:rPr>
                <w:rFonts w:asciiTheme="minorHAnsi" w:eastAsia="Times New Roman" w:hAnsiTheme="minorHAnsi" w:cstheme="minorHAnsi"/>
                <w:color w:val="000000"/>
                <w:sz w:val="18"/>
                <w:szCs w:val="18"/>
                <w:lang w:eastAsia="fr-FR"/>
              </w:rPr>
              <w:t>200</w:t>
            </w:r>
            <w:r w:rsidR="00C66C50">
              <w:rPr>
                <w:rFonts w:asciiTheme="minorHAnsi" w:eastAsia="Times New Roman" w:hAnsiTheme="minorHAnsi" w:cstheme="minorHAnsi"/>
                <w:color w:val="000000"/>
                <w:sz w:val="18"/>
                <w:szCs w:val="18"/>
                <w:lang w:eastAsia="fr-FR"/>
              </w:rPr>
              <w:t> 000 000</w:t>
            </w:r>
            <w:r w:rsidR="00E9083F" w:rsidRPr="00633647">
              <w:rPr>
                <w:rFonts w:asciiTheme="minorHAnsi" w:eastAsia="Times New Roman" w:hAnsiTheme="minorHAnsi" w:cstheme="minorHAnsi"/>
                <w:color w:val="000000"/>
                <w:sz w:val="18"/>
                <w:szCs w:val="18"/>
                <w:lang w:eastAsia="fr-FR"/>
              </w:rPr>
              <w:t> </w:t>
            </w:r>
          </w:p>
        </w:tc>
        <w:tc>
          <w:tcPr>
            <w:tcW w:w="649" w:type="pct"/>
            <w:vMerge/>
            <w:tcBorders>
              <w:left w:val="nil"/>
              <w:bottom w:val="single" w:sz="4" w:space="0" w:color="auto"/>
              <w:right w:val="single" w:sz="4" w:space="0" w:color="auto"/>
            </w:tcBorders>
            <w:noWrap/>
            <w:vAlign w:val="center"/>
            <w:hideMark/>
          </w:tcPr>
          <w:p w14:paraId="39582462" w14:textId="77777777" w:rsidR="00E9083F" w:rsidRPr="00633647" w:rsidRDefault="00E9083F">
            <w:pPr>
              <w:spacing w:after="0" w:line="240" w:lineRule="auto"/>
              <w:jc w:val="center"/>
              <w:rPr>
                <w:rFonts w:asciiTheme="minorHAnsi" w:eastAsia="Times New Roman" w:hAnsiTheme="minorHAnsi" w:cstheme="minorHAnsi"/>
                <w:color w:val="000000"/>
                <w:sz w:val="18"/>
                <w:szCs w:val="18"/>
                <w:lang w:eastAsia="fr-FR"/>
              </w:rPr>
            </w:pPr>
          </w:p>
        </w:tc>
      </w:tr>
      <w:tr w:rsidR="00E9083F" w:rsidRPr="00633647" w14:paraId="4267F7CE" w14:textId="77777777" w:rsidTr="00633647">
        <w:trPr>
          <w:trHeight w:val="20"/>
        </w:trPr>
        <w:tc>
          <w:tcPr>
            <w:tcW w:w="624" w:type="pct"/>
            <w:vMerge/>
            <w:tcBorders>
              <w:top w:val="nil"/>
              <w:left w:val="single" w:sz="4" w:space="0" w:color="auto"/>
              <w:bottom w:val="single" w:sz="4" w:space="0" w:color="auto"/>
              <w:right w:val="single" w:sz="4" w:space="0" w:color="auto"/>
            </w:tcBorders>
            <w:vAlign w:val="center"/>
            <w:hideMark/>
          </w:tcPr>
          <w:p w14:paraId="7D9BFC79"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p>
        </w:tc>
        <w:tc>
          <w:tcPr>
            <w:tcW w:w="1514" w:type="pct"/>
            <w:vMerge/>
            <w:tcBorders>
              <w:top w:val="nil"/>
              <w:left w:val="single" w:sz="4" w:space="0" w:color="auto"/>
              <w:bottom w:val="single" w:sz="4" w:space="0" w:color="auto"/>
              <w:right w:val="single" w:sz="4" w:space="0" w:color="auto"/>
            </w:tcBorders>
            <w:vAlign w:val="center"/>
            <w:hideMark/>
          </w:tcPr>
          <w:p w14:paraId="64319D73"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p>
        </w:tc>
        <w:tc>
          <w:tcPr>
            <w:tcW w:w="461" w:type="pct"/>
            <w:tcBorders>
              <w:top w:val="nil"/>
              <w:left w:val="nil"/>
              <w:bottom w:val="single" w:sz="4" w:space="0" w:color="auto"/>
              <w:right w:val="single" w:sz="4" w:space="0" w:color="auto"/>
            </w:tcBorders>
            <w:vAlign w:val="center"/>
            <w:hideMark/>
          </w:tcPr>
          <w:p w14:paraId="5E722968"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Direction nationale de l’agriculture (DNA)</w:t>
            </w:r>
          </w:p>
        </w:tc>
        <w:tc>
          <w:tcPr>
            <w:tcW w:w="1172" w:type="pct"/>
            <w:tcBorders>
              <w:top w:val="nil"/>
              <w:left w:val="nil"/>
              <w:bottom w:val="single" w:sz="4" w:space="0" w:color="auto"/>
              <w:right w:val="single" w:sz="4" w:space="0" w:color="auto"/>
            </w:tcBorders>
            <w:vAlign w:val="center"/>
            <w:hideMark/>
          </w:tcPr>
          <w:p w14:paraId="5CAB5272"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Programme de promotion des technologies de production et de l’utilisation de l’engrais organique et le Placement Profond des Engrais chimiques (PPE)</w:t>
            </w:r>
          </w:p>
        </w:tc>
        <w:tc>
          <w:tcPr>
            <w:tcW w:w="582" w:type="pct"/>
            <w:tcBorders>
              <w:top w:val="nil"/>
              <w:left w:val="nil"/>
              <w:bottom w:val="single" w:sz="4" w:space="0" w:color="auto"/>
              <w:right w:val="single" w:sz="4" w:space="0" w:color="auto"/>
            </w:tcBorders>
            <w:noWrap/>
            <w:vAlign w:val="center"/>
            <w:hideMark/>
          </w:tcPr>
          <w:p w14:paraId="3386CD2F" w14:textId="77777777" w:rsidR="00E9083F" w:rsidRPr="00633647" w:rsidRDefault="00E9083F">
            <w:pPr>
              <w:spacing w:after="0" w:line="240" w:lineRule="auto"/>
              <w:jc w:val="right"/>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8 250 000 000</w:t>
            </w:r>
          </w:p>
        </w:tc>
        <w:tc>
          <w:tcPr>
            <w:tcW w:w="649" w:type="pct"/>
            <w:vMerge w:val="restart"/>
            <w:tcBorders>
              <w:top w:val="nil"/>
              <w:left w:val="nil"/>
              <w:right w:val="single" w:sz="4" w:space="0" w:color="auto"/>
            </w:tcBorders>
            <w:noWrap/>
            <w:vAlign w:val="center"/>
            <w:hideMark/>
          </w:tcPr>
          <w:p w14:paraId="557A61E2" w14:textId="77777777" w:rsidR="00E9083F" w:rsidRPr="00633647" w:rsidRDefault="00E9083F">
            <w:pPr>
              <w:spacing w:after="0" w:line="240" w:lineRule="auto"/>
              <w:jc w:val="center"/>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Conditionnelle</w:t>
            </w:r>
          </w:p>
          <w:p w14:paraId="530A04D3" w14:textId="77777777" w:rsidR="00E9083F" w:rsidRPr="00633647" w:rsidRDefault="00E9083F">
            <w:pPr>
              <w:spacing w:after="0" w:line="240" w:lineRule="auto"/>
              <w:jc w:val="center"/>
              <w:rPr>
                <w:rFonts w:asciiTheme="minorHAnsi" w:eastAsia="Times New Roman" w:hAnsiTheme="minorHAnsi" w:cstheme="minorHAnsi"/>
                <w:color w:val="000000"/>
                <w:sz w:val="18"/>
                <w:szCs w:val="18"/>
                <w:lang w:eastAsia="fr-FR"/>
              </w:rPr>
            </w:pPr>
          </w:p>
        </w:tc>
      </w:tr>
      <w:tr w:rsidR="00E9083F" w:rsidRPr="00633647" w14:paraId="11B07522" w14:textId="77777777" w:rsidTr="00633647">
        <w:trPr>
          <w:trHeight w:val="20"/>
        </w:trPr>
        <w:tc>
          <w:tcPr>
            <w:tcW w:w="624" w:type="pct"/>
            <w:tcBorders>
              <w:top w:val="nil"/>
              <w:left w:val="single" w:sz="4" w:space="0" w:color="auto"/>
              <w:bottom w:val="single" w:sz="4" w:space="0" w:color="auto"/>
              <w:right w:val="single" w:sz="4" w:space="0" w:color="auto"/>
            </w:tcBorders>
            <w:vAlign w:val="center"/>
            <w:hideMark/>
          </w:tcPr>
          <w:p w14:paraId="299A7BEB"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Mesure 3 : Résilience des territoires, paysages et écosystèmes agricoles vulnérables</w:t>
            </w:r>
          </w:p>
        </w:tc>
        <w:tc>
          <w:tcPr>
            <w:tcW w:w="1514" w:type="pct"/>
            <w:tcBorders>
              <w:top w:val="nil"/>
              <w:left w:val="nil"/>
              <w:bottom w:val="single" w:sz="4" w:space="0" w:color="auto"/>
              <w:right w:val="single" w:sz="4" w:space="0" w:color="auto"/>
            </w:tcBorders>
            <w:vAlign w:val="center"/>
            <w:hideMark/>
          </w:tcPr>
          <w:p w14:paraId="2690B74C"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Cette mesure repose sur une approche intégrée de gestion durable des paysages afin de renforcer la résilience climatique des producteurs et des communautés rurales. Elle combine restauration des terres, protection des écosystèmes, promotion de pratiques productives durables et diversification des moyens d’existence. Elle peut aussi générer des co-bénéfices d’atténuation par le stockage du carbone dans les sols et la biomasse.</w:t>
            </w:r>
          </w:p>
        </w:tc>
        <w:tc>
          <w:tcPr>
            <w:tcW w:w="461" w:type="pct"/>
            <w:tcBorders>
              <w:top w:val="nil"/>
              <w:left w:val="nil"/>
              <w:bottom w:val="single" w:sz="4" w:space="0" w:color="auto"/>
              <w:right w:val="single" w:sz="4" w:space="0" w:color="auto"/>
            </w:tcBorders>
            <w:vAlign w:val="center"/>
            <w:hideMark/>
          </w:tcPr>
          <w:p w14:paraId="18D498AE"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Direction nationale de l’agriculture (DNA)</w:t>
            </w:r>
          </w:p>
        </w:tc>
        <w:tc>
          <w:tcPr>
            <w:tcW w:w="1172" w:type="pct"/>
            <w:tcBorders>
              <w:top w:val="nil"/>
              <w:left w:val="nil"/>
              <w:bottom w:val="single" w:sz="4" w:space="0" w:color="auto"/>
              <w:right w:val="single" w:sz="4" w:space="0" w:color="auto"/>
            </w:tcBorders>
            <w:vAlign w:val="center"/>
            <w:hideMark/>
          </w:tcPr>
          <w:p w14:paraId="2EF21C49"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Le projet Paysages Résilients, Productifs et Durables (PRPD)</w:t>
            </w:r>
          </w:p>
        </w:tc>
        <w:tc>
          <w:tcPr>
            <w:tcW w:w="582" w:type="pct"/>
            <w:tcBorders>
              <w:top w:val="nil"/>
              <w:left w:val="nil"/>
              <w:bottom w:val="single" w:sz="4" w:space="0" w:color="auto"/>
              <w:right w:val="single" w:sz="4" w:space="0" w:color="auto"/>
            </w:tcBorders>
            <w:noWrap/>
            <w:vAlign w:val="center"/>
            <w:hideMark/>
          </w:tcPr>
          <w:p w14:paraId="1933E487" w14:textId="77777777" w:rsidR="00E9083F" w:rsidRPr="00633647" w:rsidRDefault="00E9083F">
            <w:pPr>
              <w:spacing w:after="0" w:line="240" w:lineRule="auto"/>
              <w:jc w:val="right"/>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27 875 000 000</w:t>
            </w:r>
          </w:p>
        </w:tc>
        <w:tc>
          <w:tcPr>
            <w:tcW w:w="649" w:type="pct"/>
            <w:vMerge/>
            <w:tcBorders>
              <w:left w:val="nil"/>
              <w:bottom w:val="single" w:sz="4" w:space="0" w:color="auto"/>
              <w:right w:val="single" w:sz="4" w:space="0" w:color="auto"/>
            </w:tcBorders>
            <w:noWrap/>
            <w:vAlign w:val="center"/>
            <w:hideMark/>
          </w:tcPr>
          <w:p w14:paraId="76D2D7DF" w14:textId="77777777" w:rsidR="00E9083F" w:rsidRPr="00633647" w:rsidRDefault="00E9083F">
            <w:pPr>
              <w:spacing w:after="0" w:line="240" w:lineRule="auto"/>
              <w:jc w:val="center"/>
              <w:rPr>
                <w:rFonts w:asciiTheme="minorHAnsi" w:eastAsia="Times New Roman" w:hAnsiTheme="minorHAnsi" w:cstheme="minorHAnsi"/>
                <w:color w:val="000000"/>
                <w:sz w:val="18"/>
                <w:szCs w:val="18"/>
                <w:lang w:eastAsia="fr-FR"/>
              </w:rPr>
            </w:pPr>
          </w:p>
        </w:tc>
      </w:tr>
      <w:tr w:rsidR="00E9083F" w:rsidRPr="00633647" w14:paraId="69BF9808" w14:textId="77777777" w:rsidTr="00633647">
        <w:trPr>
          <w:trHeight w:val="20"/>
        </w:trPr>
        <w:tc>
          <w:tcPr>
            <w:tcW w:w="624" w:type="pct"/>
            <w:tcBorders>
              <w:top w:val="nil"/>
              <w:left w:val="single" w:sz="4" w:space="0" w:color="auto"/>
              <w:bottom w:val="single" w:sz="4" w:space="0" w:color="auto"/>
              <w:right w:val="single" w:sz="4" w:space="0" w:color="auto"/>
            </w:tcBorders>
            <w:vAlign w:val="center"/>
            <w:hideMark/>
          </w:tcPr>
          <w:p w14:paraId="398A5B37"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Mesure 4: Formation, insertion des jeunes ruraux et innovation agricole</w:t>
            </w:r>
          </w:p>
        </w:tc>
        <w:tc>
          <w:tcPr>
            <w:tcW w:w="1514" w:type="pct"/>
            <w:tcBorders>
              <w:top w:val="nil"/>
              <w:left w:val="nil"/>
              <w:bottom w:val="single" w:sz="4" w:space="0" w:color="auto"/>
              <w:right w:val="single" w:sz="4" w:space="0" w:color="auto"/>
            </w:tcBorders>
            <w:vAlign w:val="center"/>
            <w:hideMark/>
          </w:tcPr>
          <w:p w14:paraId="0BDA19DC"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 xml:space="preserve">Cette mesure vise à soutenir l’innovation agricole et la modernisation des systèmes de production à travers la mise en place d’un centre d’innovations technologiques dans les agropoles. Elle permettra de tester, diffuser et accompagner l’adoption de </w:t>
            </w:r>
            <w:r w:rsidRPr="00633647">
              <w:rPr>
                <w:rFonts w:asciiTheme="minorHAnsi" w:eastAsia="Times New Roman" w:hAnsiTheme="minorHAnsi" w:cstheme="minorHAnsi"/>
                <w:color w:val="000000"/>
                <w:sz w:val="18"/>
                <w:szCs w:val="18"/>
                <w:lang w:eastAsia="fr-FR"/>
              </w:rPr>
              <w:lastRenderedPageBreak/>
              <w:t>technologies adaptées : mécanisation, transformation, irrigation, semences améliorées, conseil agricole et digitalisation</w:t>
            </w:r>
          </w:p>
        </w:tc>
        <w:tc>
          <w:tcPr>
            <w:tcW w:w="461" w:type="pct"/>
            <w:tcBorders>
              <w:top w:val="nil"/>
              <w:left w:val="nil"/>
              <w:bottom w:val="single" w:sz="4" w:space="0" w:color="auto"/>
              <w:right w:val="single" w:sz="4" w:space="0" w:color="auto"/>
            </w:tcBorders>
            <w:vAlign w:val="center"/>
            <w:hideMark/>
          </w:tcPr>
          <w:p w14:paraId="491ECE56"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lastRenderedPageBreak/>
              <w:t>Direction nationale de l’agriculture (DNA)</w:t>
            </w:r>
          </w:p>
        </w:tc>
        <w:tc>
          <w:tcPr>
            <w:tcW w:w="1172" w:type="pct"/>
            <w:tcBorders>
              <w:top w:val="nil"/>
              <w:left w:val="nil"/>
              <w:bottom w:val="single" w:sz="4" w:space="0" w:color="auto"/>
              <w:right w:val="single" w:sz="4" w:space="0" w:color="auto"/>
            </w:tcBorders>
            <w:vAlign w:val="center"/>
            <w:hideMark/>
          </w:tcPr>
          <w:p w14:paraId="3DDE82AC"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 xml:space="preserve">Projet de Mise en place d’un centre d'innovations technologiques dans les agropoles de Kayes - Sud, Koulikoro - Péri-urbain de Bamako, Mali Sud, Zone </w:t>
            </w:r>
            <w:r w:rsidRPr="00633647">
              <w:rPr>
                <w:rFonts w:asciiTheme="minorHAnsi" w:eastAsia="Times New Roman" w:hAnsiTheme="minorHAnsi" w:cstheme="minorHAnsi"/>
                <w:color w:val="000000"/>
                <w:sz w:val="18"/>
                <w:szCs w:val="18"/>
                <w:lang w:eastAsia="fr-FR"/>
              </w:rPr>
              <w:lastRenderedPageBreak/>
              <w:t>office du Niger/Office Riz Ségou, Zone Lacustre</w:t>
            </w:r>
          </w:p>
        </w:tc>
        <w:tc>
          <w:tcPr>
            <w:tcW w:w="582" w:type="pct"/>
            <w:tcBorders>
              <w:top w:val="nil"/>
              <w:left w:val="nil"/>
              <w:bottom w:val="single" w:sz="4" w:space="0" w:color="auto"/>
              <w:right w:val="single" w:sz="4" w:space="0" w:color="auto"/>
            </w:tcBorders>
            <w:noWrap/>
            <w:vAlign w:val="center"/>
            <w:hideMark/>
          </w:tcPr>
          <w:p w14:paraId="1C47DAA0" w14:textId="77777777" w:rsidR="00E9083F" w:rsidRPr="00633647" w:rsidRDefault="00E9083F">
            <w:pPr>
              <w:spacing w:after="0" w:line="240" w:lineRule="auto"/>
              <w:jc w:val="right"/>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lastRenderedPageBreak/>
              <w:t>5 500 000 000</w:t>
            </w:r>
          </w:p>
        </w:tc>
        <w:tc>
          <w:tcPr>
            <w:tcW w:w="649" w:type="pct"/>
            <w:vMerge w:val="restart"/>
            <w:tcBorders>
              <w:top w:val="nil"/>
              <w:left w:val="nil"/>
              <w:right w:val="single" w:sz="4" w:space="0" w:color="auto"/>
            </w:tcBorders>
            <w:noWrap/>
            <w:vAlign w:val="center"/>
            <w:hideMark/>
          </w:tcPr>
          <w:p w14:paraId="0B9AF34F" w14:textId="77777777" w:rsidR="00E9083F" w:rsidRPr="00633647" w:rsidRDefault="00E9083F">
            <w:pPr>
              <w:spacing w:after="0" w:line="240" w:lineRule="auto"/>
              <w:jc w:val="center"/>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Conditionnelle</w:t>
            </w:r>
          </w:p>
          <w:p w14:paraId="5274E69B" w14:textId="77777777" w:rsidR="00E9083F" w:rsidRPr="00633647" w:rsidRDefault="00E9083F">
            <w:pPr>
              <w:spacing w:after="0" w:line="240" w:lineRule="auto"/>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 </w:t>
            </w:r>
          </w:p>
        </w:tc>
      </w:tr>
      <w:tr w:rsidR="00E9083F" w:rsidRPr="00633647" w14:paraId="4AB29283" w14:textId="77777777" w:rsidTr="00633647">
        <w:trPr>
          <w:trHeight w:val="20"/>
        </w:trPr>
        <w:tc>
          <w:tcPr>
            <w:tcW w:w="624" w:type="pct"/>
            <w:tcBorders>
              <w:top w:val="nil"/>
              <w:left w:val="single" w:sz="4" w:space="0" w:color="auto"/>
              <w:bottom w:val="single" w:sz="4" w:space="0" w:color="auto"/>
              <w:right w:val="single" w:sz="4" w:space="0" w:color="auto"/>
            </w:tcBorders>
            <w:vAlign w:val="center"/>
            <w:hideMark/>
          </w:tcPr>
          <w:p w14:paraId="76384EEF"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Mesure 5 : MRV, données et comptabilisation des émissions du secteur agriculture-élevage</w:t>
            </w:r>
          </w:p>
        </w:tc>
        <w:tc>
          <w:tcPr>
            <w:tcW w:w="1514" w:type="pct"/>
            <w:tcBorders>
              <w:top w:val="nil"/>
              <w:left w:val="nil"/>
              <w:bottom w:val="single" w:sz="4" w:space="0" w:color="auto"/>
              <w:right w:val="single" w:sz="4" w:space="0" w:color="auto"/>
            </w:tcBorders>
            <w:vAlign w:val="center"/>
            <w:hideMark/>
          </w:tcPr>
          <w:p w14:paraId="69391378"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Cette mesure vise à soutenir l’innovation agricole et la modernisation des systèmes de production à travers la mise en place d’un centre d’innovations technologiques dans les agropoles. Elle permettra de tester, diffuser et accompagner l’adoption de technologies adaptées : mécanisation, transformation, irrigation, semences améliorées, conseil agricole et digitalisation</w:t>
            </w:r>
          </w:p>
        </w:tc>
        <w:tc>
          <w:tcPr>
            <w:tcW w:w="461" w:type="pct"/>
            <w:tcBorders>
              <w:top w:val="nil"/>
              <w:left w:val="nil"/>
              <w:bottom w:val="single" w:sz="4" w:space="0" w:color="auto"/>
              <w:right w:val="single" w:sz="4" w:space="0" w:color="auto"/>
            </w:tcBorders>
            <w:vAlign w:val="center"/>
            <w:hideMark/>
          </w:tcPr>
          <w:p w14:paraId="4DACCB1E"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Direction Nationale des productions et industries animales (DNPIA)</w:t>
            </w:r>
          </w:p>
        </w:tc>
        <w:tc>
          <w:tcPr>
            <w:tcW w:w="1172" w:type="pct"/>
            <w:tcBorders>
              <w:top w:val="nil"/>
              <w:left w:val="nil"/>
              <w:bottom w:val="single" w:sz="4" w:space="0" w:color="auto"/>
              <w:right w:val="single" w:sz="4" w:space="0" w:color="auto"/>
            </w:tcBorders>
            <w:vAlign w:val="center"/>
            <w:hideMark/>
          </w:tcPr>
          <w:p w14:paraId="78F926A5" w14:textId="77777777" w:rsidR="00E9083F" w:rsidRPr="00633647" w:rsidRDefault="00E9083F">
            <w:pPr>
              <w:spacing w:after="0" w:line="240" w:lineRule="auto"/>
              <w:jc w:val="both"/>
              <w:rPr>
                <w:rFonts w:asciiTheme="minorHAnsi" w:eastAsia="Times New Roman" w:hAnsiTheme="minorHAnsi" w:cstheme="minorHAnsi"/>
                <w:color w:val="000000"/>
                <w:sz w:val="18"/>
                <w:szCs w:val="18"/>
                <w:lang w:eastAsia="fr-FR"/>
              </w:rPr>
            </w:pPr>
            <w:r w:rsidRPr="00633647">
              <w:rPr>
                <w:rFonts w:asciiTheme="minorHAnsi" w:eastAsia="Times New Roman" w:hAnsiTheme="minorHAnsi" w:cstheme="minorHAnsi"/>
                <w:color w:val="000000"/>
                <w:sz w:val="18"/>
                <w:szCs w:val="18"/>
                <w:lang w:eastAsia="fr-FR"/>
              </w:rPr>
              <w:t xml:space="preserve">Projet d’aménagement pastoral résilient aux changements climatiques </w:t>
            </w:r>
          </w:p>
        </w:tc>
        <w:tc>
          <w:tcPr>
            <w:tcW w:w="582" w:type="pct"/>
            <w:tcBorders>
              <w:top w:val="nil"/>
              <w:left w:val="nil"/>
              <w:bottom w:val="single" w:sz="4" w:space="0" w:color="auto"/>
              <w:right w:val="single" w:sz="4" w:space="0" w:color="auto"/>
            </w:tcBorders>
            <w:noWrap/>
            <w:vAlign w:val="center"/>
            <w:hideMark/>
          </w:tcPr>
          <w:p w14:paraId="094C859A" w14:textId="21C959CA" w:rsidR="00E9083F" w:rsidRPr="00633647" w:rsidRDefault="007F78E6" w:rsidP="009B6C5A">
            <w:pPr>
              <w:spacing w:after="0" w:line="240" w:lineRule="auto"/>
              <w:jc w:val="center"/>
              <w:rPr>
                <w:rFonts w:asciiTheme="minorHAnsi" w:eastAsia="Times New Roman" w:hAnsiTheme="minorHAnsi" w:cstheme="minorHAnsi"/>
                <w:color w:val="000000"/>
                <w:sz w:val="18"/>
                <w:szCs w:val="18"/>
                <w:lang w:eastAsia="fr-FR"/>
              </w:rPr>
            </w:pPr>
            <w:r w:rsidRPr="007F78E6">
              <w:rPr>
                <w:rFonts w:asciiTheme="minorHAnsi" w:eastAsia="Times New Roman" w:hAnsiTheme="minorHAnsi" w:cstheme="minorHAnsi"/>
                <w:color w:val="000000"/>
                <w:sz w:val="18"/>
                <w:szCs w:val="18"/>
                <w:lang w:eastAsia="fr-FR"/>
              </w:rPr>
              <w:t xml:space="preserve">Non </w:t>
            </w:r>
            <w:r w:rsidR="00BA696B">
              <w:rPr>
                <w:rFonts w:asciiTheme="minorHAnsi" w:eastAsia="Times New Roman" w:hAnsiTheme="minorHAnsi" w:cstheme="minorHAnsi"/>
                <w:color w:val="000000"/>
                <w:sz w:val="18"/>
                <w:szCs w:val="18"/>
                <w:lang w:eastAsia="fr-FR"/>
              </w:rPr>
              <w:t>communiqué</w:t>
            </w:r>
          </w:p>
        </w:tc>
        <w:tc>
          <w:tcPr>
            <w:tcW w:w="649" w:type="pct"/>
            <w:vMerge/>
            <w:tcBorders>
              <w:left w:val="nil"/>
              <w:bottom w:val="single" w:sz="4" w:space="0" w:color="auto"/>
              <w:right w:val="single" w:sz="4" w:space="0" w:color="auto"/>
            </w:tcBorders>
            <w:noWrap/>
            <w:vAlign w:val="bottom"/>
            <w:hideMark/>
          </w:tcPr>
          <w:p w14:paraId="57AE0996" w14:textId="77777777" w:rsidR="00E9083F" w:rsidRPr="00633647" w:rsidRDefault="00E9083F">
            <w:pPr>
              <w:spacing w:after="0" w:line="240" w:lineRule="auto"/>
              <w:rPr>
                <w:rFonts w:asciiTheme="minorHAnsi" w:eastAsia="Times New Roman" w:hAnsiTheme="minorHAnsi" w:cstheme="minorHAnsi"/>
                <w:color w:val="000000"/>
                <w:sz w:val="18"/>
                <w:szCs w:val="18"/>
                <w:lang w:eastAsia="fr-FR"/>
              </w:rPr>
            </w:pPr>
          </w:p>
        </w:tc>
      </w:tr>
    </w:tbl>
    <w:p w14:paraId="20E51EDE" w14:textId="77777777" w:rsidR="009B6C5A" w:rsidRDefault="009B6C5A" w:rsidP="009B6C5A">
      <w:pPr>
        <w:spacing w:before="240"/>
        <w:jc w:val="both"/>
      </w:pPr>
      <w:r w:rsidRPr="00F77ED3">
        <w:t>Cette restructuration permet de transformer une liste de projets en un portefeuille plus cohérent, plus lisible et plus conforme aux exigences de la CDN 3.0. Les mesures proposées couvrent les principaux leviers d’atténuation du secteur agricole : riziculture bas-carbone, gestion efficiente de l’azote, stockage du carbone dans les sols, restauration des paysages et renforcement du MRV. Pour être pleinement intégrées dans la CDN 3.0, ces mesures devront être accompagnées de fiches normalisées précisant les porteurs, coûts, calendriers, indicateurs, données d’activité, hypothèses de calcul et potentiels d’atténuation attendus.</w:t>
      </w:r>
    </w:p>
    <w:p w14:paraId="38457D3E" w14:textId="77777777" w:rsidR="009B6C5A" w:rsidRDefault="009B6C5A" w:rsidP="00E9083F">
      <w:pPr>
        <w:rPr>
          <w:rFonts w:ascii="Aptos Narrow" w:eastAsia="Times New Roman" w:hAnsi="Aptos Narrow" w:cs="Times New Roman"/>
          <w:lang w:eastAsia="fr-FR"/>
        </w:rPr>
      </w:pPr>
    </w:p>
    <w:p w14:paraId="78E32B23" w14:textId="77777777" w:rsidR="009B6C5A" w:rsidRDefault="009B6C5A" w:rsidP="00E9083F">
      <w:pPr>
        <w:rPr>
          <w:rFonts w:ascii="Aptos Narrow" w:eastAsia="Times New Roman" w:hAnsi="Aptos Narrow" w:cs="Times New Roman"/>
          <w:lang w:eastAsia="fr-FR"/>
        </w:rPr>
      </w:pPr>
    </w:p>
    <w:p w14:paraId="5B3D3C42" w14:textId="77777777" w:rsidR="009B6C5A" w:rsidRDefault="009B6C5A" w:rsidP="00E9083F">
      <w:pPr>
        <w:rPr>
          <w:rFonts w:ascii="Aptos Narrow" w:eastAsia="Times New Roman" w:hAnsi="Aptos Narrow" w:cs="Times New Roman"/>
          <w:lang w:eastAsia="fr-FR"/>
        </w:rPr>
      </w:pPr>
    </w:p>
    <w:p w14:paraId="7197692B" w14:textId="77777777" w:rsidR="009B6C5A" w:rsidRDefault="009B6C5A" w:rsidP="00E9083F">
      <w:pPr>
        <w:rPr>
          <w:rFonts w:ascii="Aptos Narrow" w:eastAsia="Times New Roman" w:hAnsi="Aptos Narrow" w:cs="Times New Roman"/>
          <w:lang w:eastAsia="fr-FR"/>
        </w:rPr>
      </w:pPr>
    </w:p>
    <w:p w14:paraId="22BF55F5" w14:textId="77777777" w:rsidR="009B6C5A" w:rsidRDefault="009B6C5A" w:rsidP="00E9083F">
      <w:pPr>
        <w:rPr>
          <w:rFonts w:ascii="Aptos Narrow" w:eastAsia="Times New Roman" w:hAnsi="Aptos Narrow" w:cs="Times New Roman"/>
          <w:lang w:eastAsia="fr-FR"/>
        </w:rPr>
      </w:pPr>
    </w:p>
    <w:p w14:paraId="3FAB8F52" w14:textId="77777777" w:rsidR="009B6C5A" w:rsidRDefault="009B6C5A" w:rsidP="00E9083F">
      <w:pPr>
        <w:rPr>
          <w:rFonts w:ascii="Aptos Narrow" w:eastAsia="Times New Roman" w:hAnsi="Aptos Narrow" w:cs="Times New Roman"/>
          <w:lang w:eastAsia="fr-FR"/>
        </w:rPr>
        <w:sectPr w:rsidR="009B6C5A" w:rsidSect="00E9083F">
          <w:pgSz w:w="15840" w:h="12240" w:orient="landscape" w:code="1"/>
          <w:pgMar w:top="1411" w:right="1411" w:bottom="1411" w:left="1411" w:header="706" w:footer="706" w:gutter="0"/>
          <w:cols w:space="708"/>
          <w:docGrid w:linePitch="360"/>
        </w:sectPr>
      </w:pPr>
    </w:p>
    <w:p w14:paraId="05EEB96C" w14:textId="6A3F44E8" w:rsidR="00C31745" w:rsidRPr="000835FC" w:rsidRDefault="00707A5D" w:rsidP="000835FC">
      <w:pPr>
        <w:spacing w:after="0"/>
        <w:jc w:val="both"/>
        <w:rPr>
          <w:b/>
          <w:bCs/>
          <w:u w:val="single"/>
        </w:rPr>
      </w:pPr>
      <w:r w:rsidRPr="000835FC">
        <w:rPr>
          <w:b/>
          <w:bCs/>
          <w:u w:val="single"/>
        </w:rPr>
        <w:lastRenderedPageBreak/>
        <w:t>Scénarios d'atténuation</w:t>
      </w:r>
    </w:p>
    <w:p w14:paraId="04730C94" w14:textId="547B72DE" w:rsidR="00DF351F" w:rsidRDefault="005A59B6" w:rsidP="005A59B6">
      <w:pPr>
        <w:jc w:val="both"/>
      </w:pPr>
      <w:r w:rsidRPr="005A59B6">
        <w:t>Le secteur de l’</w:t>
      </w:r>
      <w:r w:rsidR="0014533B">
        <w:t>A</w:t>
      </w:r>
      <w:r w:rsidRPr="005A59B6">
        <w:t>griculture constitue un pilier stratégique de la CDN 3.0 du Mali, en raison de sa forte contribution aux émissions nationales de gaz à effet de serre, mais également de son rôle central dans la sécurité alimentaire, l’emploi rural et la résilience des populations. Les scénarios d’atténuation proposés reposent sur une transition progressive vers une agriculture intelligente face au climat, combinant amélioration de la productivité, réduction des émissions et renforcement de la durabilité des systèmes de production.</w:t>
      </w:r>
    </w:p>
    <w:p w14:paraId="5C738143" w14:textId="0C8EFE6F" w:rsidR="00B32F30" w:rsidRDefault="00A804D1" w:rsidP="00B32F30">
      <w:pPr>
        <w:jc w:val="both"/>
      </w:pPr>
      <w:r w:rsidRPr="00A804D1">
        <w:t>En</w:t>
      </w:r>
      <w:r w:rsidR="00B32F30" w:rsidRPr="00B32F30">
        <w:t xml:space="preserve"> l’absence de données détaillées par projet fournies par les parties prenantes</w:t>
      </w:r>
      <w:r w:rsidRPr="00A804D1">
        <w:t xml:space="preserve"> (DNA, DNPêche),</w:t>
      </w:r>
      <w:r w:rsidR="00B32F30" w:rsidRPr="00B32F30">
        <w:t xml:space="preserve"> les </w:t>
      </w:r>
      <w:r w:rsidRPr="00A804D1">
        <w:t>émissions</w:t>
      </w:r>
      <w:r w:rsidR="00B32F30" w:rsidRPr="00B32F30">
        <w:t xml:space="preserve"> évitées pour le portefeuille agricole ont été </w:t>
      </w:r>
      <w:r w:rsidRPr="00A804D1">
        <w:t>estimées</w:t>
      </w:r>
      <w:r w:rsidR="00B32F30" w:rsidRPr="00B32F30">
        <w:t xml:space="preserve"> sur la période 2026</w:t>
      </w:r>
      <w:r w:rsidR="00B32F30" w:rsidRPr="00B32F30">
        <w:noBreakHyphen/>
        <w:t>2035</w:t>
      </w:r>
      <w:r w:rsidRPr="00A804D1">
        <w:t xml:space="preserve"> à l’aide de l’outil EX-ACT.</w:t>
      </w:r>
      <w:r w:rsidR="00B32F30" w:rsidRPr="00B32F30">
        <w:t xml:space="preserve"> Les résultats</w:t>
      </w:r>
      <w:r w:rsidRPr="00A804D1">
        <w:t>,</w:t>
      </w:r>
      <w:r w:rsidR="00B32F30" w:rsidRPr="00B32F30">
        <w:t xml:space="preserve"> exprimés en tonnes équivalent CO₂ (tCO₂-eq</w:t>
      </w:r>
      <w:r w:rsidRPr="00A804D1">
        <w:t>),</w:t>
      </w:r>
      <w:r w:rsidR="00B32F30" w:rsidRPr="00B32F30">
        <w:t xml:space="preserve"> permettent de quantifier </w:t>
      </w:r>
      <w:r w:rsidRPr="00A804D1">
        <w:t xml:space="preserve">de manière cohérente le </w:t>
      </w:r>
      <w:r w:rsidR="00B32F30" w:rsidRPr="00B32F30">
        <w:t xml:space="preserve">potentiel d’atténuation </w:t>
      </w:r>
      <w:r w:rsidRPr="00A804D1">
        <w:t xml:space="preserve">des mesures identifiées </w:t>
      </w:r>
      <w:r w:rsidR="00B32F30" w:rsidRPr="00B32F30">
        <w:t>dans le secteur.</w:t>
      </w:r>
    </w:p>
    <w:p w14:paraId="12F3BC22" w14:textId="40CFF095" w:rsidR="00581F50" w:rsidRDefault="00704303" w:rsidP="00581F50">
      <w:pPr>
        <w:jc w:val="both"/>
      </w:pPr>
      <w:r w:rsidRPr="00C16423">
        <w:t xml:space="preserve">Le tableau ci-après présente les projections annuelles du potentiel d’atténuation du portefeuille Agriculture retenu dans le cadre de la CDN 3.0 du Mali sur la période 2026–2035. Les estimations sont exprimées en millions de tonnes équivalent CO₂ (MtCO₂-eq) et traduisent les réductions nettes d’émissions susceptibles d’être générées par les principales mesures structurantes du secteur </w:t>
      </w:r>
      <w:r>
        <w:t>de l’Agriculture.</w:t>
      </w:r>
    </w:p>
    <w:p w14:paraId="26700279" w14:textId="72C1B9E6" w:rsidR="00265640" w:rsidRDefault="00265640" w:rsidP="00265640">
      <w:pPr>
        <w:pStyle w:val="Lgende"/>
        <w:keepNext/>
      </w:pPr>
      <w:bookmarkStart w:id="57" w:name="_Toc234853945"/>
      <w:r>
        <w:t xml:space="preserve">Tableau </w:t>
      </w:r>
      <w:r>
        <w:fldChar w:fldCharType="begin"/>
      </w:r>
      <w:r>
        <w:instrText xml:space="preserve"> SEQ Tableau \* ARABIC </w:instrText>
      </w:r>
      <w:r>
        <w:fldChar w:fldCharType="separate"/>
      </w:r>
      <w:r w:rsidR="0018772E">
        <w:rPr>
          <w:noProof/>
        </w:rPr>
        <w:t>21</w:t>
      </w:r>
      <w:r>
        <w:fldChar w:fldCharType="end"/>
      </w:r>
      <w:r>
        <w:t xml:space="preserve"> : </w:t>
      </w:r>
      <w:r w:rsidRPr="00F876C7">
        <w:t>Émissions évitées par mesure du secteur de l'Agriculture</w:t>
      </w:r>
      <w:r w:rsidR="00BC1496">
        <w:rPr>
          <w:rStyle w:val="Appelnotedebasdep"/>
        </w:rPr>
        <w:footnoteReference w:id="5"/>
      </w:r>
      <w:r w:rsidR="006D05B3" w:rsidRPr="006D05B3">
        <w:t xml:space="preserve"> </w:t>
      </w:r>
      <w:r w:rsidR="006D05B3">
        <w:t>(</w:t>
      </w:r>
      <w:r w:rsidR="006D05B3" w:rsidRPr="00C16423">
        <w:t>MtCO₂-eq)</w:t>
      </w:r>
      <w:bookmarkEnd w:id="57"/>
    </w:p>
    <w:tbl>
      <w:tblPr>
        <w:tblW w:w="5000" w:type="pct"/>
        <w:tblCellMar>
          <w:left w:w="70" w:type="dxa"/>
          <w:right w:w="70" w:type="dxa"/>
        </w:tblCellMar>
        <w:tblLook w:val="04A0" w:firstRow="1" w:lastRow="0" w:firstColumn="1" w:lastColumn="0" w:noHBand="0" w:noVBand="1"/>
      </w:tblPr>
      <w:tblGrid>
        <w:gridCol w:w="3136"/>
        <w:gridCol w:w="658"/>
        <w:gridCol w:w="578"/>
        <w:gridCol w:w="593"/>
        <w:gridCol w:w="659"/>
        <w:gridCol w:w="630"/>
        <w:gridCol w:w="606"/>
        <w:gridCol w:w="617"/>
        <w:gridCol w:w="643"/>
        <w:gridCol w:w="643"/>
        <w:gridCol w:w="643"/>
      </w:tblGrid>
      <w:tr w:rsidR="009F06A2" w:rsidRPr="009F06A2" w14:paraId="2A36F3ED" w14:textId="77777777" w:rsidTr="00E52FA0">
        <w:trPr>
          <w:trHeight w:val="290"/>
        </w:trPr>
        <w:tc>
          <w:tcPr>
            <w:tcW w:w="1667" w:type="pct"/>
            <w:tcBorders>
              <w:top w:val="single" w:sz="4" w:space="0" w:color="auto"/>
              <w:left w:val="single" w:sz="4" w:space="0" w:color="auto"/>
              <w:bottom w:val="single" w:sz="4" w:space="0" w:color="auto"/>
              <w:right w:val="single" w:sz="4" w:space="0" w:color="auto"/>
            </w:tcBorders>
            <w:shd w:val="clear" w:color="auto" w:fill="1F4E79" w:themeFill="accent1" w:themeFillShade="80"/>
            <w:noWrap/>
            <w:vAlign w:val="bottom"/>
            <w:hideMark/>
          </w:tcPr>
          <w:p w14:paraId="0AD219C8" w14:textId="77777777" w:rsidR="009F06A2" w:rsidRPr="009F06A2" w:rsidRDefault="009F06A2" w:rsidP="009F06A2">
            <w:pPr>
              <w:spacing w:after="0" w:line="240" w:lineRule="auto"/>
              <w:jc w:val="center"/>
              <w:rPr>
                <w:rFonts w:eastAsia="Times New Roman"/>
                <w:b/>
                <w:bCs/>
                <w:color w:val="FFFFFF" w:themeColor="background1"/>
                <w:sz w:val="20"/>
                <w:szCs w:val="20"/>
                <w:lang w:eastAsia="fr-FR"/>
              </w:rPr>
            </w:pPr>
            <w:r w:rsidRPr="009F06A2">
              <w:rPr>
                <w:rFonts w:eastAsia="Times New Roman"/>
                <w:b/>
                <w:bCs/>
                <w:color w:val="FFFFFF" w:themeColor="background1"/>
                <w:sz w:val="20"/>
                <w:szCs w:val="20"/>
                <w:lang w:eastAsia="fr-FR"/>
              </w:rPr>
              <w:t xml:space="preserve">Mesures d'Atténuation </w:t>
            </w:r>
          </w:p>
        </w:tc>
        <w:tc>
          <w:tcPr>
            <w:tcW w:w="357" w:type="pct"/>
            <w:tcBorders>
              <w:top w:val="single" w:sz="4" w:space="0" w:color="auto"/>
              <w:left w:val="nil"/>
              <w:bottom w:val="single" w:sz="4" w:space="0" w:color="auto"/>
              <w:right w:val="single" w:sz="4" w:space="0" w:color="auto"/>
            </w:tcBorders>
            <w:shd w:val="clear" w:color="auto" w:fill="1F4E79" w:themeFill="accent1" w:themeFillShade="80"/>
            <w:noWrap/>
            <w:vAlign w:val="bottom"/>
            <w:hideMark/>
          </w:tcPr>
          <w:p w14:paraId="3933C46E" w14:textId="77777777" w:rsidR="009F06A2" w:rsidRPr="009F06A2" w:rsidRDefault="009F06A2" w:rsidP="009F06A2">
            <w:pPr>
              <w:spacing w:after="0" w:line="240" w:lineRule="auto"/>
              <w:jc w:val="right"/>
              <w:rPr>
                <w:rFonts w:eastAsia="Times New Roman"/>
                <w:b/>
                <w:bCs/>
                <w:color w:val="FFFFFF" w:themeColor="background1"/>
                <w:sz w:val="20"/>
                <w:szCs w:val="20"/>
                <w:lang w:eastAsia="fr-FR"/>
              </w:rPr>
            </w:pPr>
            <w:r w:rsidRPr="009F06A2">
              <w:rPr>
                <w:rFonts w:eastAsia="Times New Roman"/>
                <w:b/>
                <w:bCs/>
                <w:color w:val="FFFFFF" w:themeColor="background1"/>
                <w:sz w:val="20"/>
                <w:szCs w:val="20"/>
                <w:lang w:eastAsia="fr-FR"/>
              </w:rPr>
              <w:t>2026</w:t>
            </w:r>
          </w:p>
        </w:tc>
        <w:tc>
          <w:tcPr>
            <w:tcW w:w="314" w:type="pct"/>
            <w:tcBorders>
              <w:top w:val="single" w:sz="4" w:space="0" w:color="auto"/>
              <w:left w:val="nil"/>
              <w:bottom w:val="single" w:sz="4" w:space="0" w:color="auto"/>
              <w:right w:val="single" w:sz="4" w:space="0" w:color="auto"/>
            </w:tcBorders>
            <w:shd w:val="clear" w:color="auto" w:fill="1F4E79" w:themeFill="accent1" w:themeFillShade="80"/>
            <w:noWrap/>
            <w:vAlign w:val="bottom"/>
            <w:hideMark/>
          </w:tcPr>
          <w:p w14:paraId="12038156" w14:textId="77777777" w:rsidR="009F06A2" w:rsidRPr="009F06A2" w:rsidRDefault="009F06A2" w:rsidP="009F06A2">
            <w:pPr>
              <w:spacing w:after="0" w:line="240" w:lineRule="auto"/>
              <w:jc w:val="right"/>
              <w:rPr>
                <w:rFonts w:eastAsia="Times New Roman"/>
                <w:b/>
                <w:bCs/>
                <w:color w:val="FFFFFF" w:themeColor="background1"/>
                <w:sz w:val="20"/>
                <w:szCs w:val="20"/>
                <w:lang w:eastAsia="fr-FR"/>
              </w:rPr>
            </w:pPr>
            <w:r w:rsidRPr="009F06A2">
              <w:rPr>
                <w:rFonts w:eastAsia="Times New Roman"/>
                <w:b/>
                <w:bCs/>
                <w:color w:val="FFFFFF" w:themeColor="background1"/>
                <w:sz w:val="20"/>
                <w:szCs w:val="20"/>
                <w:lang w:eastAsia="fr-FR"/>
              </w:rPr>
              <w:t>2027</w:t>
            </w:r>
          </w:p>
        </w:tc>
        <w:tc>
          <w:tcPr>
            <w:tcW w:w="322" w:type="pct"/>
            <w:tcBorders>
              <w:top w:val="single" w:sz="4" w:space="0" w:color="auto"/>
              <w:left w:val="nil"/>
              <w:bottom w:val="single" w:sz="4" w:space="0" w:color="auto"/>
              <w:right w:val="single" w:sz="4" w:space="0" w:color="auto"/>
            </w:tcBorders>
            <w:shd w:val="clear" w:color="auto" w:fill="1F4E79" w:themeFill="accent1" w:themeFillShade="80"/>
            <w:noWrap/>
            <w:vAlign w:val="bottom"/>
            <w:hideMark/>
          </w:tcPr>
          <w:p w14:paraId="2B857DC3" w14:textId="77777777" w:rsidR="009F06A2" w:rsidRPr="009F06A2" w:rsidRDefault="009F06A2" w:rsidP="009F06A2">
            <w:pPr>
              <w:spacing w:after="0" w:line="240" w:lineRule="auto"/>
              <w:jc w:val="right"/>
              <w:rPr>
                <w:rFonts w:eastAsia="Times New Roman"/>
                <w:b/>
                <w:bCs/>
                <w:color w:val="FFFFFF" w:themeColor="background1"/>
                <w:sz w:val="20"/>
                <w:szCs w:val="20"/>
                <w:lang w:eastAsia="fr-FR"/>
              </w:rPr>
            </w:pPr>
            <w:r w:rsidRPr="009F06A2">
              <w:rPr>
                <w:rFonts w:eastAsia="Times New Roman"/>
                <w:b/>
                <w:bCs/>
                <w:color w:val="FFFFFF" w:themeColor="background1"/>
                <w:sz w:val="20"/>
                <w:szCs w:val="20"/>
                <w:lang w:eastAsia="fr-FR"/>
              </w:rPr>
              <w:t>2028</w:t>
            </w:r>
          </w:p>
        </w:tc>
        <w:tc>
          <w:tcPr>
            <w:tcW w:w="357" w:type="pct"/>
            <w:tcBorders>
              <w:top w:val="single" w:sz="4" w:space="0" w:color="auto"/>
              <w:left w:val="nil"/>
              <w:bottom w:val="single" w:sz="4" w:space="0" w:color="auto"/>
              <w:right w:val="single" w:sz="4" w:space="0" w:color="auto"/>
            </w:tcBorders>
            <w:shd w:val="clear" w:color="auto" w:fill="1F4E79" w:themeFill="accent1" w:themeFillShade="80"/>
            <w:noWrap/>
            <w:vAlign w:val="bottom"/>
            <w:hideMark/>
          </w:tcPr>
          <w:p w14:paraId="3B365A30" w14:textId="77777777" w:rsidR="009F06A2" w:rsidRPr="009F06A2" w:rsidRDefault="009F06A2" w:rsidP="009F06A2">
            <w:pPr>
              <w:spacing w:after="0" w:line="240" w:lineRule="auto"/>
              <w:jc w:val="right"/>
              <w:rPr>
                <w:rFonts w:eastAsia="Times New Roman"/>
                <w:b/>
                <w:bCs/>
                <w:color w:val="FFFFFF" w:themeColor="background1"/>
                <w:sz w:val="20"/>
                <w:szCs w:val="20"/>
                <w:lang w:eastAsia="fr-FR"/>
              </w:rPr>
            </w:pPr>
            <w:r w:rsidRPr="009F06A2">
              <w:rPr>
                <w:rFonts w:eastAsia="Times New Roman"/>
                <w:b/>
                <w:bCs/>
                <w:color w:val="FFFFFF" w:themeColor="background1"/>
                <w:sz w:val="20"/>
                <w:szCs w:val="20"/>
                <w:lang w:eastAsia="fr-FR"/>
              </w:rPr>
              <w:t>2029</w:t>
            </w:r>
          </w:p>
        </w:tc>
        <w:tc>
          <w:tcPr>
            <w:tcW w:w="342" w:type="pct"/>
            <w:tcBorders>
              <w:top w:val="single" w:sz="4" w:space="0" w:color="auto"/>
              <w:left w:val="nil"/>
              <w:bottom w:val="single" w:sz="4" w:space="0" w:color="auto"/>
              <w:right w:val="single" w:sz="4" w:space="0" w:color="auto"/>
            </w:tcBorders>
            <w:shd w:val="clear" w:color="auto" w:fill="1F4E79" w:themeFill="accent1" w:themeFillShade="80"/>
            <w:noWrap/>
            <w:vAlign w:val="bottom"/>
            <w:hideMark/>
          </w:tcPr>
          <w:p w14:paraId="2F2EADB1" w14:textId="77777777" w:rsidR="009F06A2" w:rsidRPr="009F06A2" w:rsidRDefault="009F06A2" w:rsidP="009F06A2">
            <w:pPr>
              <w:spacing w:after="0" w:line="240" w:lineRule="auto"/>
              <w:jc w:val="right"/>
              <w:rPr>
                <w:rFonts w:eastAsia="Times New Roman"/>
                <w:b/>
                <w:bCs/>
                <w:color w:val="FFFFFF" w:themeColor="background1"/>
                <w:sz w:val="20"/>
                <w:szCs w:val="20"/>
                <w:lang w:eastAsia="fr-FR"/>
              </w:rPr>
            </w:pPr>
            <w:r w:rsidRPr="009F06A2">
              <w:rPr>
                <w:rFonts w:eastAsia="Times New Roman"/>
                <w:b/>
                <w:bCs/>
                <w:color w:val="FFFFFF" w:themeColor="background1"/>
                <w:sz w:val="20"/>
                <w:szCs w:val="20"/>
                <w:lang w:eastAsia="fr-FR"/>
              </w:rPr>
              <w:t>2030</w:t>
            </w:r>
          </w:p>
        </w:tc>
        <w:tc>
          <w:tcPr>
            <w:tcW w:w="329" w:type="pct"/>
            <w:tcBorders>
              <w:top w:val="single" w:sz="4" w:space="0" w:color="auto"/>
              <w:left w:val="nil"/>
              <w:bottom w:val="single" w:sz="4" w:space="0" w:color="auto"/>
              <w:right w:val="single" w:sz="4" w:space="0" w:color="auto"/>
            </w:tcBorders>
            <w:shd w:val="clear" w:color="auto" w:fill="1F4E79" w:themeFill="accent1" w:themeFillShade="80"/>
            <w:noWrap/>
            <w:vAlign w:val="bottom"/>
            <w:hideMark/>
          </w:tcPr>
          <w:p w14:paraId="2CCA395E" w14:textId="77777777" w:rsidR="009F06A2" w:rsidRPr="009F06A2" w:rsidRDefault="009F06A2" w:rsidP="009F06A2">
            <w:pPr>
              <w:spacing w:after="0" w:line="240" w:lineRule="auto"/>
              <w:jc w:val="right"/>
              <w:rPr>
                <w:rFonts w:eastAsia="Times New Roman"/>
                <w:b/>
                <w:bCs/>
                <w:color w:val="FFFFFF" w:themeColor="background1"/>
                <w:sz w:val="20"/>
                <w:szCs w:val="20"/>
                <w:lang w:eastAsia="fr-FR"/>
              </w:rPr>
            </w:pPr>
            <w:r w:rsidRPr="009F06A2">
              <w:rPr>
                <w:rFonts w:eastAsia="Times New Roman"/>
                <w:b/>
                <w:bCs/>
                <w:color w:val="FFFFFF" w:themeColor="background1"/>
                <w:sz w:val="20"/>
                <w:szCs w:val="20"/>
                <w:lang w:eastAsia="fr-FR"/>
              </w:rPr>
              <w:t>2031</w:t>
            </w:r>
          </w:p>
        </w:tc>
        <w:tc>
          <w:tcPr>
            <w:tcW w:w="335" w:type="pct"/>
            <w:tcBorders>
              <w:top w:val="single" w:sz="4" w:space="0" w:color="auto"/>
              <w:left w:val="nil"/>
              <w:bottom w:val="single" w:sz="4" w:space="0" w:color="auto"/>
              <w:right w:val="single" w:sz="4" w:space="0" w:color="auto"/>
            </w:tcBorders>
            <w:shd w:val="clear" w:color="auto" w:fill="1F4E79" w:themeFill="accent1" w:themeFillShade="80"/>
            <w:noWrap/>
            <w:vAlign w:val="bottom"/>
            <w:hideMark/>
          </w:tcPr>
          <w:p w14:paraId="65078B5C" w14:textId="77777777" w:rsidR="009F06A2" w:rsidRPr="009F06A2" w:rsidRDefault="009F06A2" w:rsidP="009F06A2">
            <w:pPr>
              <w:spacing w:after="0" w:line="240" w:lineRule="auto"/>
              <w:jc w:val="right"/>
              <w:rPr>
                <w:rFonts w:eastAsia="Times New Roman"/>
                <w:b/>
                <w:bCs/>
                <w:color w:val="FFFFFF" w:themeColor="background1"/>
                <w:sz w:val="20"/>
                <w:szCs w:val="20"/>
                <w:lang w:eastAsia="fr-FR"/>
              </w:rPr>
            </w:pPr>
            <w:r w:rsidRPr="009F06A2">
              <w:rPr>
                <w:rFonts w:eastAsia="Times New Roman"/>
                <w:b/>
                <w:bCs/>
                <w:color w:val="FFFFFF" w:themeColor="background1"/>
                <w:sz w:val="20"/>
                <w:szCs w:val="20"/>
                <w:lang w:eastAsia="fr-FR"/>
              </w:rPr>
              <w:t>2032</w:t>
            </w:r>
          </w:p>
        </w:tc>
        <w:tc>
          <w:tcPr>
            <w:tcW w:w="329" w:type="pct"/>
            <w:tcBorders>
              <w:top w:val="single" w:sz="4" w:space="0" w:color="auto"/>
              <w:left w:val="nil"/>
              <w:bottom w:val="single" w:sz="4" w:space="0" w:color="auto"/>
              <w:right w:val="single" w:sz="4" w:space="0" w:color="auto"/>
            </w:tcBorders>
            <w:shd w:val="clear" w:color="auto" w:fill="1F4E79" w:themeFill="accent1" w:themeFillShade="80"/>
            <w:noWrap/>
            <w:vAlign w:val="bottom"/>
            <w:hideMark/>
          </w:tcPr>
          <w:p w14:paraId="6D7A3BCF" w14:textId="77777777" w:rsidR="009F06A2" w:rsidRPr="009F06A2" w:rsidRDefault="009F06A2" w:rsidP="009F06A2">
            <w:pPr>
              <w:spacing w:after="0" w:line="240" w:lineRule="auto"/>
              <w:jc w:val="right"/>
              <w:rPr>
                <w:rFonts w:eastAsia="Times New Roman"/>
                <w:b/>
                <w:bCs/>
                <w:color w:val="FFFFFF" w:themeColor="background1"/>
                <w:sz w:val="20"/>
                <w:szCs w:val="20"/>
                <w:lang w:eastAsia="fr-FR"/>
              </w:rPr>
            </w:pPr>
            <w:r w:rsidRPr="009F06A2">
              <w:rPr>
                <w:rFonts w:eastAsia="Times New Roman"/>
                <w:b/>
                <w:bCs/>
                <w:color w:val="FFFFFF" w:themeColor="background1"/>
                <w:sz w:val="20"/>
                <w:szCs w:val="20"/>
                <w:lang w:eastAsia="fr-FR"/>
              </w:rPr>
              <w:t>2033</w:t>
            </w:r>
          </w:p>
        </w:tc>
        <w:tc>
          <w:tcPr>
            <w:tcW w:w="335" w:type="pct"/>
            <w:tcBorders>
              <w:top w:val="single" w:sz="4" w:space="0" w:color="auto"/>
              <w:left w:val="nil"/>
              <w:bottom w:val="single" w:sz="4" w:space="0" w:color="auto"/>
              <w:right w:val="single" w:sz="4" w:space="0" w:color="auto"/>
            </w:tcBorders>
            <w:shd w:val="clear" w:color="auto" w:fill="1F4E79" w:themeFill="accent1" w:themeFillShade="80"/>
            <w:noWrap/>
            <w:vAlign w:val="bottom"/>
            <w:hideMark/>
          </w:tcPr>
          <w:p w14:paraId="055569EA" w14:textId="77777777" w:rsidR="009F06A2" w:rsidRPr="009F06A2" w:rsidRDefault="009F06A2" w:rsidP="009F06A2">
            <w:pPr>
              <w:spacing w:after="0" w:line="240" w:lineRule="auto"/>
              <w:jc w:val="right"/>
              <w:rPr>
                <w:rFonts w:eastAsia="Times New Roman"/>
                <w:b/>
                <w:bCs/>
                <w:color w:val="FFFFFF" w:themeColor="background1"/>
                <w:sz w:val="20"/>
                <w:szCs w:val="20"/>
                <w:lang w:eastAsia="fr-FR"/>
              </w:rPr>
            </w:pPr>
            <w:r w:rsidRPr="009F06A2">
              <w:rPr>
                <w:rFonts w:eastAsia="Times New Roman"/>
                <w:b/>
                <w:bCs/>
                <w:color w:val="FFFFFF" w:themeColor="background1"/>
                <w:sz w:val="20"/>
                <w:szCs w:val="20"/>
                <w:lang w:eastAsia="fr-FR"/>
              </w:rPr>
              <w:t>2034</w:t>
            </w:r>
          </w:p>
        </w:tc>
        <w:tc>
          <w:tcPr>
            <w:tcW w:w="313" w:type="pct"/>
            <w:tcBorders>
              <w:top w:val="single" w:sz="4" w:space="0" w:color="auto"/>
              <w:left w:val="nil"/>
              <w:bottom w:val="single" w:sz="4" w:space="0" w:color="auto"/>
              <w:right w:val="single" w:sz="4" w:space="0" w:color="auto"/>
            </w:tcBorders>
            <w:shd w:val="clear" w:color="auto" w:fill="1F4E79" w:themeFill="accent1" w:themeFillShade="80"/>
            <w:noWrap/>
            <w:vAlign w:val="bottom"/>
            <w:hideMark/>
          </w:tcPr>
          <w:p w14:paraId="38CCF745" w14:textId="77777777" w:rsidR="009F06A2" w:rsidRPr="009F06A2" w:rsidRDefault="009F06A2" w:rsidP="009F06A2">
            <w:pPr>
              <w:spacing w:after="0" w:line="240" w:lineRule="auto"/>
              <w:jc w:val="right"/>
              <w:rPr>
                <w:rFonts w:eastAsia="Times New Roman"/>
                <w:b/>
                <w:bCs/>
                <w:color w:val="FFFFFF" w:themeColor="background1"/>
                <w:sz w:val="20"/>
                <w:szCs w:val="20"/>
                <w:lang w:eastAsia="fr-FR"/>
              </w:rPr>
            </w:pPr>
            <w:r w:rsidRPr="009F06A2">
              <w:rPr>
                <w:rFonts w:eastAsia="Times New Roman"/>
                <w:b/>
                <w:bCs/>
                <w:color w:val="FFFFFF" w:themeColor="background1"/>
                <w:sz w:val="20"/>
                <w:szCs w:val="20"/>
                <w:lang w:eastAsia="fr-FR"/>
              </w:rPr>
              <w:t>2035</w:t>
            </w:r>
          </w:p>
        </w:tc>
      </w:tr>
      <w:tr w:rsidR="009F06A2" w:rsidRPr="009F06A2" w14:paraId="3D018DC4" w14:textId="77777777" w:rsidTr="00E52FA0">
        <w:trPr>
          <w:trHeight w:val="570"/>
        </w:trPr>
        <w:tc>
          <w:tcPr>
            <w:tcW w:w="1667" w:type="pct"/>
            <w:tcBorders>
              <w:top w:val="single" w:sz="4" w:space="0" w:color="auto"/>
              <w:left w:val="single" w:sz="4" w:space="0" w:color="auto"/>
              <w:bottom w:val="single" w:sz="4" w:space="0" w:color="auto"/>
              <w:right w:val="single" w:sz="4" w:space="0" w:color="auto"/>
            </w:tcBorders>
            <w:vAlign w:val="center"/>
            <w:hideMark/>
          </w:tcPr>
          <w:p w14:paraId="1938871E" w14:textId="77777777" w:rsidR="009F06A2" w:rsidRPr="009F06A2" w:rsidRDefault="009F06A2" w:rsidP="009F06A2">
            <w:pPr>
              <w:spacing w:after="0" w:line="240" w:lineRule="auto"/>
              <w:rPr>
                <w:rFonts w:eastAsia="Times New Roman"/>
                <w:color w:val="000000"/>
                <w:sz w:val="20"/>
                <w:szCs w:val="20"/>
                <w:lang w:eastAsia="fr-FR"/>
              </w:rPr>
            </w:pPr>
            <w:r w:rsidRPr="009F06A2">
              <w:rPr>
                <w:rFonts w:eastAsia="Times New Roman"/>
                <w:color w:val="000000"/>
                <w:sz w:val="20"/>
                <w:szCs w:val="20"/>
                <w:lang w:eastAsia="fr-FR"/>
              </w:rPr>
              <w:t>Mesure 1 : Intensification durable et résiliente des systèmes de production agricole</w:t>
            </w:r>
          </w:p>
        </w:tc>
        <w:tc>
          <w:tcPr>
            <w:tcW w:w="357" w:type="pct"/>
            <w:tcBorders>
              <w:top w:val="nil"/>
              <w:left w:val="nil"/>
              <w:bottom w:val="single" w:sz="4" w:space="0" w:color="auto"/>
              <w:right w:val="single" w:sz="4" w:space="0" w:color="auto"/>
            </w:tcBorders>
            <w:noWrap/>
            <w:vAlign w:val="center"/>
            <w:hideMark/>
          </w:tcPr>
          <w:p w14:paraId="28A45055"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0,18</w:t>
            </w:r>
          </w:p>
        </w:tc>
        <w:tc>
          <w:tcPr>
            <w:tcW w:w="314" w:type="pct"/>
            <w:tcBorders>
              <w:top w:val="nil"/>
              <w:left w:val="nil"/>
              <w:bottom w:val="single" w:sz="4" w:space="0" w:color="auto"/>
              <w:right w:val="single" w:sz="4" w:space="0" w:color="auto"/>
            </w:tcBorders>
            <w:noWrap/>
            <w:vAlign w:val="center"/>
            <w:hideMark/>
          </w:tcPr>
          <w:p w14:paraId="42AA9CD4"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0,55</w:t>
            </w:r>
          </w:p>
        </w:tc>
        <w:tc>
          <w:tcPr>
            <w:tcW w:w="322" w:type="pct"/>
            <w:tcBorders>
              <w:top w:val="nil"/>
              <w:left w:val="nil"/>
              <w:bottom w:val="single" w:sz="4" w:space="0" w:color="auto"/>
              <w:right w:val="single" w:sz="4" w:space="0" w:color="auto"/>
            </w:tcBorders>
            <w:noWrap/>
            <w:vAlign w:val="center"/>
            <w:hideMark/>
          </w:tcPr>
          <w:p w14:paraId="264F4397"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0,91</w:t>
            </w:r>
          </w:p>
        </w:tc>
        <w:tc>
          <w:tcPr>
            <w:tcW w:w="357" w:type="pct"/>
            <w:tcBorders>
              <w:top w:val="nil"/>
              <w:left w:val="nil"/>
              <w:bottom w:val="single" w:sz="4" w:space="0" w:color="auto"/>
              <w:right w:val="single" w:sz="4" w:space="0" w:color="auto"/>
            </w:tcBorders>
            <w:noWrap/>
            <w:vAlign w:val="center"/>
            <w:hideMark/>
          </w:tcPr>
          <w:p w14:paraId="49E0B1C6"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1,28</w:t>
            </w:r>
          </w:p>
        </w:tc>
        <w:tc>
          <w:tcPr>
            <w:tcW w:w="342" w:type="pct"/>
            <w:tcBorders>
              <w:top w:val="nil"/>
              <w:left w:val="nil"/>
              <w:bottom w:val="single" w:sz="4" w:space="0" w:color="auto"/>
              <w:right w:val="single" w:sz="4" w:space="0" w:color="auto"/>
            </w:tcBorders>
            <w:noWrap/>
            <w:vAlign w:val="center"/>
            <w:hideMark/>
          </w:tcPr>
          <w:p w14:paraId="4C10E26E"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1,64</w:t>
            </w:r>
          </w:p>
        </w:tc>
        <w:tc>
          <w:tcPr>
            <w:tcW w:w="329" w:type="pct"/>
            <w:tcBorders>
              <w:top w:val="nil"/>
              <w:left w:val="nil"/>
              <w:bottom w:val="single" w:sz="4" w:space="0" w:color="auto"/>
              <w:right w:val="single" w:sz="4" w:space="0" w:color="auto"/>
            </w:tcBorders>
            <w:noWrap/>
            <w:vAlign w:val="center"/>
            <w:hideMark/>
          </w:tcPr>
          <w:p w14:paraId="3ECB6636"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2,01</w:t>
            </w:r>
          </w:p>
        </w:tc>
        <w:tc>
          <w:tcPr>
            <w:tcW w:w="335" w:type="pct"/>
            <w:tcBorders>
              <w:top w:val="nil"/>
              <w:left w:val="nil"/>
              <w:bottom w:val="single" w:sz="4" w:space="0" w:color="auto"/>
              <w:right w:val="single" w:sz="4" w:space="0" w:color="auto"/>
            </w:tcBorders>
            <w:noWrap/>
            <w:vAlign w:val="center"/>
            <w:hideMark/>
          </w:tcPr>
          <w:p w14:paraId="1C1CEDB3"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2,37</w:t>
            </w:r>
          </w:p>
        </w:tc>
        <w:tc>
          <w:tcPr>
            <w:tcW w:w="329" w:type="pct"/>
            <w:tcBorders>
              <w:top w:val="nil"/>
              <w:left w:val="nil"/>
              <w:bottom w:val="single" w:sz="4" w:space="0" w:color="auto"/>
              <w:right w:val="single" w:sz="4" w:space="0" w:color="auto"/>
            </w:tcBorders>
            <w:noWrap/>
            <w:vAlign w:val="center"/>
            <w:hideMark/>
          </w:tcPr>
          <w:p w14:paraId="1CD7BBD4"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2,58</w:t>
            </w:r>
          </w:p>
        </w:tc>
        <w:tc>
          <w:tcPr>
            <w:tcW w:w="335" w:type="pct"/>
            <w:tcBorders>
              <w:top w:val="nil"/>
              <w:left w:val="nil"/>
              <w:bottom w:val="single" w:sz="4" w:space="0" w:color="auto"/>
              <w:right w:val="single" w:sz="4" w:space="0" w:color="auto"/>
            </w:tcBorders>
            <w:noWrap/>
            <w:vAlign w:val="center"/>
            <w:hideMark/>
          </w:tcPr>
          <w:p w14:paraId="1B4D78A7"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2,61</w:t>
            </w:r>
          </w:p>
        </w:tc>
        <w:tc>
          <w:tcPr>
            <w:tcW w:w="313" w:type="pct"/>
            <w:tcBorders>
              <w:top w:val="nil"/>
              <w:left w:val="nil"/>
              <w:bottom w:val="single" w:sz="4" w:space="0" w:color="auto"/>
              <w:right w:val="single" w:sz="4" w:space="0" w:color="auto"/>
            </w:tcBorders>
            <w:noWrap/>
            <w:vAlign w:val="center"/>
            <w:hideMark/>
          </w:tcPr>
          <w:p w14:paraId="061A60D5"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2,61</w:t>
            </w:r>
          </w:p>
        </w:tc>
      </w:tr>
      <w:tr w:rsidR="009F06A2" w:rsidRPr="009F06A2" w14:paraId="42BFBB68" w14:textId="77777777" w:rsidTr="00E52FA0">
        <w:trPr>
          <w:trHeight w:val="290"/>
        </w:trPr>
        <w:tc>
          <w:tcPr>
            <w:tcW w:w="1667" w:type="pct"/>
            <w:tcBorders>
              <w:top w:val="single" w:sz="4" w:space="0" w:color="auto"/>
              <w:left w:val="single" w:sz="4" w:space="0" w:color="auto"/>
              <w:bottom w:val="single" w:sz="4" w:space="0" w:color="auto"/>
              <w:right w:val="single" w:sz="4" w:space="0" w:color="auto"/>
            </w:tcBorders>
            <w:vAlign w:val="center"/>
            <w:hideMark/>
          </w:tcPr>
          <w:p w14:paraId="7FA86F7E" w14:textId="77777777" w:rsidR="009F06A2" w:rsidRPr="009F06A2" w:rsidRDefault="009F06A2" w:rsidP="009F06A2">
            <w:pPr>
              <w:spacing w:after="0" w:line="240" w:lineRule="auto"/>
              <w:rPr>
                <w:rFonts w:eastAsia="Times New Roman"/>
                <w:color w:val="000000"/>
                <w:sz w:val="20"/>
                <w:szCs w:val="20"/>
                <w:lang w:eastAsia="fr-FR"/>
              </w:rPr>
            </w:pPr>
            <w:r w:rsidRPr="009F06A2">
              <w:rPr>
                <w:rFonts w:eastAsia="Times New Roman"/>
                <w:color w:val="000000"/>
                <w:sz w:val="20"/>
                <w:szCs w:val="20"/>
                <w:lang w:eastAsia="fr-FR"/>
              </w:rPr>
              <w:t>Mesure 2: Restauration de la fertilité des sols, agroécologie et gestion durable des terres</w:t>
            </w:r>
          </w:p>
        </w:tc>
        <w:tc>
          <w:tcPr>
            <w:tcW w:w="357" w:type="pct"/>
            <w:tcBorders>
              <w:top w:val="nil"/>
              <w:left w:val="nil"/>
              <w:bottom w:val="single" w:sz="4" w:space="0" w:color="auto"/>
              <w:right w:val="single" w:sz="4" w:space="0" w:color="auto"/>
            </w:tcBorders>
            <w:noWrap/>
            <w:vAlign w:val="center"/>
            <w:hideMark/>
          </w:tcPr>
          <w:p w14:paraId="7BCA2610"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0,30</w:t>
            </w:r>
          </w:p>
        </w:tc>
        <w:tc>
          <w:tcPr>
            <w:tcW w:w="314" w:type="pct"/>
            <w:tcBorders>
              <w:top w:val="nil"/>
              <w:left w:val="nil"/>
              <w:bottom w:val="single" w:sz="4" w:space="0" w:color="auto"/>
              <w:right w:val="single" w:sz="4" w:space="0" w:color="auto"/>
            </w:tcBorders>
            <w:noWrap/>
            <w:vAlign w:val="center"/>
            <w:hideMark/>
          </w:tcPr>
          <w:p w14:paraId="1523263B"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0,89</w:t>
            </w:r>
          </w:p>
        </w:tc>
        <w:tc>
          <w:tcPr>
            <w:tcW w:w="322" w:type="pct"/>
            <w:tcBorders>
              <w:top w:val="nil"/>
              <w:left w:val="nil"/>
              <w:bottom w:val="single" w:sz="4" w:space="0" w:color="auto"/>
              <w:right w:val="single" w:sz="4" w:space="0" w:color="auto"/>
            </w:tcBorders>
            <w:noWrap/>
            <w:vAlign w:val="center"/>
            <w:hideMark/>
          </w:tcPr>
          <w:p w14:paraId="007E6700"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1,49</w:t>
            </w:r>
          </w:p>
        </w:tc>
        <w:tc>
          <w:tcPr>
            <w:tcW w:w="357" w:type="pct"/>
            <w:tcBorders>
              <w:top w:val="nil"/>
              <w:left w:val="nil"/>
              <w:bottom w:val="single" w:sz="4" w:space="0" w:color="auto"/>
              <w:right w:val="single" w:sz="4" w:space="0" w:color="auto"/>
            </w:tcBorders>
            <w:noWrap/>
            <w:vAlign w:val="center"/>
            <w:hideMark/>
          </w:tcPr>
          <w:p w14:paraId="0C421C02"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2,08</w:t>
            </w:r>
          </w:p>
        </w:tc>
        <w:tc>
          <w:tcPr>
            <w:tcW w:w="342" w:type="pct"/>
            <w:tcBorders>
              <w:top w:val="nil"/>
              <w:left w:val="nil"/>
              <w:bottom w:val="single" w:sz="4" w:space="0" w:color="auto"/>
              <w:right w:val="single" w:sz="4" w:space="0" w:color="auto"/>
            </w:tcBorders>
            <w:noWrap/>
            <w:vAlign w:val="center"/>
            <w:hideMark/>
          </w:tcPr>
          <w:p w14:paraId="5F392442"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2,68</w:t>
            </w:r>
          </w:p>
        </w:tc>
        <w:tc>
          <w:tcPr>
            <w:tcW w:w="329" w:type="pct"/>
            <w:tcBorders>
              <w:top w:val="nil"/>
              <w:left w:val="nil"/>
              <w:bottom w:val="single" w:sz="4" w:space="0" w:color="auto"/>
              <w:right w:val="single" w:sz="4" w:space="0" w:color="auto"/>
            </w:tcBorders>
            <w:noWrap/>
            <w:vAlign w:val="center"/>
            <w:hideMark/>
          </w:tcPr>
          <w:p w14:paraId="2E30F1C6"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3,27</w:t>
            </w:r>
          </w:p>
        </w:tc>
        <w:tc>
          <w:tcPr>
            <w:tcW w:w="335" w:type="pct"/>
            <w:tcBorders>
              <w:top w:val="nil"/>
              <w:left w:val="nil"/>
              <w:bottom w:val="single" w:sz="4" w:space="0" w:color="auto"/>
              <w:right w:val="single" w:sz="4" w:space="0" w:color="auto"/>
            </w:tcBorders>
            <w:noWrap/>
            <w:vAlign w:val="center"/>
            <w:hideMark/>
          </w:tcPr>
          <w:p w14:paraId="26B80968"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3,60</w:t>
            </w:r>
          </w:p>
        </w:tc>
        <w:tc>
          <w:tcPr>
            <w:tcW w:w="329" w:type="pct"/>
            <w:tcBorders>
              <w:top w:val="nil"/>
              <w:left w:val="nil"/>
              <w:bottom w:val="single" w:sz="4" w:space="0" w:color="auto"/>
              <w:right w:val="single" w:sz="4" w:space="0" w:color="auto"/>
            </w:tcBorders>
            <w:noWrap/>
            <w:vAlign w:val="center"/>
            <w:hideMark/>
          </w:tcPr>
          <w:p w14:paraId="7D4D9167"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3,65</w:t>
            </w:r>
          </w:p>
        </w:tc>
        <w:tc>
          <w:tcPr>
            <w:tcW w:w="335" w:type="pct"/>
            <w:tcBorders>
              <w:top w:val="nil"/>
              <w:left w:val="nil"/>
              <w:bottom w:val="single" w:sz="4" w:space="0" w:color="auto"/>
              <w:right w:val="single" w:sz="4" w:space="0" w:color="auto"/>
            </w:tcBorders>
            <w:noWrap/>
            <w:vAlign w:val="center"/>
            <w:hideMark/>
          </w:tcPr>
          <w:p w14:paraId="23D00638"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3,65</w:t>
            </w:r>
          </w:p>
        </w:tc>
        <w:tc>
          <w:tcPr>
            <w:tcW w:w="313" w:type="pct"/>
            <w:tcBorders>
              <w:top w:val="nil"/>
              <w:left w:val="nil"/>
              <w:bottom w:val="single" w:sz="4" w:space="0" w:color="auto"/>
              <w:right w:val="single" w:sz="4" w:space="0" w:color="auto"/>
            </w:tcBorders>
            <w:noWrap/>
            <w:vAlign w:val="center"/>
            <w:hideMark/>
          </w:tcPr>
          <w:p w14:paraId="7E8B5819"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3,65</w:t>
            </w:r>
          </w:p>
        </w:tc>
      </w:tr>
      <w:tr w:rsidR="009F06A2" w:rsidRPr="009F06A2" w14:paraId="367BC9DF" w14:textId="77777777" w:rsidTr="00E52FA0">
        <w:trPr>
          <w:trHeight w:val="480"/>
        </w:trPr>
        <w:tc>
          <w:tcPr>
            <w:tcW w:w="1667" w:type="pct"/>
            <w:tcBorders>
              <w:top w:val="single" w:sz="4" w:space="0" w:color="auto"/>
              <w:left w:val="single" w:sz="4" w:space="0" w:color="auto"/>
              <w:bottom w:val="single" w:sz="4" w:space="0" w:color="auto"/>
              <w:right w:val="single" w:sz="4" w:space="0" w:color="auto"/>
            </w:tcBorders>
            <w:vAlign w:val="center"/>
            <w:hideMark/>
          </w:tcPr>
          <w:p w14:paraId="5085563A" w14:textId="77777777" w:rsidR="009F06A2" w:rsidRPr="009F06A2" w:rsidRDefault="009F06A2" w:rsidP="009F06A2">
            <w:pPr>
              <w:spacing w:after="0" w:line="240" w:lineRule="auto"/>
              <w:rPr>
                <w:rFonts w:eastAsia="Times New Roman"/>
                <w:color w:val="000000"/>
                <w:sz w:val="20"/>
                <w:szCs w:val="20"/>
                <w:lang w:eastAsia="fr-FR"/>
              </w:rPr>
            </w:pPr>
            <w:r w:rsidRPr="009F06A2">
              <w:rPr>
                <w:rFonts w:eastAsia="Times New Roman"/>
                <w:color w:val="000000"/>
                <w:sz w:val="20"/>
                <w:szCs w:val="20"/>
                <w:lang w:eastAsia="fr-FR"/>
              </w:rPr>
              <w:t>Mesure 3 : Résilience des territoires, paysages et écosystèmes agricoles vulnérables</w:t>
            </w:r>
          </w:p>
        </w:tc>
        <w:tc>
          <w:tcPr>
            <w:tcW w:w="357" w:type="pct"/>
            <w:tcBorders>
              <w:top w:val="nil"/>
              <w:left w:val="nil"/>
              <w:bottom w:val="single" w:sz="4" w:space="0" w:color="auto"/>
              <w:right w:val="single" w:sz="4" w:space="0" w:color="auto"/>
            </w:tcBorders>
            <w:noWrap/>
            <w:vAlign w:val="center"/>
            <w:hideMark/>
          </w:tcPr>
          <w:p w14:paraId="2649D9EC"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-0,06</w:t>
            </w:r>
          </w:p>
        </w:tc>
        <w:tc>
          <w:tcPr>
            <w:tcW w:w="314" w:type="pct"/>
            <w:tcBorders>
              <w:top w:val="nil"/>
              <w:left w:val="nil"/>
              <w:bottom w:val="single" w:sz="4" w:space="0" w:color="auto"/>
              <w:right w:val="single" w:sz="4" w:space="0" w:color="auto"/>
            </w:tcBorders>
            <w:noWrap/>
            <w:vAlign w:val="center"/>
            <w:hideMark/>
          </w:tcPr>
          <w:p w14:paraId="7A39E6F5"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-0,11</w:t>
            </w:r>
          </w:p>
        </w:tc>
        <w:tc>
          <w:tcPr>
            <w:tcW w:w="322" w:type="pct"/>
            <w:tcBorders>
              <w:top w:val="nil"/>
              <w:left w:val="nil"/>
              <w:bottom w:val="single" w:sz="4" w:space="0" w:color="auto"/>
              <w:right w:val="single" w:sz="4" w:space="0" w:color="auto"/>
            </w:tcBorders>
            <w:noWrap/>
            <w:vAlign w:val="center"/>
            <w:hideMark/>
          </w:tcPr>
          <w:p w14:paraId="1A5E3600"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-0,19</w:t>
            </w:r>
          </w:p>
        </w:tc>
        <w:tc>
          <w:tcPr>
            <w:tcW w:w="357" w:type="pct"/>
            <w:tcBorders>
              <w:top w:val="nil"/>
              <w:left w:val="nil"/>
              <w:bottom w:val="single" w:sz="4" w:space="0" w:color="auto"/>
              <w:right w:val="single" w:sz="4" w:space="0" w:color="auto"/>
            </w:tcBorders>
            <w:noWrap/>
            <w:vAlign w:val="center"/>
            <w:hideMark/>
          </w:tcPr>
          <w:p w14:paraId="2B4A4E2E"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-0,26</w:t>
            </w:r>
          </w:p>
        </w:tc>
        <w:tc>
          <w:tcPr>
            <w:tcW w:w="342" w:type="pct"/>
            <w:tcBorders>
              <w:top w:val="nil"/>
              <w:left w:val="nil"/>
              <w:bottom w:val="single" w:sz="4" w:space="0" w:color="auto"/>
              <w:right w:val="single" w:sz="4" w:space="0" w:color="auto"/>
            </w:tcBorders>
            <w:noWrap/>
            <w:vAlign w:val="center"/>
            <w:hideMark/>
          </w:tcPr>
          <w:p w14:paraId="5CA60CAE"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-0,33</w:t>
            </w:r>
          </w:p>
        </w:tc>
        <w:tc>
          <w:tcPr>
            <w:tcW w:w="329" w:type="pct"/>
            <w:tcBorders>
              <w:top w:val="nil"/>
              <w:left w:val="nil"/>
              <w:bottom w:val="single" w:sz="4" w:space="0" w:color="auto"/>
              <w:right w:val="single" w:sz="4" w:space="0" w:color="auto"/>
            </w:tcBorders>
            <w:noWrap/>
            <w:vAlign w:val="center"/>
            <w:hideMark/>
          </w:tcPr>
          <w:p w14:paraId="69416479"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-0,41</w:t>
            </w:r>
          </w:p>
        </w:tc>
        <w:tc>
          <w:tcPr>
            <w:tcW w:w="335" w:type="pct"/>
            <w:tcBorders>
              <w:top w:val="nil"/>
              <w:left w:val="nil"/>
              <w:bottom w:val="single" w:sz="4" w:space="0" w:color="auto"/>
              <w:right w:val="single" w:sz="4" w:space="0" w:color="auto"/>
            </w:tcBorders>
            <w:noWrap/>
            <w:vAlign w:val="center"/>
            <w:hideMark/>
          </w:tcPr>
          <w:p w14:paraId="0CB85A11"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-0,48</w:t>
            </w:r>
          </w:p>
        </w:tc>
        <w:tc>
          <w:tcPr>
            <w:tcW w:w="329" w:type="pct"/>
            <w:tcBorders>
              <w:top w:val="nil"/>
              <w:left w:val="nil"/>
              <w:bottom w:val="single" w:sz="4" w:space="0" w:color="auto"/>
              <w:right w:val="single" w:sz="4" w:space="0" w:color="auto"/>
            </w:tcBorders>
            <w:noWrap/>
            <w:vAlign w:val="center"/>
            <w:hideMark/>
          </w:tcPr>
          <w:p w14:paraId="1763E511"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-0,56</w:t>
            </w:r>
          </w:p>
        </w:tc>
        <w:tc>
          <w:tcPr>
            <w:tcW w:w="335" w:type="pct"/>
            <w:tcBorders>
              <w:top w:val="nil"/>
              <w:left w:val="nil"/>
              <w:bottom w:val="single" w:sz="4" w:space="0" w:color="auto"/>
              <w:right w:val="single" w:sz="4" w:space="0" w:color="auto"/>
            </w:tcBorders>
            <w:noWrap/>
            <w:vAlign w:val="center"/>
            <w:hideMark/>
          </w:tcPr>
          <w:p w14:paraId="6E577B10"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-0,60</w:t>
            </w:r>
          </w:p>
        </w:tc>
        <w:tc>
          <w:tcPr>
            <w:tcW w:w="313" w:type="pct"/>
            <w:tcBorders>
              <w:top w:val="nil"/>
              <w:left w:val="nil"/>
              <w:bottom w:val="single" w:sz="4" w:space="0" w:color="auto"/>
              <w:right w:val="single" w:sz="4" w:space="0" w:color="auto"/>
            </w:tcBorders>
            <w:noWrap/>
            <w:vAlign w:val="center"/>
            <w:hideMark/>
          </w:tcPr>
          <w:p w14:paraId="2D19165D" w14:textId="77777777"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-0,60</w:t>
            </w:r>
          </w:p>
        </w:tc>
      </w:tr>
      <w:tr w:rsidR="009F06A2" w:rsidRPr="009F06A2" w14:paraId="1B664C10" w14:textId="77777777" w:rsidTr="00E52FA0">
        <w:trPr>
          <w:trHeight w:val="460"/>
        </w:trPr>
        <w:tc>
          <w:tcPr>
            <w:tcW w:w="1667" w:type="pct"/>
            <w:tcBorders>
              <w:top w:val="single" w:sz="4" w:space="0" w:color="auto"/>
              <w:left w:val="single" w:sz="4" w:space="0" w:color="auto"/>
              <w:bottom w:val="single" w:sz="4" w:space="0" w:color="auto"/>
              <w:right w:val="single" w:sz="4" w:space="0" w:color="auto"/>
            </w:tcBorders>
            <w:vAlign w:val="center"/>
            <w:hideMark/>
          </w:tcPr>
          <w:p w14:paraId="45FC52EB" w14:textId="77777777" w:rsidR="009F06A2" w:rsidRPr="009F06A2" w:rsidRDefault="009F06A2" w:rsidP="009F06A2">
            <w:pPr>
              <w:spacing w:after="0" w:line="240" w:lineRule="auto"/>
              <w:rPr>
                <w:rFonts w:eastAsia="Times New Roman"/>
                <w:color w:val="000000"/>
                <w:sz w:val="20"/>
                <w:szCs w:val="20"/>
                <w:lang w:eastAsia="fr-FR"/>
              </w:rPr>
            </w:pPr>
            <w:r w:rsidRPr="009F06A2">
              <w:rPr>
                <w:rFonts w:eastAsia="Times New Roman"/>
                <w:color w:val="000000"/>
                <w:sz w:val="20"/>
                <w:szCs w:val="20"/>
                <w:lang w:eastAsia="fr-FR"/>
              </w:rPr>
              <w:t>Mesure 4: Formation, insertion des jeunes ruraux et innovation agricole</w:t>
            </w:r>
          </w:p>
        </w:tc>
        <w:tc>
          <w:tcPr>
            <w:tcW w:w="357" w:type="pct"/>
            <w:tcBorders>
              <w:top w:val="nil"/>
              <w:left w:val="nil"/>
              <w:bottom w:val="single" w:sz="4" w:space="0" w:color="auto"/>
              <w:right w:val="single" w:sz="4" w:space="0" w:color="auto"/>
            </w:tcBorders>
            <w:noWrap/>
            <w:vAlign w:val="center"/>
            <w:hideMark/>
          </w:tcPr>
          <w:p w14:paraId="7C05D237" w14:textId="04E6D1F3" w:rsidR="009F06A2" w:rsidRPr="009F06A2" w:rsidRDefault="00AC75F6" w:rsidP="009F06A2">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0</w:t>
            </w:r>
          </w:p>
        </w:tc>
        <w:tc>
          <w:tcPr>
            <w:tcW w:w="314" w:type="pct"/>
            <w:tcBorders>
              <w:top w:val="nil"/>
              <w:left w:val="nil"/>
              <w:bottom w:val="single" w:sz="4" w:space="0" w:color="auto"/>
              <w:right w:val="single" w:sz="4" w:space="0" w:color="auto"/>
            </w:tcBorders>
            <w:noWrap/>
            <w:vAlign w:val="center"/>
            <w:hideMark/>
          </w:tcPr>
          <w:p w14:paraId="065E87D0" w14:textId="26110369" w:rsidR="009F06A2" w:rsidRPr="009F06A2" w:rsidRDefault="00AC75F6" w:rsidP="009F06A2">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0</w:t>
            </w:r>
          </w:p>
        </w:tc>
        <w:tc>
          <w:tcPr>
            <w:tcW w:w="322" w:type="pct"/>
            <w:tcBorders>
              <w:top w:val="nil"/>
              <w:left w:val="nil"/>
              <w:bottom w:val="single" w:sz="4" w:space="0" w:color="auto"/>
              <w:right w:val="single" w:sz="4" w:space="0" w:color="auto"/>
            </w:tcBorders>
            <w:noWrap/>
            <w:vAlign w:val="center"/>
            <w:hideMark/>
          </w:tcPr>
          <w:p w14:paraId="738CE58A" w14:textId="75BCAC75" w:rsidR="009F06A2" w:rsidRPr="009F06A2" w:rsidRDefault="00AC75F6" w:rsidP="009F06A2">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0</w:t>
            </w:r>
          </w:p>
        </w:tc>
        <w:tc>
          <w:tcPr>
            <w:tcW w:w="357" w:type="pct"/>
            <w:tcBorders>
              <w:top w:val="nil"/>
              <w:left w:val="nil"/>
              <w:bottom w:val="single" w:sz="4" w:space="0" w:color="auto"/>
              <w:right w:val="single" w:sz="4" w:space="0" w:color="auto"/>
            </w:tcBorders>
            <w:noWrap/>
            <w:vAlign w:val="center"/>
            <w:hideMark/>
          </w:tcPr>
          <w:p w14:paraId="7F4EDB10" w14:textId="6230F21F" w:rsidR="009F06A2" w:rsidRPr="009F06A2" w:rsidRDefault="00AC75F6" w:rsidP="009F06A2">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0</w:t>
            </w:r>
          </w:p>
        </w:tc>
        <w:tc>
          <w:tcPr>
            <w:tcW w:w="342" w:type="pct"/>
            <w:tcBorders>
              <w:top w:val="nil"/>
              <w:left w:val="nil"/>
              <w:bottom w:val="single" w:sz="4" w:space="0" w:color="auto"/>
              <w:right w:val="single" w:sz="4" w:space="0" w:color="auto"/>
            </w:tcBorders>
            <w:noWrap/>
            <w:vAlign w:val="center"/>
            <w:hideMark/>
          </w:tcPr>
          <w:p w14:paraId="0F36DF70" w14:textId="0AC58594" w:rsidR="009F06A2" w:rsidRPr="009F06A2" w:rsidRDefault="00AC75F6" w:rsidP="009F06A2">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0</w:t>
            </w:r>
          </w:p>
        </w:tc>
        <w:tc>
          <w:tcPr>
            <w:tcW w:w="329" w:type="pct"/>
            <w:tcBorders>
              <w:top w:val="nil"/>
              <w:left w:val="nil"/>
              <w:bottom w:val="single" w:sz="4" w:space="0" w:color="auto"/>
              <w:right w:val="single" w:sz="4" w:space="0" w:color="auto"/>
            </w:tcBorders>
            <w:noWrap/>
            <w:vAlign w:val="center"/>
            <w:hideMark/>
          </w:tcPr>
          <w:p w14:paraId="47269172" w14:textId="56A22AF9" w:rsidR="009F06A2" w:rsidRPr="009F06A2" w:rsidRDefault="00AC75F6" w:rsidP="009F06A2">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0</w:t>
            </w:r>
          </w:p>
        </w:tc>
        <w:tc>
          <w:tcPr>
            <w:tcW w:w="335" w:type="pct"/>
            <w:tcBorders>
              <w:top w:val="nil"/>
              <w:left w:val="nil"/>
              <w:bottom w:val="single" w:sz="4" w:space="0" w:color="auto"/>
              <w:right w:val="single" w:sz="4" w:space="0" w:color="auto"/>
            </w:tcBorders>
            <w:noWrap/>
            <w:vAlign w:val="center"/>
            <w:hideMark/>
          </w:tcPr>
          <w:p w14:paraId="2DA6A060" w14:textId="265772BE" w:rsidR="009F06A2" w:rsidRPr="009F06A2" w:rsidRDefault="00AC75F6" w:rsidP="009F06A2">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0</w:t>
            </w:r>
          </w:p>
        </w:tc>
        <w:tc>
          <w:tcPr>
            <w:tcW w:w="329" w:type="pct"/>
            <w:tcBorders>
              <w:top w:val="nil"/>
              <w:left w:val="nil"/>
              <w:bottom w:val="single" w:sz="4" w:space="0" w:color="auto"/>
              <w:right w:val="single" w:sz="4" w:space="0" w:color="auto"/>
            </w:tcBorders>
            <w:noWrap/>
            <w:vAlign w:val="center"/>
            <w:hideMark/>
          </w:tcPr>
          <w:p w14:paraId="6C63542B" w14:textId="03D9A62A" w:rsidR="009F06A2" w:rsidRPr="009F06A2" w:rsidRDefault="00AC75F6" w:rsidP="009F06A2">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0</w:t>
            </w:r>
          </w:p>
        </w:tc>
        <w:tc>
          <w:tcPr>
            <w:tcW w:w="335" w:type="pct"/>
            <w:tcBorders>
              <w:top w:val="nil"/>
              <w:left w:val="nil"/>
              <w:bottom w:val="single" w:sz="4" w:space="0" w:color="auto"/>
              <w:right w:val="single" w:sz="4" w:space="0" w:color="auto"/>
            </w:tcBorders>
            <w:noWrap/>
            <w:vAlign w:val="center"/>
            <w:hideMark/>
          </w:tcPr>
          <w:p w14:paraId="39A0F8E5" w14:textId="4FC84324" w:rsidR="009F06A2" w:rsidRPr="009F06A2" w:rsidRDefault="00AC75F6" w:rsidP="009F06A2">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0</w:t>
            </w:r>
          </w:p>
        </w:tc>
        <w:tc>
          <w:tcPr>
            <w:tcW w:w="313" w:type="pct"/>
            <w:tcBorders>
              <w:top w:val="nil"/>
              <w:left w:val="nil"/>
              <w:bottom w:val="single" w:sz="4" w:space="0" w:color="auto"/>
              <w:right w:val="single" w:sz="4" w:space="0" w:color="auto"/>
            </w:tcBorders>
            <w:noWrap/>
            <w:vAlign w:val="center"/>
            <w:hideMark/>
          </w:tcPr>
          <w:p w14:paraId="6F794C05" w14:textId="50C4AA86" w:rsidR="009F06A2" w:rsidRPr="009F06A2" w:rsidRDefault="00AC75F6" w:rsidP="009F06A2">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0</w:t>
            </w:r>
          </w:p>
        </w:tc>
      </w:tr>
      <w:tr w:rsidR="009F06A2" w:rsidRPr="009F06A2" w14:paraId="09074F58" w14:textId="77777777" w:rsidTr="00E52FA0">
        <w:trPr>
          <w:trHeight w:val="570"/>
        </w:trPr>
        <w:tc>
          <w:tcPr>
            <w:tcW w:w="1667" w:type="pct"/>
            <w:tcBorders>
              <w:top w:val="single" w:sz="4" w:space="0" w:color="auto"/>
              <w:left w:val="single" w:sz="4" w:space="0" w:color="auto"/>
              <w:bottom w:val="single" w:sz="4" w:space="0" w:color="auto"/>
              <w:right w:val="single" w:sz="4" w:space="0" w:color="auto"/>
            </w:tcBorders>
            <w:vAlign w:val="center"/>
            <w:hideMark/>
          </w:tcPr>
          <w:p w14:paraId="3E80B92F" w14:textId="77777777" w:rsidR="009F06A2" w:rsidRPr="009F06A2" w:rsidRDefault="009F06A2" w:rsidP="009F06A2">
            <w:pPr>
              <w:spacing w:after="0" w:line="240" w:lineRule="auto"/>
              <w:rPr>
                <w:rFonts w:eastAsia="Times New Roman"/>
                <w:color w:val="000000"/>
                <w:sz w:val="20"/>
                <w:szCs w:val="20"/>
                <w:lang w:eastAsia="fr-FR"/>
              </w:rPr>
            </w:pPr>
            <w:r w:rsidRPr="009F06A2">
              <w:rPr>
                <w:rFonts w:eastAsia="Times New Roman"/>
                <w:color w:val="000000"/>
                <w:sz w:val="20"/>
                <w:szCs w:val="20"/>
                <w:lang w:eastAsia="fr-FR"/>
              </w:rPr>
              <w:t>Mesure 5: MRV, données et comptabilisation des émissions du secteur agriculture-élevage</w:t>
            </w:r>
          </w:p>
        </w:tc>
        <w:tc>
          <w:tcPr>
            <w:tcW w:w="357" w:type="pct"/>
            <w:tcBorders>
              <w:top w:val="nil"/>
              <w:left w:val="nil"/>
              <w:bottom w:val="single" w:sz="4" w:space="0" w:color="auto"/>
              <w:right w:val="single" w:sz="4" w:space="0" w:color="auto"/>
            </w:tcBorders>
            <w:noWrap/>
            <w:vAlign w:val="center"/>
            <w:hideMark/>
          </w:tcPr>
          <w:p w14:paraId="6B4D22D4" w14:textId="5A177A30"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w:t>
            </w:r>
            <w:r w:rsidR="00E52FA0" w:rsidRPr="00E52FA0">
              <w:rPr>
                <w:rFonts w:eastAsia="Times New Roman"/>
                <w:color w:val="000000"/>
                <w:sz w:val="20"/>
                <w:szCs w:val="20"/>
                <w:lang w:eastAsia="fr-FR"/>
              </w:rPr>
              <w:t>28</w:t>
            </w:r>
          </w:p>
        </w:tc>
        <w:tc>
          <w:tcPr>
            <w:tcW w:w="314" w:type="pct"/>
            <w:tcBorders>
              <w:top w:val="nil"/>
              <w:left w:val="nil"/>
              <w:bottom w:val="single" w:sz="4" w:space="0" w:color="auto"/>
              <w:right w:val="single" w:sz="4" w:space="0" w:color="auto"/>
            </w:tcBorders>
            <w:noWrap/>
            <w:vAlign w:val="center"/>
            <w:hideMark/>
          </w:tcPr>
          <w:p w14:paraId="093E084B" w14:textId="02823E78"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0,</w:t>
            </w:r>
            <w:r w:rsidR="00E52FA0" w:rsidRPr="00E52FA0">
              <w:rPr>
                <w:rFonts w:eastAsia="Times New Roman"/>
                <w:color w:val="000000"/>
                <w:sz w:val="20"/>
                <w:szCs w:val="20"/>
                <w:lang w:eastAsia="fr-FR"/>
              </w:rPr>
              <w:t>85</w:t>
            </w:r>
          </w:p>
        </w:tc>
        <w:tc>
          <w:tcPr>
            <w:tcW w:w="322" w:type="pct"/>
            <w:tcBorders>
              <w:top w:val="nil"/>
              <w:left w:val="nil"/>
              <w:bottom w:val="single" w:sz="4" w:space="0" w:color="auto"/>
              <w:right w:val="single" w:sz="4" w:space="0" w:color="auto"/>
            </w:tcBorders>
            <w:noWrap/>
            <w:vAlign w:val="center"/>
            <w:hideMark/>
          </w:tcPr>
          <w:p w14:paraId="2BD0E0AA" w14:textId="652685FD" w:rsidR="009F06A2" w:rsidRPr="009F06A2" w:rsidRDefault="00E52FA0" w:rsidP="009F06A2">
            <w:pPr>
              <w:spacing w:after="0" w:line="240" w:lineRule="auto"/>
              <w:jc w:val="center"/>
              <w:rPr>
                <w:rFonts w:eastAsia="Times New Roman"/>
                <w:color w:val="000000"/>
                <w:sz w:val="20"/>
                <w:szCs w:val="20"/>
                <w:lang w:eastAsia="fr-FR"/>
              </w:rPr>
            </w:pPr>
            <w:r w:rsidRPr="00E52FA0">
              <w:rPr>
                <w:rFonts w:eastAsia="Times New Roman"/>
                <w:color w:val="000000"/>
                <w:sz w:val="20"/>
                <w:szCs w:val="20"/>
                <w:lang w:eastAsia="fr-FR"/>
              </w:rPr>
              <w:t>1,42</w:t>
            </w:r>
          </w:p>
        </w:tc>
        <w:tc>
          <w:tcPr>
            <w:tcW w:w="357" w:type="pct"/>
            <w:tcBorders>
              <w:top w:val="nil"/>
              <w:left w:val="nil"/>
              <w:bottom w:val="single" w:sz="4" w:space="0" w:color="auto"/>
              <w:right w:val="single" w:sz="4" w:space="0" w:color="auto"/>
            </w:tcBorders>
            <w:noWrap/>
            <w:vAlign w:val="center"/>
            <w:hideMark/>
          </w:tcPr>
          <w:p w14:paraId="0747B52D" w14:textId="1D51EC09" w:rsidR="009F06A2" w:rsidRPr="009F06A2" w:rsidRDefault="009F06A2" w:rsidP="009F06A2">
            <w:pPr>
              <w:spacing w:after="0" w:line="240" w:lineRule="auto"/>
              <w:jc w:val="center"/>
              <w:rPr>
                <w:rFonts w:eastAsia="Times New Roman"/>
                <w:color w:val="000000"/>
                <w:sz w:val="20"/>
                <w:szCs w:val="20"/>
                <w:lang w:eastAsia="fr-FR"/>
              </w:rPr>
            </w:pPr>
            <w:r w:rsidRPr="009F06A2">
              <w:rPr>
                <w:rFonts w:eastAsia="Times New Roman"/>
                <w:color w:val="000000"/>
                <w:sz w:val="20"/>
                <w:szCs w:val="20"/>
                <w:lang w:eastAsia="fr-FR"/>
              </w:rPr>
              <w:t>1,</w:t>
            </w:r>
            <w:r w:rsidR="00E52FA0" w:rsidRPr="00E52FA0">
              <w:rPr>
                <w:rFonts w:eastAsia="Times New Roman"/>
                <w:color w:val="000000"/>
                <w:sz w:val="20"/>
                <w:szCs w:val="20"/>
                <w:lang w:eastAsia="fr-FR"/>
              </w:rPr>
              <w:t>99</w:t>
            </w:r>
          </w:p>
        </w:tc>
        <w:tc>
          <w:tcPr>
            <w:tcW w:w="342" w:type="pct"/>
            <w:tcBorders>
              <w:top w:val="nil"/>
              <w:left w:val="nil"/>
              <w:bottom w:val="single" w:sz="4" w:space="0" w:color="auto"/>
              <w:right w:val="single" w:sz="4" w:space="0" w:color="auto"/>
            </w:tcBorders>
            <w:noWrap/>
            <w:vAlign w:val="center"/>
            <w:hideMark/>
          </w:tcPr>
          <w:p w14:paraId="64FE2389" w14:textId="1AC7EB7B" w:rsidR="009F06A2" w:rsidRPr="009F06A2" w:rsidRDefault="00E52FA0" w:rsidP="009F06A2">
            <w:pPr>
              <w:spacing w:after="0" w:line="240" w:lineRule="auto"/>
              <w:jc w:val="center"/>
              <w:rPr>
                <w:rFonts w:eastAsia="Times New Roman"/>
                <w:color w:val="000000"/>
                <w:sz w:val="20"/>
                <w:szCs w:val="20"/>
                <w:lang w:eastAsia="fr-FR"/>
              </w:rPr>
            </w:pPr>
            <w:r w:rsidRPr="00E52FA0">
              <w:rPr>
                <w:rFonts w:eastAsia="Times New Roman"/>
                <w:color w:val="000000"/>
                <w:sz w:val="20"/>
                <w:szCs w:val="20"/>
                <w:lang w:eastAsia="fr-FR"/>
              </w:rPr>
              <w:t>2,56</w:t>
            </w:r>
          </w:p>
        </w:tc>
        <w:tc>
          <w:tcPr>
            <w:tcW w:w="329" w:type="pct"/>
            <w:tcBorders>
              <w:top w:val="nil"/>
              <w:left w:val="nil"/>
              <w:bottom w:val="single" w:sz="4" w:space="0" w:color="auto"/>
              <w:right w:val="single" w:sz="4" w:space="0" w:color="auto"/>
            </w:tcBorders>
            <w:noWrap/>
            <w:vAlign w:val="center"/>
            <w:hideMark/>
          </w:tcPr>
          <w:p w14:paraId="04A634B6" w14:textId="0CFB247F" w:rsidR="009F06A2" w:rsidRPr="009F06A2" w:rsidRDefault="00E52FA0" w:rsidP="009F06A2">
            <w:pPr>
              <w:spacing w:after="0" w:line="240" w:lineRule="auto"/>
              <w:jc w:val="center"/>
              <w:rPr>
                <w:rFonts w:eastAsia="Times New Roman"/>
                <w:color w:val="000000"/>
                <w:sz w:val="20"/>
                <w:szCs w:val="20"/>
                <w:lang w:eastAsia="fr-FR"/>
              </w:rPr>
            </w:pPr>
            <w:r w:rsidRPr="00E52FA0">
              <w:rPr>
                <w:rFonts w:eastAsia="Times New Roman"/>
                <w:color w:val="000000"/>
                <w:sz w:val="20"/>
                <w:szCs w:val="20"/>
                <w:lang w:eastAsia="fr-FR"/>
              </w:rPr>
              <w:t>3,13</w:t>
            </w:r>
          </w:p>
        </w:tc>
        <w:tc>
          <w:tcPr>
            <w:tcW w:w="335" w:type="pct"/>
            <w:tcBorders>
              <w:top w:val="nil"/>
              <w:left w:val="nil"/>
              <w:bottom w:val="single" w:sz="4" w:space="0" w:color="auto"/>
              <w:right w:val="single" w:sz="4" w:space="0" w:color="auto"/>
            </w:tcBorders>
            <w:noWrap/>
            <w:vAlign w:val="center"/>
            <w:hideMark/>
          </w:tcPr>
          <w:p w14:paraId="7740D9D8" w14:textId="2189EA34" w:rsidR="009F06A2" w:rsidRPr="009F06A2" w:rsidRDefault="00E52FA0" w:rsidP="009F06A2">
            <w:pPr>
              <w:spacing w:after="0" w:line="240" w:lineRule="auto"/>
              <w:jc w:val="center"/>
              <w:rPr>
                <w:rFonts w:eastAsia="Times New Roman"/>
                <w:color w:val="000000"/>
                <w:sz w:val="20"/>
                <w:szCs w:val="20"/>
                <w:lang w:eastAsia="fr-FR"/>
              </w:rPr>
            </w:pPr>
            <w:r w:rsidRPr="00E52FA0">
              <w:rPr>
                <w:rFonts w:eastAsia="Times New Roman"/>
                <w:color w:val="000000"/>
                <w:sz w:val="20"/>
                <w:szCs w:val="20"/>
                <w:lang w:eastAsia="fr-FR"/>
              </w:rPr>
              <w:t>3,41</w:t>
            </w:r>
          </w:p>
        </w:tc>
        <w:tc>
          <w:tcPr>
            <w:tcW w:w="329" w:type="pct"/>
            <w:tcBorders>
              <w:top w:val="nil"/>
              <w:left w:val="nil"/>
              <w:bottom w:val="single" w:sz="4" w:space="0" w:color="auto"/>
              <w:right w:val="single" w:sz="4" w:space="0" w:color="auto"/>
            </w:tcBorders>
            <w:noWrap/>
            <w:vAlign w:val="center"/>
            <w:hideMark/>
          </w:tcPr>
          <w:p w14:paraId="0DF2285C" w14:textId="3CA85116" w:rsidR="009F06A2" w:rsidRPr="009F06A2" w:rsidRDefault="00E52FA0" w:rsidP="009F06A2">
            <w:pPr>
              <w:spacing w:after="0" w:line="240" w:lineRule="auto"/>
              <w:jc w:val="center"/>
              <w:rPr>
                <w:rFonts w:eastAsia="Times New Roman"/>
                <w:color w:val="000000"/>
                <w:sz w:val="20"/>
                <w:szCs w:val="20"/>
                <w:lang w:eastAsia="fr-FR"/>
              </w:rPr>
            </w:pPr>
            <w:r w:rsidRPr="00E52FA0">
              <w:rPr>
                <w:rFonts w:eastAsia="Times New Roman"/>
                <w:color w:val="000000"/>
                <w:sz w:val="20"/>
                <w:szCs w:val="20"/>
                <w:lang w:eastAsia="fr-FR"/>
              </w:rPr>
              <w:t>3,41</w:t>
            </w:r>
          </w:p>
        </w:tc>
        <w:tc>
          <w:tcPr>
            <w:tcW w:w="335" w:type="pct"/>
            <w:tcBorders>
              <w:top w:val="nil"/>
              <w:left w:val="nil"/>
              <w:bottom w:val="single" w:sz="4" w:space="0" w:color="auto"/>
              <w:right w:val="single" w:sz="4" w:space="0" w:color="auto"/>
            </w:tcBorders>
            <w:noWrap/>
            <w:vAlign w:val="center"/>
            <w:hideMark/>
          </w:tcPr>
          <w:p w14:paraId="1E0312B0" w14:textId="2A4B923B" w:rsidR="009F06A2" w:rsidRPr="009F06A2" w:rsidRDefault="00E52FA0" w:rsidP="009F06A2">
            <w:pPr>
              <w:spacing w:after="0" w:line="240" w:lineRule="auto"/>
              <w:jc w:val="center"/>
              <w:rPr>
                <w:rFonts w:eastAsia="Times New Roman"/>
                <w:color w:val="000000"/>
                <w:sz w:val="20"/>
                <w:szCs w:val="20"/>
                <w:lang w:eastAsia="fr-FR"/>
              </w:rPr>
            </w:pPr>
            <w:r w:rsidRPr="00E52FA0">
              <w:rPr>
                <w:rFonts w:eastAsia="Times New Roman"/>
                <w:color w:val="000000"/>
                <w:sz w:val="20"/>
                <w:szCs w:val="20"/>
                <w:lang w:eastAsia="fr-FR"/>
              </w:rPr>
              <w:t>3,41</w:t>
            </w:r>
          </w:p>
        </w:tc>
        <w:tc>
          <w:tcPr>
            <w:tcW w:w="313" w:type="pct"/>
            <w:tcBorders>
              <w:top w:val="nil"/>
              <w:left w:val="nil"/>
              <w:bottom w:val="single" w:sz="4" w:space="0" w:color="auto"/>
              <w:right w:val="single" w:sz="4" w:space="0" w:color="auto"/>
            </w:tcBorders>
            <w:noWrap/>
            <w:vAlign w:val="center"/>
            <w:hideMark/>
          </w:tcPr>
          <w:p w14:paraId="76F0A56D" w14:textId="169AF269" w:rsidR="009F06A2" w:rsidRPr="009F06A2" w:rsidRDefault="00E52FA0" w:rsidP="009F06A2">
            <w:pPr>
              <w:spacing w:after="0" w:line="240" w:lineRule="auto"/>
              <w:jc w:val="center"/>
              <w:rPr>
                <w:rFonts w:eastAsia="Times New Roman"/>
                <w:color w:val="000000"/>
                <w:sz w:val="20"/>
                <w:szCs w:val="20"/>
                <w:lang w:eastAsia="fr-FR"/>
              </w:rPr>
            </w:pPr>
            <w:r w:rsidRPr="00E52FA0">
              <w:rPr>
                <w:rFonts w:eastAsia="Times New Roman"/>
                <w:color w:val="000000"/>
                <w:sz w:val="20"/>
                <w:szCs w:val="20"/>
                <w:lang w:eastAsia="fr-FR"/>
              </w:rPr>
              <w:t>3,41</w:t>
            </w:r>
          </w:p>
        </w:tc>
      </w:tr>
      <w:tr w:rsidR="009F06A2" w:rsidRPr="009F06A2" w14:paraId="424C61A8" w14:textId="77777777" w:rsidTr="00627E20">
        <w:trPr>
          <w:trHeight w:val="540"/>
        </w:trPr>
        <w:tc>
          <w:tcPr>
            <w:tcW w:w="1667" w:type="pct"/>
            <w:tcBorders>
              <w:top w:val="single" w:sz="4" w:space="0" w:color="auto"/>
              <w:left w:val="single" w:sz="4" w:space="0" w:color="auto"/>
              <w:bottom w:val="single" w:sz="4" w:space="0" w:color="auto"/>
              <w:right w:val="single" w:sz="4" w:space="0" w:color="auto"/>
            </w:tcBorders>
            <w:shd w:val="clear" w:color="auto" w:fill="1F4E79" w:themeFill="accent1" w:themeFillShade="80"/>
            <w:noWrap/>
            <w:vAlign w:val="center"/>
            <w:hideMark/>
          </w:tcPr>
          <w:p w14:paraId="787BA979" w14:textId="4ED0DCA2" w:rsidR="009F06A2" w:rsidRPr="009F06A2" w:rsidRDefault="009F06A2" w:rsidP="009F06A2">
            <w:pPr>
              <w:spacing w:after="0" w:line="240" w:lineRule="auto"/>
              <w:rPr>
                <w:rFonts w:eastAsia="Times New Roman"/>
                <w:b/>
                <w:bCs/>
                <w:color w:val="FFFFFF" w:themeColor="background1"/>
                <w:sz w:val="20"/>
                <w:szCs w:val="20"/>
                <w:lang w:eastAsia="fr-FR"/>
              </w:rPr>
            </w:pPr>
            <w:r w:rsidRPr="009F06A2">
              <w:rPr>
                <w:rFonts w:eastAsia="Times New Roman"/>
                <w:b/>
                <w:bCs/>
                <w:color w:val="FFFFFF" w:themeColor="background1"/>
                <w:sz w:val="20"/>
                <w:szCs w:val="20"/>
                <w:lang w:eastAsia="fr-FR"/>
              </w:rPr>
              <w:t>TOTAL PORTEFEUILLE AGRICULTURE</w:t>
            </w:r>
          </w:p>
        </w:tc>
        <w:tc>
          <w:tcPr>
            <w:tcW w:w="357" w:type="pct"/>
            <w:tcBorders>
              <w:top w:val="nil"/>
              <w:left w:val="nil"/>
              <w:bottom w:val="single" w:sz="4" w:space="0" w:color="auto"/>
              <w:right w:val="single" w:sz="4" w:space="0" w:color="auto"/>
            </w:tcBorders>
            <w:noWrap/>
            <w:vAlign w:val="center"/>
            <w:hideMark/>
          </w:tcPr>
          <w:p w14:paraId="3B21843D" w14:textId="4BD63BB7" w:rsidR="009F06A2" w:rsidRPr="009F06A2" w:rsidRDefault="009F06A2" w:rsidP="009F06A2">
            <w:pPr>
              <w:spacing w:after="0" w:line="240" w:lineRule="auto"/>
              <w:jc w:val="center"/>
              <w:rPr>
                <w:rFonts w:eastAsia="Times New Roman"/>
                <w:b/>
                <w:bCs/>
                <w:color w:val="000000"/>
                <w:sz w:val="20"/>
                <w:szCs w:val="20"/>
                <w:lang w:eastAsia="fr-FR"/>
              </w:rPr>
            </w:pPr>
            <w:r w:rsidRPr="00627E20">
              <w:rPr>
                <w:b/>
              </w:rPr>
              <w:t>0,</w:t>
            </w:r>
            <w:r w:rsidR="00627E20" w:rsidRPr="00627E20">
              <w:rPr>
                <w:b/>
                <w:bCs/>
              </w:rPr>
              <w:t>82</w:t>
            </w:r>
          </w:p>
        </w:tc>
        <w:tc>
          <w:tcPr>
            <w:tcW w:w="314" w:type="pct"/>
            <w:tcBorders>
              <w:top w:val="nil"/>
              <w:left w:val="nil"/>
              <w:bottom w:val="single" w:sz="4" w:space="0" w:color="auto"/>
              <w:right w:val="single" w:sz="4" w:space="0" w:color="auto"/>
            </w:tcBorders>
            <w:noWrap/>
            <w:vAlign w:val="center"/>
            <w:hideMark/>
          </w:tcPr>
          <w:p w14:paraId="0FDAE69D" w14:textId="2BC82923" w:rsidR="009F06A2" w:rsidRPr="009F06A2" w:rsidRDefault="009F06A2" w:rsidP="009F06A2">
            <w:pPr>
              <w:spacing w:after="0" w:line="240" w:lineRule="auto"/>
              <w:jc w:val="center"/>
              <w:rPr>
                <w:rFonts w:eastAsia="Times New Roman"/>
                <w:b/>
                <w:bCs/>
                <w:color w:val="000000"/>
                <w:sz w:val="20"/>
                <w:szCs w:val="20"/>
                <w:lang w:eastAsia="fr-FR"/>
              </w:rPr>
            </w:pPr>
            <w:r w:rsidRPr="00627E20">
              <w:rPr>
                <w:b/>
              </w:rPr>
              <w:t>2,</w:t>
            </w:r>
            <w:r w:rsidR="00627E20" w:rsidRPr="00627E20">
              <w:rPr>
                <w:b/>
                <w:bCs/>
              </w:rPr>
              <w:t>41</w:t>
            </w:r>
          </w:p>
        </w:tc>
        <w:tc>
          <w:tcPr>
            <w:tcW w:w="322" w:type="pct"/>
            <w:tcBorders>
              <w:top w:val="nil"/>
              <w:left w:val="nil"/>
              <w:bottom w:val="single" w:sz="4" w:space="0" w:color="auto"/>
              <w:right w:val="single" w:sz="4" w:space="0" w:color="auto"/>
            </w:tcBorders>
            <w:noWrap/>
            <w:vAlign w:val="center"/>
            <w:hideMark/>
          </w:tcPr>
          <w:p w14:paraId="5BCDCF54" w14:textId="5AE92254" w:rsidR="009F06A2" w:rsidRPr="009F06A2" w:rsidRDefault="00627E20" w:rsidP="009F06A2">
            <w:pPr>
              <w:spacing w:after="0" w:line="240" w:lineRule="auto"/>
              <w:jc w:val="center"/>
              <w:rPr>
                <w:rFonts w:eastAsia="Times New Roman"/>
                <w:b/>
                <w:bCs/>
                <w:color w:val="000000"/>
                <w:sz w:val="20"/>
                <w:szCs w:val="20"/>
                <w:lang w:eastAsia="fr-FR"/>
              </w:rPr>
            </w:pPr>
            <w:r w:rsidRPr="00627E20">
              <w:rPr>
                <w:b/>
                <w:bCs/>
              </w:rPr>
              <w:t>4,01</w:t>
            </w:r>
          </w:p>
        </w:tc>
        <w:tc>
          <w:tcPr>
            <w:tcW w:w="357" w:type="pct"/>
            <w:tcBorders>
              <w:top w:val="nil"/>
              <w:left w:val="nil"/>
              <w:bottom w:val="single" w:sz="4" w:space="0" w:color="auto"/>
              <w:right w:val="single" w:sz="4" w:space="0" w:color="auto"/>
            </w:tcBorders>
            <w:noWrap/>
            <w:vAlign w:val="center"/>
            <w:hideMark/>
          </w:tcPr>
          <w:p w14:paraId="0197AF7F" w14:textId="1ABB6D17" w:rsidR="009F06A2" w:rsidRPr="009F06A2" w:rsidRDefault="00627E20" w:rsidP="009F06A2">
            <w:pPr>
              <w:spacing w:after="0" w:line="240" w:lineRule="auto"/>
              <w:jc w:val="center"/>
              <w:rPr>
                <w:rFonts w:eastAsia="Times New Roman"/>
                <w:b/>
                <w:bCs/>
                <w:color w:val="000000"/>
                <w:sz w:val="20"/>
                <w:szCs w:val="20"/>
                <w:lang w:eastAsia="fr-FR"/>
              </w:rPr>
            </w:pPr>
            <w:r w:rsidRPr="00627E20">
              <w:rPr>
                <w:b/>
                <w:bCs/>
              </w:rPr>
              <w:t>5,61</w:t>
            </w:r>
          </w:p>
        </w:tc>
        <w:tc>
          <w:tcPr>
            <w:tcW w:w="342" w:type="pct"/>
            <w:tcBorders>
              <w:top w:val="nil"/>
              <w:left w:val="nil"/>
              <w:bottom w:val="single" w:sz="4" w:space="0" w:color="auto"/>
              <w:right w:val="single" w:sz="4" w:space="0" w:color="auto"/>
            </w:tcBorders>
            <w:noWrap/>
            <w:vAlign w:val="center"/>
            <w:hideMark/>
          </w:tcPr>
          <w:p w14:paraId="333456C8" w14:textId="077428AC" w:rsidR="009F06A2" w:rsidRPr="009F06A2" w:rsidRDefault="00627E20" w:rsidP="009F06A2">
            <w:pPr>
              <w:spacing w:after="0" w:line="240" w:lineRule="auto"/>
              <w:jc w:val="center"/>
              <w:rPr>
                <w:rFonts w:eastAsia="Times New Roman"/>
                <w:b/>
                <w:bCs/>
                <w:color w:val="000000"/>
                <w:sz w:val="20"/>
                <w:szCs w:val="20"/>
                <w:lang w:eastAsia="fr-FR"/>
              </w:rPr>
            </w:pPr>
            <w:r w:rsidRPr="00627E20">
              <w:rPr>
                <w:b/>
                <w:bCs/>
              </w:rPr>
              <w:t>7,22</w:t>
            </w:r>
          </w:p>
        </w:tc>
        <w:tc>
          <w:tcPr>
            <w:tcW w:w="329" w:type="pct"/>
            <w:tcBorders>
              <w:top w:val="nil"/>
              <w:left w:val="nil"/>
              <w:bottom w:val="single" w:sz="4" w:space="0" w:color="auto"/>
              <w:right w:val="single" w:sz="4" w:space="0" w:color="auto"/>
            </w:tcBorders>
            <w:noWrap/>
            <w:vAlign w:val="center"/>
            <w:hideMark/>
          </w:tcPr>
          <w:p w14:paraId="79F2009C" w14:textId="224A4720" w:rsidR="009F06A2" w:rsidRPr="009F06A2" w:rsidRDefault="00627E20" w:rsidP="009F06A2">
            <w:pPr>
              <w:spacing w:after="0" w:line="240" w:lineRule="auto"/>
              <w:jc w:val="center"/>
              <w:rPr>
                <w:rFonts w:eastAsia="Times New Roman"/>
                <w:b/>
                <w:bCs/>
                <w:color w:val="000000"/>
                <w:sz w:val="20"/>
                <w:szCs w:val="20"/>
                <w:lang w:eastAsia="fr-FR"/>
              </w:rPr>
            </w:pPr>
            <w:r w:rsidRPr="00627E20">
              <w:rPr>
                <w:b/>
                <w:bCs/>
              </w:rPr>
              <w:t>8,82</w:t>
            </w:r>
          </w:p>
        </w:tc>
        <w:tc>
          <w:tcPr>
            <w:tcW w:w="335" w:type="pct"/>
            <w:tcBorders>
              <w:top w:val="nil"/>
              <w:left w:val="nil"/>
              <w:bottom w:val="single" w:sz="4" w:space="0" w:color="auto"/>
              <w:right w:val="single" w:sz="4" w:space="0" w:color="auto"/>
            </w:tcBorders>
            <w:noWrap/>
            <w:vAlign w:val="center"/>
            <w:hideMark/>
          </w:tcPr>
          <w:p w14:paraId="540E50BA" w14:textId="4A385D1C" w:rsidR="009F06A2" w:rsidRPr="009F06A2" w:rsidRDefault="00627E20" w:rsidP="009F06A2">
            <w:pPr>
              <w:spacing w:after="0" w:line="240" w:lineRule="auto"/>
              <w:jc w:val="center"/>
              <w:rPr>
                <w:rFonts w:eastAsia="Times New Roman"/>
                <w:b/>
                <w:bCs/>
                <w:color w:val="000000"/>
                <w:sz w:val="20"/>
                <w:szCs w:val="20"/>
                <w:lang w:eastAsia="fr-FR"/>
              </w:rPr>
            </w:pPr>
            <w:r w:rsidRPr="00627E20">
              <w:rPr>
                <w:b/>
                <w:bCs/>
              </w:rPr>
              <w:t>9,88</w:t>
            </w:r>
          </w:p>
        </w:tc>
        <w:tc>
          <w:tcPr>
            <w:tcW w:w="329" w:type="pct"/>
            <w:tcBorders>
              <w:top w:val="nil"/>
              <w:left w:val="nil"/>
              <w:bottom w:val="single" w:sz="4" w:space="0" w:color="auto"/>
              <w:right w:val="single" w:sz="4" w:space="0" w:color="auto"/>
            </w:tcBorders>
            <w:noWrap/>
            <w:vAlign w:val="center"/>
            <w:hideMark/>
          </w:tcPr>
          <w:p w14:paraId="443BCEF4" w14:textId="3EC55C31" w:rsidR="009F06A2" w:rsidRPr="009F06A2" w:rsidRDefault="00627E20" w:rsidP="009F06A2">
            <w:pPr>
              <w:spacing w:after="0" w:line="240" w:lineRule="auto"/>
              <w:jc w:val="center"/>
              <w:rPr>
                <w:rFonts w:eastAsia="Times New Roman"/>
                <w:b/>
                <w:bCs/>
                <w:color w:val="000000"/>
                <w:sz w:val="20"/>
                <w:szCs w:val="20"/>
                <w:lang w:eastAsia="fr-FR"/>
              </w:rPr>
            </w:pPr>
            <w:r w:rsidRPr="00627E20">
              <w:rPr>
                <w:b/>
                <w:bCs/>
              </w:rPr>
              <w:t>10,20</w:t>
            </w:r>
          </w:p>
        </w:tc>
        <w:tc>
          <w:tcPr>
            <w:tcW w:w="335" w:type="pct"/>
            <w:tcBorders>
              <w:top w:val="nil"/>
              <w:left w:val="nil"/>
              <w:bottom w:val="single" w:sz="4" w:space="0" w:color="auto"/>
              <w:right w:val="single" w:sz="4" w:space="0" w:color="auto"/>
            </w:tcBorders>
            <w:noWrap/>
            <w:vAlign w:val="center"/>
            <w:hideMark/>
          </w:tcPr>
          <w:p w14:paraId="457F493F" w14:textId="12DBEBAB" w:rsidR="009F06A2" w:rsidRPr="009F06A2" w:rsidRDefault="00627E20" w:rsidP="009F06A2">
            <w:pPr>
              <w:spacing w:after="0" w:line="240" w:lineRule="auto"/>
              <w:jc w:val="center"/>
              <w:rPr>
                <w:rFonts w:eastAsia="Times New Roman"/>
                <w:b/>
                <w:bCs/>
                <w:color w:val="000000"/>
                <w:sz w:val="20"/>
                <w:szCs w:val="20"/>
                <w:lang w:eastAsia="fr-FR"/>
              </w:rPr>
            </w:pPr>
            <w:r w:rsidRPr="00627E20">
              <w:rPr>
                <w:b/>
                <w:bCs/>
              </w:rPr>
              <w:t>10,27</w:t>
            </w:r>
          </w:p>
        </w:tc>
        <w:tc>
          <w:tcPr>
            <w:tcW w:w="313" w:type="pct"/>
            <w:tcBorders>
              <w:top w:val="nil"/>
              <w:left w:val="nil"/>
              <w:bottom w:val="single" w:sz="4" w:space="0" w:color="auto"/>
              <w:right w:val="single" w:sz="4" w:space="0" w:color="auto"/>
            </w:tcBorders>
            <w:noWrap/>
            <w:vAlign w:val="center"/>
            <w:hideMark/>
          </w:tcPr>
          <w:p w14:paraId="3F29D13A" w14:textId="27A0B3DC" w:rsidR="009F06A2" w:rsidRPr="009F06A2" w:rsidRDefault="00627E20" w:rsidP="009F06A2">
            <w:pPr>
              <w:spacing w:after="0" w:line="240" w:lineRule="auto"/>
              <w:jc w:val="center"/>
              <w:rPr>
                <w:rFonts w:eastAsia="Times New Roman"/>
                <w:b/>
                <w:bCs/>
                <w:color w:val="000000"/>
                <w:sz w:val="20"/>
                <w:szCs w:val="20"/>
                <w:lang w:eastAsia="fr-FR"/>
              </w:rPr>
            </w:pPr>
            <w:r w:rsidRPr="00627E20">
              <w:rPr>
                <w:b/>
                <w:bCs/>
              </w:rPr>
              <w:t>10,27</w:t>
            </w:r>
          </w:p>
        </w:tc>
      </w:tr>
    </w:tbl>
    <w:p w14:paraId="51B9E97C" w14:textId="601D1F39" w:rsidR="00E9008E" w:rsidRPr="00E9008E" w:rsidRDefault="00562AA3" w:rsidP="00467BA9">
      <w:pPr>
        <w:spacing w:before="120"/>
        <w:jc w:val="both"/>
      </w:pPr>
      <w:r w:rsidRPr="00E9008E">
        <w:t xml:space="preserve">Les projections </w:t>
      </w:r>
      <w:r>
        <w:t xml:space="preserve">indiquent </w:t>
      </w:r>
      <w:r w:rsidRPr="002764EA">
        <w:t>une montée en puissance progressive du potentiel d’atténuation du portefeuille, passant de 0,</w:t>
      </w:r>
      <w:r w:rsidR="00335968">
        <w:t>82</w:t>
      </w:r>
      <w:r w:rsidRPr="002764EA">
        <w:t xml:space="preserve"> MtCO₂-eq en 2026 à plus de </w:t>
      </w:r>
      <w:r w:rsidR="00335968">
        <w:t>10,27</w:t>
      </w:r>
      <w:r w:rsidRPr="002764EA">
        <w:t xml:space="preserve"> MtCO₂-eq à l’horizon 2035, traduisant l’effet cumulé des investissements et transformations structurelles envisagés dans le secteur </w:t>
      </w:r>
      <w:r>
        <w:t>de l’A</w:t>
      </w:r>
      <w:r w:rsidRPr="002764EA">
        <w:t>gric</w:t>
      </w:r>
      <w:r>
        <w:t xml:space="preserve">ulture au </w:t>
      </w:r>
      <w:r w:rsidRPr="002764EA">
        <w:t>Mali</w:t>
      </w:r>
      <w:r w:rsidR="00E9008E" w:rsidRPr="00E9008E">
        <w:t>.</w:t>
      </w:r>
    </w:p>
    <w:p w14:paraId="643F1F6C" w14:textId="542F5786" w:rsidR="00E9008E" w:rsidRDefault="00E9008E" w:rsidP="00E9008E">
      <w:pPr>
        <w:jc w:val="both"/>
      </w:pPr>
      <w:r w:rsidRPr="00E9008E">
        <w:t xml:space="preserve">À partir de la ligne de base sectorielle et des impacts calculés via l’outil EX-ACT, une trajectoire d’atténuation a été établie. Cette ligne reflète la projection des émissions nettes post-intervention, permettant de quantifier annuellement l’effet additionnel du portefeuille sur la mitigation carbone. L’écart </w:t>
      </w:r>
      <w:r w:rsidRPr="00E9008E">
        <w:lastRenderedPageBreak/>
        <w:t>entre la ligne de base et la ligne d’atténuation représente le potentiel de réduction des émissions généré par les mesures retenues dans la CDN 3.0.</w:t>
      </w:r>
    </w:p>
    <w:p w14:paraId="17326A1E" w14:textId="136CF09D" w:rsidR="00D03F37" w:rsidRPr="00E9008E" w:rsidRDefault="00D03F37" w:rsidP="00D03F37">
      <w:pPr>
        <w:jc w:val="both"/>
      </w:pPr>
      <w:r w:rsidRPr="00D03F37">
        <w:t>Le tableau ci-dessous présente la trajectoire annuelle des émissions du secteur agricole sur la période 2026</w:t>
      </w:r>
      <w:r w:rsidRPr="00D03F37">
        <w:noBreakHyphen/>
        <w:t xml:space="preserve">2035, en distinguant la </w:t>
      </w:r>
      <w:r w:rsidRPr="00D03F37">
        <w:rPr>
          <w:b/>
          <w:bCs/>
        </w:rPr>
        <w:t>ligne de base</w:t>
      </w:r>
      <w:r w:rsidRPr="00D03F37">
        <w:t xml:space="preserve">, et la </w:t>
      </w:r>
      <w:r w:rsidRPr="00D03F37">
        <w:rPr>
          <w:b/>
          <w:bCs/>
        </w:rPr>
        <w:t>ligne d’atténuation</w:t>
      </w:r>
      <w:r>
        <w:t>.</w:t>
      </w:r>
    </w:p>
    <w:p w14:paraId="4491BD37" w14:textId="5803ACF3" w:rsidR="00D23378" w:rsidRDefault="00D23378" w:rsidP="00D23378">
      <w:pPr>
        <w:pStyle w:val="Lgende"/>
        <w:keepNext/>
      </w:pPr>
      <w:bookmarkStart w:id="58" w:name="_Toc234853946"/>
      <w:r>
        <w:t xml:space="preserve">Tableau </w:t>
      </w:r>
      <w:r>
        <w:fldChar w:fldCharType="begin"/>
      </w:r>
      <w:r>
        <w:instrText xml:space="preserve"> SEQ Tableau \* ARABIC </w:instrText>
      </w:r>
      <w:r>
        <w:fldChar w:fldCharType="separate"/>
      </w:r>
      <w:r w:rsidR="0018772E">
        <w:rPr>
          <w:noProof/>
        </w:rPr>
        <w:t>22</w:t>
      </w:r>
      <w:r>
        <w:fldChar w:fldCharType="end"/>
      </w:r>
      <w:r>
        <w:t xml:space="preserve">: </w:t>
      </w:r>
      <w:r w:rsidRPr="00273266">
        <w:t xml:space="preserve">Trajectoire des émissions </w:t>
      </w:r>
      <w:r>
        <w:t>de l’Agriculture</w:t>
      </w:r>
      <w:r w:rsidRPr="00273266">
        <w:t xml:space="preserve"> : ligne de base vs ligne d’atténuation (2026</w:t>
      </w:r>
      <w:r w:rsidRPr="00273266">
        <w:rPr>
          <w:rFonts w:ascii="Cambria Math" w:hAnsi="Cambria Math" w:cs="Cambria Math"/>
        </w:rPr>
        <w:t>‑</w:t>
      </w:r>
      <w:r w:rsidRPr="00273266">
        <w:t>2035)</w:t>
      </w:r>
      <w:bookmarkEnd w:id="58"/>
    </w:p>
    <w:tbl>
      <w:tblPr>
        <w:tblStyle w:val="Tableausimple1"/>
        <w:tblW w:w="5000" w:type="pct"/>
        <w:tblLook w:val="04A0" w:firstRow="1" w:lastRow="0" w:firstColumn="1" w:lastColumn="0" w:noHBand="0" w:noVBand="1"/>
      </w:tblPr>
      <w:tblGrid>
        <w:gridCol w:w="1973"/>
        <w:gridCol w:w="698"/>
        <w:gridCol w:w="700"/>
        <w:gridCol w:w="755"/>
        <w:gridCol w:w="755"/>
        <w:gridCol w:w="755"/>
        <w:gridCol w:w="755"/>
        <w:gridCol w:w="755"/>
        <w:gridCol w:w="755"/>
        <w:gridCol w:w="755"/>
        <w:gridCol w:w="755"/>
      </w:tblGrid>
      <w:tr w:rsidR="00666035" w:rsidRPr="009059B1" w14:paraId="4074DE73" w14:textId="77777777" w:rsidTr="00495B19">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8" w:type="pct"/>
            <w:tcBorders>
              <w:top w:val="nil"/>
              <w:left w:val="nil"/>
            </w:tcBorders>
            <w:noWrap/>
            <w:hideMark/>
          </w:tcPr>
          <w:p w14:paraId="3FD9E976" w14:textId="77777777" w:rsidR="00666035" w:rsidRPr="009059B1" w:rsidRDefault="00666035">
            <w:pPr>
              <w:rPr>
                <w:rFonts w:asciiTheme="minorHAnsi" w:eastAsia="Times New Roman" w:hAnsiTheme="minorHAnsi" w:cstheme="minorHAnsi"/>
                <w:sz w:val="20"/>
                <w:szCs w:val="20"/>
                <w:lang w:eastAsia="fr-FR"/>
              </w:rPr>
            </w:pPr>
          </w:p>
        </w:tc>
        <w:tc>
          <w:tcPr>
            <w:tcW w:w="371" w:type="pct"/>
            <w:shd w:val="clear" w:color="auto" w:fill="1F4E79" w:themeFill="accent1" w:themeFillShade="80"/>
            <w:noWrap/>
            <w:hideMark/>
          </w:tcPr>
          <w:p w14:paraId="25DE1D13" w14:textId="77777777" w:rsidR="00666035" w:rsidRPr="009059B1" w:rsidRDefault="00666035">
            <w:pPr>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9059B1">
              <w:rPr>
                <w:rFonts w:asciiTheme="minorHAnsi" w:eastAsia="Times New Roman" w:hAnsiTheme="minorHAnsi" w:cstheme="minorHAnsi"/>
                <w:color w:val="FFFFFF" w:themeColor="background1"/>
                <w:sz w:val="20"/>
                <w:szCs w:val="20"/>
                <w:lang w:eastAsia="fr-FR"/>
              </w:rPr>
              <w:t>2026</w:t>
            </w:r>
          </w:p>
        </w:tc>
        <w:tc>
          <w:tcPr>
            <w:tcW w:w="372" w:type="pct"/>
            <w:shd w:val="clear" w:color="auto" w:fill="1F4E79" w:themeFill="accent1" w:themeFillShade="80"/>
            <w:noWrap/>
            <w:hideMark/>
          </w:tcPr>
          <w:p w14:paraId="550E3299" w14:textId="77777777" w:rsidR="00666035" w:rsidRPr="009059B1" w:rsidRDefault="00666035">
            <w:pPr>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9059B1">
              <w:rPr>
                <w:rFonts w:asciiTheme="minorHAnsi" w:eastAsia="Times New Roman" w:hAnsiTheme="minorHAnsi" w:cstheme="minorHAnsi"/>
                <w:color w:val="FFFFFF" w:themeColor="background1"/>
                <w:sz w:val="20"/>
                <w:szCs w:val="20"/>
                <w:lang w:eastAsia="fr-FR"/>
              </w:rPr>
              <w:t>2027</w:t>
            </w:r>
          </w:p>
        </w:tc>
        <w:tc>
          <w:tcPr>
            <w:tcW w:w="401" w:type="pct"/>
            <w:shd w:val="clear" w:color="auto" w:fill="1F4E79" w:themeFill="accent1" w:themeFillShade="80"/>
            <w:noWrap/>
            <w:hideMark/>
          </w:tcPr>
          <w:p w14:paraId="1CB8097A" w14:textId="77777777" w:rsidR="00666035" w:rsidRPr="009059B1" w:rsidRDefault="00666035">
            <w:pPr>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9059B1">
              <w:rPr>
                <w:rFonts w:asciiTheme="minorHAnsi" w:eastAsia="Times New Roman" w:hAnsiTheme="minorHAnsi" w:cstheme="minorHAnsi"/>
                <w:color w:val="FFFFFF" w:themeColor="background1"/>
                <w:sz w:val="20"/>
                <w:szCs w:val="20"/>
                <w:lang w:eastAsia="fr-FR"/>
              </w:rPr>
              <w:t>2028</w:t>
            </w:r>
          </w:p>
        </w:tc>
        <w:tc>
          <w:tcPr>
            <w:tcW w:w="401" w:type="pct"/>
            <w:shd w:val="clear" w:color="auto" w:fill="1F4E79" w:themeFill="accent1" w:themeFillShade="80"/>
            <w:noWrap/>
            <w:hideMark/>
          </w:tcPr>
          <w:p w14:paraId="5B504464" w14:textId="77777777" w:rsidR="00666035" w:rsidRPr="009059B1" w:rsidRDefault="00666035">
            <w:pPr>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9059B1">
              <w:rPr>
                <w:rFonts w:asciiTheme="minorHAnsi" w:eastAsia="Times New Roman" w:hAnsiTheme="minorHAnsi" w:cstheme="minorHAnsi"/>
                <w:color w:val="FFFFFF" w:themeColor="background1"/>
                <w:sz w:val="20"/>
                <w:szCs w:val="20"/>
                <w:lang w:eastAsia="fr-FR"/>
              </w:rPr>
              <w:t>2029</w:t>
            </w:r>
          </w:p>
        </w:tc>
        <w:tc>
          <w:tcPr>
            <w:tcW w:w="401" w:type="pct"/>
            <w:shd w:val="clear" w:color="auto" w:fill="1F4E79" w:themeFill="accent1" w:themeFillShade="80"/>
            <w:noWrap/>
            <w:hideMark/>
          </w:tcPr>
          <w:p w14:paraId="315C9D93" w14:textId="77777777" w:rsidR="00666035" w:rsidRPr="009059B1" w:rsidRDefault="00666035">
            <w:pPr>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9059B1">
              <w:rPr>
                <w:rFonts w:asciiTheme="minorHAnsi" w:eastAsia="Times New Roman" w:hAnsiTheme="minorHAnsi" w:cstheme="minorHAnsi"/>
                <w:color w:val="FFFFFF" w:themeColor="background1"/>
                <w:sz w:val="20"/>
                <w:szCs w:val="20"/>
                <w:lang w:eastAsia="fr-FR"/>
              </w:rPr>
              <w:t>2030</w:t>
            </w:r>
          </w:p>
        </w:tc>
        <w:tc>
          <w:tcPr>
            <w:tcW w:w="401" w:type="pct"/>
            <w:shd w:val="clear" w:color="auto" w:fill="1F4E79" w:themeFill="accent1" w:themeFillShade="80"/>
            <w:noWrap/>
            <w:hideMark/>
          </w:tcPr>
          <w:p w14:paraId="4915E3CC" w14:textId="77777777" w:rsidR="00666035" w:rsidRPr="009059B1" w:rsidRDefault="00666035">
            <w:pPr>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9059B1">
              <w:rPr>
                <w:rFonts w:asciiTheme="minorHAnsi" w:eastAsia="Times New Roman" w:hAnsiTheme="minorHAnsi" w:cstheme="minorHAnsi"/>
                <w:color w:val="FFFFFF" w:themeColor="background1"/>
                <w:sz w:val="20"/>
                <w:szCs w:val="20"/>
                <w:lang w:eastAsia="fr-FR"/>
              </w:rPr>
              <w:t>2031</w:t>
            </w:r>
          </w:p>
        </w:tc>
        <w:tc>
          <w:tcPr>
            <w:tcW w:w="401" w:type="pct"/>
            <w:shd w:val="clear" w:color="auto" w:fill="1F4E79" w:themeFill="accent1" w:themeFillShade="80"/>
            <w:noWrap/>
            <w:hideMark/>
          </w:tcPr>
          <w:p w14:paraId="67D0E951" w14:textId="77777777" w:rsidR="00666035" w:rsidRPr="009059B1" w:rsidRDefault="00666035">
            <w:pPr>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9059B1">
              <w:rPr>
                <w:rFonts w:asciiTheme="minorHAnsi" w:eastAsia="Times New Roman" w:hAnsiTheme="minorHAnsi" w:cstheme="minorHAnsi"/>
                <w:color w:val="FFFFFF" w:themeColor="background1"/>
                <w:sz w:val="20"/>
                <w:szCs w:val="20"/>
                <w:lang w:eastAsia="fr-FR"/>
              </w:rPr>
              <w:t>2032</w:t>
            </w:r>
          </w:p>
        </w:tc>
        <w:tc>
          <w:tcPr>
            <w:tcW w:w="401" w:type="pct"/>
            <w:shd w:val="clear" w:color="auto" w:fill="1F4E79" w:themeFill="accent1" w:themeFillShade="80"/>
            <w:noWrap/>
            <w:hideMark/>
          </w:tcPr>
          <w:p w14:paraId="5493AAF5" w14:textId="77777777" w:rsidR="00666035" w:rsidRPr="009059B1" w:rsidRDefault="00666035">
            <w:pPr>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9059B1">
              <w:rPr>
                <w:rFonts w:asciiTheme="minorHAnsi" w:eastAsia="Times New Roman" w:hAnsiTheme="minorHAnsi" w:cstheme="minorHAnsi"/>
                <w:color w:val="FFFFFF" w:themeColor="background1"/>
                <w:sz w:val="20"/>
                <w:szCs w:val="20"/>
                <w:lang w:eastAsia="fr-FR"/>
              </w:rPr>
              <w:t>2033</w:t>
            </w:r>
          </w:p>
        </w:tc>
        <w:tc>
          <w:tcPr>
            <w:tcW w:w="401" w:type="pct"/>
            <w:shd w:val="clear" w:color="auto" w:fill="1F4E79" w:themeFill="accent1" w:themeFillShade="80"/>
            <w:noWrap/>
            <w:hideMark/>
          </w:tcPr>
          <w:p w14:paraId="40124D60" w14:textId="77777777" w:rsidR="00666035" w:rsidRPr="009059B1" w:rsidRDefault="00666035">
            <w:pPr>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9059B1">
              <w:rPr>
                <w:rFonts w:asciiTheme="minorHAnsi" w:eastAsia="Times New Roman" w:hAnsiTheme="minorHAnsi" w:cstheme="minorHAnsi"/>
                <w:color w:val="FFFFFF" w:themeColor="background1"/>
                <w:sz w:val="20"/>
                <w:szCs w:val="20"/>
                <w:lang w:eastAsia="fr-FR"/>
              </w:rPr>
              <w:t>2034</w:t>
            </w:r>
          </w:p>
        </w:tc>
        <w:tc>
          <w:tcPr>
            <w:tcW w:w="401" w:type="pct"/>
            <w:shd w:val="clear" w:color="auto" w:fill="1F4E79" w:themeFill="accent1" w:themeFillShade="80"/>
            <w:noWrap/>
            <w:hideMark/>
          </w:tcPr>
          <w:p w14:paraId="192F2396" w14:textId="77777777" w:rsidR="00666035" w:rsidRPr="009059B1" w:rsidRDefault="00666035">
            <w:pPr>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9059B1">
              <w:rPr>
                <w:rFonts w:asciiTheme="minorHAnsi" w:eastAsia="Times New Roman" w:hAnsiTheme="minorHAnsi" w:cstheme="minorHAnsi"/>
                <w:color w:val="FFFFFF" w:themeColor="background1"/>
                <w:sz w:val="20"/>
                <w:szCs w:val="20"/>
                <w:lang w:eastAsia="fr-FR"/>
              </w:rPr>
              <w:t>2035</w:t>
            </w:r>
          </w:p>
        </w:tc>
      </w:tr>
      <w:tr w:rsidR="00666035" w:rsidRPr="009059B1" w14:paraId="4808C069" w14:textId="77777777" w:rsidTr="00495B1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48" w:type="pct"/>
            <w:noWrap/>
            <w:hideMark/>
          </w:tcPr>
          <w:p w14:paraId="5E86BB04" w14:textId="77777777" w:rsidR="00666035" w:rsidRPr="009059B1" w:rsidRDefault="00666035">
            <w:pPr>
              <w:rPr>
                <w:rFonts w:asciiTheme="minorHAnsi" w:eastAsia="Times New Roman" w:hAnsiTheme="minorHAnsi" w:cstheme="minorHAnsi"/>
                <w:color w:val="000000"/>
                <w:sz w:val="20"/>
                <w:szCs w:val="20"/>
                <w:lang w:eastAsia="fr-FR"/>
              </w:rPr>
            </w:pPr>
            <w:r w:rsidRPr="009059B1">
              <w:rPr>
                <w:rFonts w:asciiTheme="minorHAnsi" w:eastAsia="Times New Roman" w:hAnsiTheme="minorHAnsi" w:cstheme="minorHAnsi"/>
                <w:color w:val="000000"/>
                <w:sz w:val="20"/>
                <w:szCs w:val="20"/>
                <w:lang w:eastAsia="fr-FR"/>
              </w:rPr>
              <w:t xml:space="preserve">Ligne de Base </w:t>
            </w:r>
          </w:p>
        </w:tc>
        <w:tc>
          <w:tcPr>
            <w:tcW w:w="371" w:type="pct"/>
            <w:noWrap/>
            <w:hideMark/>
          </w:tcPr>
          <w:p w14:paraId="71C16F1A" w14:textId="77777777" w:rsidR="00666035" w:rsidRPr="009059B1" w:rsidRDefault="0066603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9059B1">
              <w:rPr>
                <w:rFonts w:asciiTheme="minorHAnsi" w:eastAsia="Times New Roman" w:hAnsiTheme="minorHAnsi" w:cstheme="minorHAnsi"/>
                <w:color w:val="000000"/>
                <w:sz w:val="20"/>
                <w:szCs w:val="20"/>
                <w:lang w:eastAsia="fr-FR"/>
              </w:rPr>
              <w:t>28,5</w:t>
            </w:r>
          </w:p>
        </w:tc>
        <w:tc>
          <w:tcPr>
            <w:tcW w:w="372" w:type="pct"/>
            <w:noWrap/>
            <w:hideMark/>
          </w:tcPr>
          <w:p w14:paraId="24D032CE" w14:textId="77777777" w:rsidR="00666035" w:rsidRPr="009059B1" w:rsidRDefault="0066603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9059B1">
              <w:rPr>
                <w:rFonts w:asciiTheme="minorHAnsi" w:eastAsia="Times New Roman" w:hAnsiTheme="minorHAnsi" w:cstheme="minorHAnsi"/>
                <w:color w:val="000000"/>
                <w:sz w:val="20"/>
                <w:szCs w:val="20"/>
                <w:lang w:eastAsia="fr-FR"/>
              </w:rPr>
              <w:t>29,5</w:t>
            </w:r>
          </w:p>
        </w:tc>
        <w:tc>
          <w:tcPr>
            <w:tcW w:w="401" w:type="pct"/>
            <w:noWrap/>
            <w:hideMark/>
          </w:tcPr>
          <w:p w14:paraId="6239D423" w14:textId="77777777" w:rsidR="00666035" w:rsidRPr="009059B1" w:rsidRDefault="0066603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9059B1">
              <w:rPr>
                <w:rFonts w:asciiTheme="minorHAnsi" w:eastAsia="Times New Roman" w:hAnsiTheme="minorHAnsi" w:cstheme="minorHAnsi"/>
                <w:color w:val="000000"/>
                <w:sz w:val="20"/>
                <w:szCs w:val="20"/>
                <w:lang w:eastAsia="fr-FR"/>
              </w:rPr>
              <w:t>29,5</w:t>
            </w:r>
          </w:p>
        </w:tc>
        <w:tc>
          <w:tcPr>
            <w:tcW w:w="401" w:type="pct"/>
            <w:noWrap/>
            <w:hideMark/>
          </w:tcPr>
          <w:p w14:paraId="5F8C319B" w14:textId="77777777" w:rsidR="00666035" w:rsidRPr="009059B1" w:rsidRDefault="0066603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9059B1">
              <w:rPr>
                <w:rFonts w:asciiTheme="minorHAnsi" w:eastAsia="Times New Roman" w:hAnsiTheme="minorHAnsi" w:cstheme="minorHAnsi"/>
                <w:color w:val="000000"/>
                <w:sz w:val="20"/>
                <w:szCs w:val="20"/>
                <w:lang w:eastAsia="fr-FR"/>
              </w:rPr>
              <w:t>31,5</w:t>
            </w:r>
          </w:p>
        </w:tc>
        <w:tc>
          <w:tcPr>
            <w:tcW w:w="401" w:type="pct"/>
            <w:noWrap/>
            <w:hideMark/>
          </w:tcPr>
          <w:p w14:paraId="205800EB" w14:textId="77777777" w:rsidR="00666035" w:rsidRPr="009059B1" w:rsidRDefault="0066603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9059B1">
              <w:rPr>
                <w:rFonts w:asciiTheme="minorHAnsi" w:eastAsia="Times New Roman" w:hAnsiTheme="minorHAnsi" w:cstheme="minorHAnsi"/>
                <w:color w:val="000000"/>
                <w:sz w:val="20"/>
                <w:szCs w:val="20"/>
                <w:lang w:eastAsia="fr-FR"/>
              </w:rPr>
              <w:t>32,6</w:t>
            </w:r>
          </w:p>
        </w:tc>
        <w:tc>
          <w:tcPr>
            <w:tcW w:w="401" w:type="pct"/>
            <w:noWrap/>
            <w:hideMark/>
          </w:tcPr>
          <w:p w14:paraId="6B2809A4" w14:textId="77777777" w:rsidR="00666035" w:rsidRPr="009059B1" w:rsidRDefault="0066603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9059B1">
              <w:rPr>
                <w:rFonts w:asciiTheme="minorHAnsi" w:eastAsia="Times New Roman" w:hAnsiTheme="minorHAnsi" w:cstheme="minorHAnsi"/>
                <w:color w:val="000000"/>
                <w:sz w:val="20"/>
                <w:szCs w:val="20"/>
                <w:lang w:eastAsia="fr-FR"/>
              </w:rPr>
              <w:t>33,7</w:t>
            </w:r>
          </w:p>
        </w:tc>
        <w:tc>
          <w:tcPr>
            <w:tcW w:w="401" w:type="pct"/>
            <w:noWrap/>
            <w:hideMark/>
          </w:tcPr>
          <w:p w14:paraId="7A06C359" w14:textId="77777777" w:rsidR="00666035" w:rsidRPr="009059B1" w:rsidRDefault="0066603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9059B1">
              <w:rPr>
                <w:rFonts w:asciiTheme="minorHAnsi" w:eastAsia="Times New Roman" w:hAnsiTheme="minorHAnsi" w:cstheme="minorHAnsi"/>
                <w:color w:val="000000"/>
                <w:sz w:val="20"/>
                <w:szCs w:val="20"/>
                <w:lang w:eastAsia="fr-FR"/>
              </w:rPr>
              <w:t>34,8</w:t>
            </w:r>
          </w:p>
        </w:tc>
        <w:tc>
          <w:tcPr>
            <w:tcW w:w="401" w:type="pct"/>
            <w:noWrap/>
            <w:hideMark/>
          </w:tcPr>
          <w:p w14:paraId="70812763" w14:textId="77777777" w:rsidR="00666035" w:rsidRPr="009059B1" w:rsidRDefault="0066603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9059B1">
              <w:rPr>
                <w:rFonts w:asciiTheme="minorHAnsi" w:eastAsia="Times New Roman" w:hAnsiTheme="minorHAnsi" w:cstheme="minorHAnsi"/>
                <w:color w:val="000000"/>
                <w:sz w:val="20"/>
                <w:szCs w:val="20"/>
                <w:lang w:eastAsia="fr-FR"/>
              </w:rPr>
              <w:t>36,0</w:t>
            </w:r>
          </w:p>
        </w:tc>
        <w:tc>
          <w:tcPr>
            <w:tcW w:w="401" w:type="pct"/>
            <w:noWrap/>
            <w:hideMark/>
          </w:tcPr>
          <w:p w14:paraId="25D0FD1F" w14:textId="77777777" w:rsidR="00666035" w:rsidRPr="009059B1" w:rsidRDefault="0066603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9059B1">
              <w:rPr>
                <w:rFonts w:asciiTheme="minorHAnsi" w:eastAsia="Times New Roman" w:hAnsiTheme="minorHAnsi" w:cstheme="minorHAnsi"/>
                <w:color w:val="000000"/>
                <w:sz w:val="20"/>
                <w:szCs w:val="20"/>
                <w:lang w:eastAsia="fr-FR"/>
              </w:rPr>
              <w:t>37,2</w:t>
            </w:r>
          </w:p>
        </w:tc>
        <w:tc>
          <w:tcPr>
            <w:tcW w:w="401" w:type="pct"/>
            <w:noWrap/>
            <w:hideMark/>
          </w:tcPr>
          <w:p w14:paraId="5D8B675A" w14:textId="77777777" w:rsidR="00666035" w:rsidRPr="009059B1" w:rsidRDefault="0066603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9059B1">
              <w:rPr>
                <w:rFonts w:asciiTheme="minorHAnsi" w:eastAsia="Times New Roman" w:hAnsiTheme="minorHAnsi" w:cstheme="minorHAnsi"/>
                <w:color w:val="000000"/>
                <w:sz w:val="20"/>
                <w:szCs w:val="20"/>
                <w:lang w:eastAsia="fr-FR"/>
              </w:rPr>
              <w:t>38,5</w:t>
            </w:r>
          </w:p>
        </w:tc>
      </w:tr>
      <w:tr w:rsidR="00666035" w:rsidRPr="009059B1" w14:paraId="7B0244B8" w14:textId="77777777" w:rsidTr="00495B19">
        <w:trPr>
          <w:trHeight w:val="290"/>
        </w:trPr>
        <w:tc>
          <w:tcPr>
            <w:cnfStyle w:val="001000000000" w:firstRow="0" w:lastRow="0" w:firstColumn="1" w:lastColumn="0" w:oddVBand="0" w:evenVBand="0" w:oddHBand="0" w:evenHBand="0" w:firstRowFirstColumn="0" w:firstRowLastColumn="0" w:lastRowFirstColumn="0" w:lastRowLastColumn="0"/>
            <w:tcW w:w="1048" w:type="pct"/>
            <w:noWrap/>
            <w:hideMark/>
          </w:tcPr>
          <w:p w14:paraId="12CA5862" w14:textId="77777777" w:rsidR="00666035" w:rsidRPr="009059B1" w:rsidRDefault="00666035">
            <w:pPr>
              <w:rPr>
                <w:rFonts w:asciiTheme="minorHAnsi" w:eastAsia="Times New Roman" w:hAnsiTheme="minorHAnsi" w:cstheme="minorHAnsi"/>
                <w:color w:val="000000"/>
                <w:sz w:val="20"/>
                <w:szCs w:val="20"/>
                <w:lang w:eastAsia="fr-FR"/>
              </w:rPr>
            </w:pPr>
            <w:r w:rsidRPr="009059B1">
              <w:rPr>
                <w:rFonts w:asciiTheme="minorHAnsi" w:eastAsia="Times New Roman" w:hAnsiTheme="minorHAnsi" w:cstheme="minorHAnsi"/>
                <w:color w:val="000000"/>
                <w:sz w:val="20"/>
                <w:szCs w:val="20"/>
                <w:lang w:eastAsia="fr-FR"/>
              </w:rPr>
              <w:t xml:space="preserve">Ligne d'Atténuation </w:t>
            </w:r>
          </w:p>
        </w:tc>
        <w:tc>
          <w:tcPr>
            <w:tcW w:w="371" w:type="pct"/>
            <w:noWrap/>
            <w:vAlign w:val="bottom"/>
            <w:hideMark/>
          </w:tcPr>
          <w:p w14:paraId="77AD7214" w14:textId="2D6DFD11" w:rsidR="00666035" w:rsidRPr="009059B1" w:rsidRDefault="0066603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495B19">
              <w:rPr>
                <w:rFonts w:asciiTheme="minorHAnsi" w:hAnsiTheme="minorHAnsi" w:cstheme="minorHAnsi"/>
                <w:color w:val="000000"/>
                <w:sz w:val="20"/>
                <w:szCs w:val="20"/>
              </w:rPr>
              <w:t>27,</w:t>
            </w:r>
            <w:r w:rsidR="00495B19" w:rsidRPr="00495B19">
              <w:rPr>
                <w:rFonts w:asciiTheme="minorHAnsi" w:hAnsiTheme="minorHAnsi" w:cstheme="minorHAnsi"/>
                <w:color w:val="000000"/>
                <w:sz w:val="20"/>
                <w:szCs w:val="20"/>
              </w:rPr>
              <w:t>7</w:t>
            </w:r>
          </w:p>
        </w:tc>
        <w:tc>
          <w:tcPr>
            <w:tcW w:w="372" w:type="pct"/>
            <w:noWrap/>
            <w:vAlign w:val="bottom"/>
            <w:hideMark/>
          </w:tcPr>
          <w:p w14:paraId="53FE583C" w14:textId="57986489" w:rsidR="00666035" w:rsidRPr="009059B1" w:rsidRDefault="0066603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495B19">
              <w:rPr>
                <w:rFonts w:asciiTheme="minorHAnsi" w:hAnsiTheme="minorHAnsi" w:cstheme="minorHAnsi"/>
                <w:color w:val="000000"/>
                <w:sz w:val="20"/>
                <w:szCs w:val="20"/>
              </w:rPr>
              <w:t>27,</w:t>
            </w:r>
            <w:r w:rsidR="00495B19" w:rsidRPr="00495B19">
              <w:rPr>
                <w:rFonts w:asciiTheme="minorHAnsi" w:hAnsiTheme="minorHAnsi" w:cstheme="minorHAnsi"/>
                <w:color w:val="000000"/>
                <w:sz w:val="20"/>
                <w:szCs w:val="20"/>
              </w:rPr>
              <w:t>1</w:t>
            </w:r>
          </w:p>
        </w:tc>
        <w:tc>
          <w:tcPr>
            <w:tcW w:w="401" w:type="pct"/>
            <w:noWrap/>
            <w:vAlign w:val="bottom"/>
            <w:hideMark/>
          </w:tcPr>
          <w:p w14:paraId="5F8BD015" w14:textId="4E89BA54" w:rsidR="00666035" w:rsidRPr="009059B1" w:rsidRDefault="00495B19">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495B19">
              <w:rPr>
                <w:rFonts w:asciiTheme="minorHAnsi" w:hAnsiTheme="minorHAnsi" w:cstheme="minorHAnsi"/>
                <w:color w:val="000000"/>
                <w:sz w:val="20"/>
                <w:szCs w:val="20"/>
              </w:rPr>
              <w:t>25,5</w:t>
            </w:r>
          </w:p>
        </w:tc>
        <w:tc>
          <w:tcPr>
            <w:tcW w:w="401" w:type="pct"/>
            <w:noWrap/>
            <w:vAlign w:val="bottom"/>
            <w:hideMark/>
          </w:tcPr>
          <w:p w14:paraId="11BAB11D" w14:textId="5736BCB2" w:rsidR="00666035" w:rsidRPr="009059B1" w:rsidRDefault="00495B19">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495B19">
              <w:rPr>
                <w:rFonts w:asciiTheme="minorHAnsi" w:hAnsiTheme="minorHAnsi" w:cstheme="minorHAnsi"/>
                <w:color w:val="000000"/>
                <w:sz w:val="20"/>
                <w:szCs w:val="20"/>
              </w:rPr>
              <w:t>25,9</w:t>
            </w:r>
          </w:p>
        </w:tc>
        <w:tc>
          <w:tcPr>
            <w:tcW w:w="401" w:type="pct"/>
            <w:noWrap/>
            <w:vAlign w:val="bottom"/>
            <w:hideMark/>
          </w:tcPr>
          <w:p w14:paraId="42296633" w14:textId="0089897C" w:rsidR="00666035" w:rsidRPr="009059B1" w:rsidRDefault="00495B19">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495B19">
              <w:rPr>
                <w:rFonts w:asciiTheme="minorHAnsi" w:hAnsiTheme="minorHAnsi" w:cstheme="minorHAnsi"/>
                <w:color w:val="000000"/>
                <w:sz w:val="20"/>
                <w:szCs w:val="20"/>
              </w:rPr>
              <w:t>25,4</w:t>
            </w:r>
          </w:p>
        </w:tc>
        <w:tc>
          <w:tcPr>
            <w:tcW w:w="401" w:type="pct"/>
            <w:noWrap/>
            <w:vAlign w:val="bottom"/>
            <w:hideMark/>
          </w:tcPr>
          <w:p w14:paraId="49428300" w14:textId="44B4BD5B" w:rsidR="00666035" w:rsidRPr="009059B1" w:rsidRDefault="00495B19">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495B19">
              <w:rPr>
                <w:rFonts w:asciiTheme="minorHAnsi" w:hAnsiTheme="minorHAnsi" w:cstheme="minorHAnsi"/>
                <w:color w:val="000000"/>
                <w:sz w:val="20"/>
                <w:szCs w:val="20"/>
              </w:rPr>
              <w:t>24</w:t>
            </w:r>
            <w:r w:rsidR="00666035" w:rsidRPr="00495B19">
              <w:rPr>
                <w:rFonts w:asciiTheme="minorHAnsi" w:hAnsiTheme="minorHAnsi" w:cstheme="minorHAnsi"/>
                <w:color w:val="000000"/>
                <w:sz w:val="20"/>
                <w:szCs w:val="20"/>
              </w:rPr>
              <w:t>,9</w:t>
            </w:r>
          </w:p>
        </w:tc>
        <w:tc>
          <w:tcPr>
            <w:tcW w:w="401" w:type="pct"/>
            <w:noWrap/>
            <w:vAlign w:val="bottom"/>
            <w:hideMark/>
          </w:tcPr>
          <w:p w14:paraId="17A873FD" w14:textId="47DB4C63" w:rsidR="00666035" w:rsidRPr="009059B1" w:rsidRDefault="00495B19">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495B19">
              <w:rPr>
                <w:rFonts w:asciiTheme="minorHAnsi" w:hAnsiTheme="minorHAnsi" w:cstheme="minorHAnsi"/>
                <w:color w:val="000000"/>
                <w:sz w:val="20"/>
                <w:szCs w:val="20"/>
              </w:rPr>
              <w:t>24,9</w:t>
            </w:r>
          </w:p>
        </w:tc>
        <w:tc>
          <w:tcPr>
            <w:tcW w:w="401" w:type="pct"/>
            <w:noWrap/>
            <w:vAlign w:val="bottom"/>
            <w:hideMark/>
          </w:tcPr>
          <w:p w14:paraId="34767459" w14:textId="19562ECB" w:rsidR="00666035" w:rsidRPr="009059B1" w:rsidRDefault="00495B19">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495B19">
              <w:rPr>
                <w:rFonts w:asciiTheme="minorHAnsi" w:hAnsiTheme="minorHAnsi" w:cstheme="minorHAnsi"/>
                <w:color w:val="000000"/>
                <w:sz w:val="20"/>
                <w:szCs w:val="20"/>
              </w:rPr>
              <w:t>25,8</w:t>
            </w:r>
          </w:p>
        </w:tc>
        <w:tc>
          <w:tcPr>
            <w:tcW w:w="401" w:type="pct"/>
            <w:noWrap/>
            <w:vAlign w:val="bottom"/>
            <w:hideMark/>
          </w:tcPr>
          <w:p w14:paraId="3F5A4017" w14:textId="35E2E9ED" w:rsidR="00666035" w:rsidRPr="009059B1" w:rsidRDefault="00495B19">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495B19">
              <w:rPr>
                <w:rFonts w:asciiTheme="minorHAnsi" w:hAnsiTheme="minorHAnsi" w:cstheme="minorHAnsi"/>
                <w:color w:val="000000"/>
                <w:sz w:val="20"/>
                <w:szCs w:val="20"/>
              </w:rPr>
              <w:t>26,9</w:t>
            </w:r>
          </w:p>
        </w:tc>
        <w:tc>
          <w:tcPr>
            <w:tcW w:w="401" w:type="pct"/>
            <w:noWrap/>
            <w:vAlign w:val="bottom"/>
            <w:hideMark/>
          </w:tcPr>
          <w:p w14:paraId="04599052" w14:textId="52578A0B" w:rsidR="00666035" w:rsidRPr="009059B1" w:rsidRDefault="00495B19">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495B19">
              <w:rPr>
                <w:rFonts w:asciiTheme="minorHAnsi" w:hAnsiTheme="minorHAnsi" w:cstheme="minorHAnsi"/>
                <w:color w:val="000000"/>
                <w:sz w:val="20"/>
                <w:szCs w:val="20"/>
              </w:rPr>
              <w:t>28,2</w:t>
            </w:r>
          </w:p>
        </w:tc>
      </w:tr>
    </w:tbl>
    <w:p w14:paraId="6353D086" w14:textId="506D2264" w:rsidR="00334376" w:rsidRPr="00DF351F" w:rsidRDefault="00334376" w:rsidP="00B47B43">
      <w:pPr>
        <w:spacing w:before="120" w:after="240"/>
        <w:jc w:val="both"/>
      </w:pPr>
      <w:r w:rsidRPr="00334376">
        <w:t xml:space="preserve">L’écart entre la ligne de base et la ligne d’atténuation montre une réduction des émissions de </w:t>
      </w:r>
      <w:r w:rsidR="00627E20">
        <w:rPr>
          <w:b/>
          <w:bCs/>
        </w:rPr>
        <w:t>10</w:t>
      </w:r>
      <w:r w:rsidR="00010DF1" w:rsidRPr="00AF0AE3">
        <w:rPr>
          <w:b/>
          <w:bCs/>
        </w:rPr>
        <w:t>,</w:t>
      </w:r>
      <w:r w:rsidR="00627E20">
        <w:rPr>
          <w:b/>
          <w:bCs/>
        </w:rPr>
        <w:t>27</w:t>
      </w:r>
      <w:r w:rsidRPr="00AF0AE3">
        <w:rPr>
          <w:b/>
        </w:rPr>
        <w:t xml:space="preserve"> M tCO₂-eq </w:t>
      </w:r>
      <w:r w:rsidRPr="00334376">
        <w:t xml:space="preserve">à l’horizon 2035. Cette réduction représente un renforcement du puits net de carbone d’environ </w:t>
      </w:r>
      <w:r w:rsidR="00010DF1" w:rsidRPr="00334376">
        <w:rPr>
          <w:b/>
          <w:bCs/>
        </w:rPr>
        <w:t>2</w:t>
      </w:r>
      <w:r w:rsidR="00495B19">
        <w:rPr>
          <w:b/>
          <w:bCs/>
        </w:rPr>
        <w:t>7</w:t>
      </w:r>
      <w:r w:rsidRPr="00334376">
        <w:rPr>
          <w:b/>
          <w:bCs/>
        </w:rPr>
        <w:t xml:space="preserve"> % par rapport à la ligne de base</w:t>
      </w:r>
      <w:r w:rsidRPr="00334376">
        <w:t xml:space="preserve">, indiquant le potentiel significatif du portefeuille de mesures agricoles de la CDN 3.0. Ce niveau d’atténuation correspond à l’objectif sectoriel retenu pour le secteur </w:t>
      </w:r>
      <w:r w:rsidR="00010DF1">
        <w:t>de l’Agriculture</w:t>
      </w:r>
      <w:r w:rsidRPr="00334376">
        <w:t xml:space="preserve"> à l’horizon 2035, en cohérence avec les projections et les interventions identifiées dans le portefeuille.</w:t>
      </w:r>
    </w:p>
    <w:p w14:paraId="09CEB470" w14:textId="36008596" w:rsidR="00FA2E86" w:rsidRDefault="003F3738" w:rsidP="00BA5042">
      <w:pPr>
        <w:spacing w:before="120" w:after="240"/>
        <w:jc w:val="both"/>
      </w:pPr>
      <w:r w:rsidRPr="003F3738">
        <w:t xml:space="preserve">Le graphique illustre la comparaison entre la trajectoire des émissions de référence du secteur </w:t>
      </w:r>
      <w:r w:rsidR="00EA3F83">
        <w:t>de l’Agriculture</w:t>
      </w:r>
      <w:r w:rsidRPr="003F3738">
        <w:t xml:space="preserve"> (ligne de base) et la trajectoire projetée après mise en œuvre des mesures d’atténuation de la CDN 3.0 (ligne d’atténuation) sur la période 2026</w:t>
      </w:r>
      <w:r w:rsidRPr="003F3738">
        <w:noBreakHyphen/>
        <w:t xml:space="preserve">2035. Il met en évidence l’effet des interventions </w:t>
      </w:r>
      <w:r w:rsidR="00EA3F83">
        <w:t>de l’Agriculture</w:t>
      </w:r>
      <w:r w:rsidRPr="003F3738">
        <w:t xml:space="preserve"> sur la réduction des émissions, avec un écart croissant au fil des années, reflétant le renforcement progressif du puits net de carbone et l’impact attendu du portefeuille de mesures sur la séquestration nette de CO₂.</w:t>
      </w:r>
    </w:p>
    <w:p w14:paraId="37AA6EF1" w14:textId="15C527F1" w:rsidR="00BA5042" w:rsidRDefault="00B9259D" w:rsidP="00811EDF">
      <w:pPr>
        <w:spacing w:before="120" w:after="240"/>
        <w:jc w:val="center"/>
      </w:pPr>
      <w:r>
        <w:rPr>
          <w:noProof/>
        </w:rPr>
        <w:drawing>
          <wp:inline distT="0" distB="0" distL="0" distR="0" wp14:anchorId="775789F2" wp14:editId="31F6EE96">
            <wp:extent cx="5895044" cy="3093601"/>
            <wp:effectExtent l="0" t="0" r="0" b="0"/>
            <wp:docPr id="18600866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1704" cy="3112839"/>
                    </a:xfrm>
                    <a:prstGeom prst="rect">
                      <a:avLst/>
                    </a:prstGeom>
                    <a:noFill/>
                  </pic:spPr>
                </pic:pic>
              </a:graphicData>
            </a:graphic>
          </wp:inline>
        </w:drawing>
      </w:r>
    </w:p>
    <w:p w14:paraId="23C7EA89" w14:textId="04901273" w:rsidR="007D24B4" w:rsidRPr="0078670D" w:rsidRDefault="00FA2E86" w:rsidP="007253DF">
      <w:pPr>
        <w:pStyle w:val="Lgende"/>
        <w:jc w:val="center"/>
        <w:rPr>
          <w:sz w:val="20"/>
          <w:szCs w:val="20"/>
        </w:rPr>
      </w:pPr>
      <w:bookmarkStart w:id="59" w:name="_Toc234853918"/>
      <w:r w:rsidRPr="0078670D">
        <w:rPr>
          <w:sz w:val="20"/>
          <w:szCs w:val="20"/>
        </w:rPr>
        <w:t xml:space="preserve">Figure </w:t>
      </w:r>
      <w:r w:rsidRPr="0078670D">
        <w:rPr>
          <w:sz w:val="20"/>
          <w:szCs w:val="20"/>
        </w:rPr>
        <w:fldChar w:fldCharType="begin"/>
      </w:r>
      <w:r w:rsidRPr="0078670D">
        <w:rPr>
          <w:sz w:val="20"/>
          <w:szCs w:val="20"/>
        </w:rPr>
        <w:instrText xml:space="preserve"> SEQ Figure \* ARABIC </w:instrText>
      </w:r>
      <w:r w:rsidRPr="0078670D">
        <w:rPr>
          <w:sz w:val="20"/>
          <w:szCs w:val="20"/>
        </w:rPr>
        <w:fldChar w:fldCharType="separate"/>
      </w:r>
      <w:r w:rsidR="004D5580">
        <w:rPr>
          <w:noProof/>
          <w:sz w:val="20"/>
          <w:szCs w:val="20"/>
        </w:rPr>
        <w:t>8</w:t>
      </w:r>
      <w:r w:rsidRPr="0078670D">
        <w:rPr>
          <w:sz w:val="20"/>
          <w:szCs w:val="20"/>
        </w:rPr>
        <w:fldChar w:fldCharType="end"/>
      </w:r>
      <w:r w:rsidRPr="0078670D">
        <w:rPr>
          <w:sz w:val="20"/>
          <w:szCs w:val="20"/>
        </w:rPr>
        <w:t>: Évolution comparée des émissions du secteur Agriculture</w:t>
      </w:r>
      <w:bookmarkEnd w:id="59"/>
    </w:p>
    <w:p w14:paraId="2ABD1BEF" w14:textId="77777777" w:rsidR="007932F7" w:rsidRPr="00C27D0F" w:rsidRDefault="007932F7" w:rsidP="002C3767">
      <w:pPr>
        <w:pStyle w:val="Titre3"/>
        <w:numPr>
          <w:ilvl w:val="2"/>
          <w:numId w:val="21"/>
        </w:numPr>
      </w:pPr>
      <w:bookmarkStart w:id="60" w:name="_Toc234853874"/>
      <w:r>
        <w:t>Objectif sectoriel</w:t>
      </w:r>
      <w:bookmarkEnd w:id="60"/>
    </w:p>
    <w:p w14:paraId="0B31BD80" w14:textId="5B7507E8" w:rsidR="001F64BE" w:rsidRDefault="001F64BE" w:rsidP="001F64BE">
      <w:pPr>
        <w:pStyle w:val="Titre2"/>
      </w:pPr>
      <w:bookmarkStart w:id="61" w:name="_Toc234853875"/>
      <w:r>
        <w:lastRenderedPageBreak/>
        <w:t xml:space="preserve">Secteur de </w:t>
      </w:r>
      <w:r w:rsidR="00714C0A">
        <w:t>la for</w:t>
      </w:r>
      <w:r w:rsidR="007932F7">
        <w:t>êt</w:t>
      </w:r>
      <w:bookmarkEnd w:id="61"/>
    </w:p>
    <w:p w14:paraId="1DA4C1EB" w14:textId="77777777" w:rsidR="001F64BE" w:rsidRPr="001F64BE" w:rsidRDefault="001F64BE" w:rsidP="002C3767">
      <w:pPr>
        <w:pStyle w:val="Titre3"/>
        <w:numPr>
          <w:ilvl w:val="2"/>
          <w:numId w:val="21"/>
        </w:numPr>
      </w:pPr>
      <w:bookmarkStart w:id="62" w:name="_Toc234853876"/>
      <w:r w:rsidRPr="001F64BE">
        <w:t>Orientations et mesures retenues des consultations</w:t>
      </w:r>
      <w:bookmarkEnd w:id="62"/>
    </w:p>
    <w:p w14:paraId="09378CC1" w14:textId="12F0A383" w:rsidR="00BB295B" w:rsidRPr="00A37F85" w:rsidRDefault="00A37F85" w:rsidP="00394BDD">
      <w:pPr>
        <w:spacing w:before="240"/>
        <w:rPr>
          <w:b/>
          <w:bCs/>
          <w:u w:val="single"/>
        </w:rPr>
      </w:pPr>
      <w:r w:rsidRPr="00A37F85">
        <w:rPr>
          <w:b/>
          <w:bCs/>
          <w:u w:val="single"/>
        </w:rPr>
        <w:t>Orientation de structuration du portefeuille forestier pour la CDN 3.0</w:t>
      </w:r>
    </w:p>
    <w:p w14:paraId="708959A1" w14:textId="3E2A93C4" w:rsidR="00DA6E5B" w:rsidRDefault="00DA6E5B" w:rsidP="0071685D">
      <w:pPr>
        <w:jc w:val="both"/>
      </w:pPr>
      <w:r w:rsidRPr="00DA6E5B">
        <w:t>L’évaluation de la CDN 2.0 a permis de tirer plusieurs enseignements pour la structuration du portefeuille forestier de la CDN 3.0. Les mesures inscrites dans la CDN 2.0 disposaient globalement de porteurs et de coûts indicatifs, mais elles n’ont pas été mises en œuvre dans le cadre de la CDN. Elles correspondaient principalement à des idées de projets formulées en vue de mobiliser des financements internationaux.</w:t>
      </w:r>
    </w:p>
    <w:p w14:paraId="5AB3A607" w14:textId="77777777" w:rsidR="003E07BF" w:rsidRDefault="003E07BF" w:rsidP="003E07BF">
      <w:pPr>
        <w:jc w:val="both"/>
      </w:pPr>
      <w:r w:rsidRPr="003E07BF">
        <w:t>Par ailleurs, les impacts d’atténuation n’étaient pas renseignés par mesure, mais présentés de manière globale à l’échelle du secteur. Cette approche a limité la possibilité de suivre la contribution propre de chaque mesure aux objectifs d’atténuation.</w:t>
      </w:r>
    </w:p>
    <w:p w14:paraId="4729098D" w14:textId="43306BEE" w:rsidR="00135E29" w:rsidRDefault="00135E29" w:rsidP="00135E29">
      <w:pPr>
        <w:jc w:val="both"/>
      </w:pPr>
      <w:r w:rsidRPr="00135E29">
        <w:t>Dans le même temps, le Mali a réalisé, au cours de la période de mise en œuvre de la CDN 2.0, des actions nationales de reboisement et de restauration du couvert végétal en dehors du portefeuille initial. Sur la période 2021</w:t>
      </w:r>
      <w:r w:rsidR="000E6FB3">
        <w:t>-</w:t>
      </w:r>
      <w:r w:rsidRPr="00135E29">
        <w:t xml:space="preserve">2022, les superficies reboisées sont estimées à environ </w:t>
      </w:r>
      <w:r w:rsidRPr="00135E29">
        <w:rPr>
          <w:b/>
          <w:bCs/>
        </w:rPr>
        <w:t>33 000 ha</w:t>
      </w:r>
      <w:r w:rsidRPr="00135E29">
        <w:t xml:space="preserve">, soit près de </w:t>
      </w:r>
      <w:r w:rsidRPr="00135E29">
        <w:rPr>
          <w:b/>
          <w:bCs/>
        </w:rPr>
        <w:t>10 %</w:t>
      </w:r>
      <w:r w:rsidRPr="00135E29">
        <w:t xml:space="preserve"> de l’objectif cumulé des mesures forestières inscrites dans la CDN 2.0. Ces actions constituent un effort national pouvant être mieux valorisé dans la CDN.</w:t>
      </w:r>
    </w:p>
    <w:p w14:paraId="388805CD" w14:textId="77777777" w:rsidR="00692ADB" w:rsidRPr="00692ADB" w:rsidRDefault="00692ADB" w:rsidP="00692ADB">
      <w:pPr>
        <w:jc w:val="both"/>
      </w:pPr>
      <w:r w:rsidRPr="00692ADB">
        <w:t>Sur cette base, les orientations retenues pour le secteur des forêts sont les suivantes :</w:t>
      </w:r>
    </w:p>
    <w:p w14:paraId="7C57B73F" w14:textId="41DCE9CA" w:rsidR="00692ADB" w:rsidRPr="00692ADB" w:rsidRDefault="00692ADB" w:rsidP="008A3661">
      <w:pPr>
        <w:numPr>
          <w:ilvl w:val="0"/>
          <w:numId w:val="39"/>
        </w:numPr>
        <w:jc w:val="both"/>
      </w:pPr>
      <w:r w:rsidRPr="00692ADB">
        <w:t xml:space="preserve">Intégrer dans la composante inconditionnelle les actions déjà engagées ou planifiées sur ressources domestiques ; </w:t>
      </w:r>
    </w:p>
    <w:p w14:paraId="4C1DEA71" w14:textId="067E08A0" w:rsidR="00692ADB" w:rsidRPr="00692ADB" w:rsidRDefault="00692ADB" w:rsidP="008A3661">
      <w:pPr>
        <w:numPr>
          <w:ilvl w:val="0"/>
          <w:numId w:val="39"/>
        </w:numPr>
        <w:jc w:val="both"/>
      </w:pPr>
      <w:r w:rsidRPr="00692ADB">
        <w:t xml:space="preserve">Maintenir dans la composante conditionnelle les mesures nécessitant un financement international pour leur mise en œuvre ou leur mise à l’échelle ; </w:t>
      </w:r>
    </w:p>
    <w:p w14:paraId="32B7C2F3" w14:textId="2CD79334" w:rsidR="00692ADB" w:rsidRPr="00692ADB" w:rsidRDefault="00692ADB" w:rsidP="008A3661">
      <w:pPr>
        <w:numPr>
          <w:ilvl w:val="0"/>
          <w:numId w:val="39"/>
        </w:numPr>
        <w:jc w:val="both"/>
      </w:pPr>
      <w:r>
        <w:t xml:space="preserve">Indiquer </w:t>
      </w:r>
      <w:r w:rsidRPr="00692ADB">
        <w:t xml:space="preserve">les impacts d’atténuation par mesure afin de faciliter le suivi du portefeuille. </w:t>
      </w:r>
    </w:p>
    <w:p w14:paraId="4EBEAC35" w14:textId="77777777" w:rsidR="00692ADB" w:rsidRPr="00692ADB" w:rsidRDefault="00692ADB" w:rsidP="00692ADB">
      <w:pPr>
        <w:jc w:val="both"/>
      </w:pPr>
      <w:r w:rsidRPr="00692ADB">
        <w:t>Ces orientations ont été prises en compte dans l’élaboration du portefeuille de projets de la CDN 3.0 pour le secteur des forêts.</w:t>
      </w:r>
    </w:p>
    <w:p w14:paraId="693BD7F6" w14:textId="231587A0" w:rsidR="00A37F85" w:rsidRPr="00B25A47" w:rsidRDefault="00B25A47" w:rsidP="00F54812">
      <w:pPr>
        <w:rPr>
          <w:b/>
          <w:bCs/>
          <w:u w:val="single"/>
        </w:rPr>
      </w:pPr>
      <w:r w:rsidRPr="00B25A47">
        <w:rPr>
          <w:b/>
          <w:bCs/>
          <w:u w:val="single"/>
        </w:rPr>
        <w:t>Mesures d’atténuation identifiées pour le secteur des forêts</w:t>
      </w:r>
      <w:r w:rsidR="00EC7ECA">
        <w:rPr>
          <w:b/>
          <w:bCs/>
          <w:u w:val="single"/>
        </w:rPr>
        <w:t xml:space="preserve"> par les parties prenantes</w:t>
      </w:r>
    </w:p>
    <w:p w14:paraId="137F51C4" w14:textId="6C7ACC8C" w:rsidR="003A791B" w:rsidRPr="003A791B" w:rsidRDefault="003A791B" w:rsidP="00E4129A">
      <w:pPr>
        <w:jc w:val="both"/>
      </w:pPr>
      <w:r w:rsidRPr="003A791B">
        <w:t xml:space="preserve">Les mesures d’atténuation </w:t>
      </w:r>
      <w:r>
        <w:t>retenues</w:t>
      </w:r>
      <w:r w:rsidRPr="003A791B">
        <w:t xml:space="preserve"> pour le secteur des forêts ont été identifiées à partir de trois sources complémentaires : les fiches de collecte de projets renseignées par les parties prenantes sectorielles, les consultations bilatérales conduites avec les institutions concernées dans le cadre de l</w:t>
      </w:r>
      <w:r w:rsidR="00DE2F86">
        <w:t xml:space="preserve">’évaluation de la CDN </w:t>
      </w:r>
      <w:r w:rsidR="00E4129A">
        <w:t>2.0 et la</w:t>
      </w:r>
      <w:r w:rsidRPr="003A791B">
        <w:t xml:space="preserve"> préparation de la CDN 3.0, et </w:t>
      </w:r>
      <w:r w:rsidR="00E4129A">
        <w:t>d</w:t>
      </w:r>
      <w:r w:rsidRPr="003A791B">
        <w:t>es propositions formulées par le bureau d’étude sur la base de l’</w:t>
      </w:r>
      <w:r w:rsidR="00E4129A" w:rsidRPr="003A791B">
        <w:t>analyse</w:t>
      </w:r>
      <w:r w:rsidRPr="003A791B">
        <w:t xml:space="preserve"> des initiatives nationales en cours ou planifiées dans le secteur forestier.</w:t>
      </w:r>
    </w:p>
    <w:p w14:paraId="6F18E718" w14:textId="258E5139" w:rsidR="00656D1A" w:rsidRDefault="008D5A44" w:rsidP="00E4129A">
      <w:pPr>
        <w:jc w:val="both"/>
      </w:pPr>
      <w:r w:rsidRPr="008D5A44">
        <w:t>Le tableau ci-dessous présente la liste brute des mesures identifiées, leur porteur, leur source de proposition et leur description synthétique.</w:t>
      </w:r>
      <w:r>
        <w:t xml:space="preserve"> </w:t>
      </w:r>
      <w:r w:rsidR="00656D1A" w:rsidRPr="00656D1A">
        <w:t xml:space="preserve">Cette liste constitue la base de travail initiale du portefeuille forestier. Elle </w:t>
      </w:r>
      <w:r w:rsidR="00656D1A">
        <w:t>a été</w:t>
      </w:r>
      <w:r w:rsidR="00656D1A" w:rsidRPr="00656D1A">
        <w:t xml:space="preserve"> ensuite structurée conformément aux orientations retenues pour la CDN 3.0</w:t>
      </w:r>
      <w:r>
        <w:t>.</w:t>
      </w:r>
    </w:p>
    <w:p w14:paraId="1B538F12" w14:textId="77777777" w:rsidR="00DE6119" w:rsidRDefault="00DE6119" w:rsidP="00FF0FFA">
      <w:pPr>
        <w:pStyle w:val="Lgende"/>
        <w:keepNext/>
        <w:sectPr w:rsidR="00DE6119" w:rsidSect="00C42595">
          <w:pgSz w:w="12240" w:h="15840" w:code="1"/>
          <w:pgMar w:top="1412" w:right="1412" w:bottom="1412" w:left="1412" w:header="706" w:footer="706" w:gutter="0"/>
          <w:cols w:space="708"/>
          <w:docGrid w:linePitch="360"/>
        </w:sectPr>
      </w:pPr>
    </w:p>
    <w:p w14:paraId="644F5BEC" w14:textId="1629A926" w:rsidR="00FF0FFA" w:rsidRPr="001B14E8" w:rsidRDefault="00FF0FFA" w:rsidP="00FF0FFA">
      <w:pPr>
        <w:pStyle w:val="Lgende"/>
        <w:keepNext/>
        <w:rPr>
          <w:sz w:val="20"/>
          <w:szCs w:val="20"/>
        </w:rPr>
      </w:pPr>
      <w:bookmarkStart w:id="63" w:name="_Toc234853947"/>
      <w:r w:rsidRPr="001B14E8">
        <w:rPr>
          <w:sz w:val="20"/>
          <w:szCs w:val="20"/>
        </w:rPr>
        <w:lastRenderedPageBreak/>
        <w:t xml:space="preserve">Tableau </w:t>
      </w:r>
      <w:r w:rsidRPr="001B14E8">
        <w:rPr>
          <w:sz w:val="20"/>
          <w:szCs w:val="20"/>
        </w:rPr>
        <w:fldChar w:fldCharType="begin"/>
      </w:r>
      <w:r w:rsidRPr="001B14E8">
        <w:rPr>
          <w:sz w:val="20"/>
          <w:szCs w:val="20"/>
        </w:rPr>
        <w:instrText xml:space="preserve"> SEQ Tableau \* ARABIC </w:instrText>
      </w:r>
      <w:r w:rsidRPr="001B14E8">
        <w:rPr>
          <w:sz w:val="20"/>
          <w:szCs w:val="20"/>
        </w:rPr>
        <w:fldChar w:fldCharType="separate"/>
      </w:r>
      <w:r w:rsidR="0018772E">
        <w:rPr>
          <w:noProof/>
          <w:sz w:val="20"/>
          <w:szCs w:val="20"/>
        </w:rPr>
        <w:t>23</w:t>
      </w:r>
      <w:r w:rsidRPr="001B14E8">
        <w:rPr>
          <w:sz w:val="20"/>
          <w:szCs w:val="20"/>
        </w:rPr>
        <w:fldChar w:fldCharType="end"/>
      </w:r>
      <w:r w:rsidRPr="001B14E8">
        <w:rPr>
          <w:sz w:val="20"/>
          <w:szCs w:val="20"/>
        </w:rPr>
        <w:t> :</w:t>
      </w:r>
      <w:r w:rsidR="000B0A2D" w:rsidRPr="001B14E8">
        <w:rPr>
          <w:sz w:val="20"/>
          <w:szCs w:val="20"/>
        </w:rPr>
        <w:t xml:space="preserve"> Liste brute des mesures d’atténuation identifiées pour le secteur des forêts dans le cadre de la CDN 3.0</w:t>
      </w:r>
      <w:bookmarkEnd w:id="63"/>
    </w:p>
    <w:tbl>
      <w:tblPr>
        <w:tblStyle w:val="Tableausimple2"/>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055"/>
        <w:gridCol w:w="1882"/>
        <w:gridCol w:w="5706"/>
        <w:gridCol w:w="1308"/>
        <w:gridCol w:w="1669"/>
      </w:tblGrid>
      <w:tr w:rsidR="00D66B29" w:rsidRPr="00ED243D" w14:paraId="69EF19E0" w14:textId="405AF4E0" w:rsidTr="00ED243D">
        <w:trPr>
          <w:cnfStyle w:val="100000000000" w:firstRow="1" w:lastRow="0" w:firstColumn="0" w:lastColumn="0" w:oddVBand="0" w:evenVBand="0" w:oddHBand="0" w:evenHBand="0" w:firstRowFirstColumn="0" w:firstRowLastColumn="0" w:lastRowFirstColumn="0" w:lastRowLastColumn="0"/>
          <w:trHeight w:val="537"/>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1F4E79" w:themeFill="accent1" w:themeFillShade="80"/>
            <w:vAlign w:val="center"/>
            <w:hideMark/>
          </w:tcPr>
          <w:p w14:paraId="35F8DD1D" w14:textId="77777777" w:rsidR="00B4646B" w:rsidRPr="00ED243D" w:rsidRDefault="00B4646B" w:rsidP="00ED243D">
            <w:pPr>
              <w:spacing w:line="259" w:lineRule="auto"/>
              <w:jc w:val="center"/>
              <w:rPr>
                <w:color w:val="FFFFFF" w:themeColor="background1"/>
                <w:sz w:val="18"/>
                <w:szCs w:val="18"/>
              </w:rPr>
            </w:pPr>
            <w:r w:rsidRPr="00ED243D">
              <w:rPr>
                <w:color w:val="FFFFFF" w:themeColor="background1"/>
                <w:sz w:val="18"/>
                <w:szCs w:val="18"/>
              </w:rPr>
              <w:t>Mesure identifiée</w:t>
            </w:r>
          </w:p>
        </w:tc>
        <w:tc>
          <w:tcPr>
            <w:tcW w:w="0" w:type="auto"/>
            <w:shd w:val="clear" w:color="auto" w:fill="1F4E79" w:themeFill="accent1" w:themeFillShade="80"/>
            <w:vAlign w:val="center"/>
            <w:hideMark/>
          </w:tcPr>
          <w:p w14:paraId="274765B9" w14:textId="77777777" w:rsidR="00B4646B" w:rsidRPr="00ED243D" w:rsidRDefault="00B4646B" w:rsidP="00ED243D">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D243D">
              <w:rPr>
                <w:color w:val="FFFFFF" w:themeColor="background1"/>
                <w:sz w:val="18"/>
                <w:szCs w:val="18"/>
              </w:rPr>
              <w:t>Porteur</w:t>
            </w:r>
          </w:p>
        </w:tc>
        <w:tc>
          <w:tcPr>
            <w:tcW w:w="0" w:type="auto"/>
            <w:shd w:val="clear" w:color="auto" w:fill="1F4E79" w:themeFill="accent1" w:themeFillShade="80"/>
            <w:vAlign w:val="center"/>
            <w:hideMark/>
          </w:tcPr>
          <w:p w14:paraId="791628EB" w14:textId="77777777" w:rsidR="00B4646B" w:rsidRPr="00ED243D" w:rsidRDefault="00B4646B" w:rsidP="00ED243D">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D243D">
              <w:rPr>
                <w:color w:val="FFFFFF" w:themeColor="background1"/>
                <w:sz w:val="18"/>
                <w:szCs w:val="18"/>
              </w:rPr>
              <w:t>Source de proposition</w:t>
            </w:r>
          </w:p>
        </w:tc>
        <w:tc>
          <w:tcPr>
            <w:tcW w:w="5706" w:type="dxa"/>
            <w:shd w:val="clear" w:color="auto" w:fill="1F4E79" w:themeFill="accent1" w:themeFillShade="80"/>
            <w:vAlign w:val="center"/>
            <w:hideMark/>
          </w:tcPr>
          <w:p w14:paraId="622CC0D8" w14:textId="77777777" w:rsidR="00B4646B" w:rsidRPr="00ED243D" w:rsidRDefault="00B4646B" w:rsidP="00ED243D">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D243D">
              <w:rPr>
                <w:color w:val="FFFFFF" w:themeColor="background1"/>
                <w:sz w:val="18"/>
                <w:szCs w:val="18"/>
              </w:rPr>
              <w:t>Description synthétique</w:t>
            </w:r>
          </w:p>
        </w:tc>
        <w:tc>
          <w:tcPr>
            <w:tcW w:w="1308" w:type="dxa"/>
            <w:shd w:val="clear" w:color="auto" w:fill="1F4E79" w:themeFill="accent1" w:themeFillShade="80"/>
            <w:vAlign w:val="center"/>
          </w:tcPr>
          <w:p w14:paraId="74E390BB" w14:textId="06996912" w:rsidR="00B4646B" w:rsidRPr="00ED243D" w:rsidRDefault="00B4646B" w:rsidP="00ED243D">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18"/>
                <w:szCs w:val="18"/>
              </w:rPr>
            </w:pPr>
            <w:r w:rsidRPr="00ED243D">
              <w:rPr>
                <w:color w:val="FFFFFF" w:themeColor="background1"/>
                <w:sz w:val="18"/>
                <w:szCs w:val="18"/>
              </w:rPr>
              <w:t>Coût indiqué</w:t>
            </w:r>
          </w:p>
        </w:tc>
        <w:tc>
          <w:tcPr>
            <w:tcW w:w="1669" w:type="dxa"/>
            <w:shd w:val="clear" w:color="auto" w:fill="1F4E79" w:themeFill="accent1" w:themeFillShade="80"/>
            <w:vAlign w:val="center"/>
          </w:tcPr>
          <w:p w14:paraId="7C70F942" w14:textId="4660840C" w:rsidR="00B4646B" w:rsidRPr="00ED243D" w:rsidRDefault="00B4646B" w:rsidP="00ED243D">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18"/>
                <w:szCs w:val="18"/>
              </w:rPr>
            </w:pPr>
            <w:r w:rsidRPr="00ED243D">
              <w:rPr>
                <w:color w:val="FFFFFF" w:themeColor="background1"/>
                <w:sz w:val="18"/>
                <w:szCs w:val="18"/>
              </w:rPr>
              <w:t>Conditionnalité initiale</w:t>
            </w:r>
          </w:p>
        </w:tc>
      </w:tr>
      <w:tr w:rsidR="00B4646B" w:rsidRPr="00ED243D" w14:paraId="0744BD50" w14:textId="70459422" w:rsidTr="00ED243D">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F224EB" w14:textId="77777777" w:rsidR="00B4646B" w:rsidRPr="00ED243D" w:rsidRDefault="00B4646B" w:rsidP="00ED243D">
            <w:pPr>
              <w:spacing w:line="259" w:lineRule="auto"/>
              <w:jc w:val="both"/>
              <w:rPr>
                <w:sz w:val="18"/>
                <w:szCs w:val="18"/>
              </w:rPr>
            </w:pPr>
            <w:r w:rsidRPr="00ED243D">
              <w:rPr>
                <w:sz w:val="18"/>
                <w:szCs w:val="18"/>
              </w:rPr>
              <w:t>Programme d’Amélioration de la Couverture Végétale et des Écosystèmes Agroforestiers</w:t>
            </w:r>
          </w:p>
        </w:tc>
        <w:tc>
          <w:tcPr>
            <w:tcW w:w="0" w:type="auto"/>
            <w:vAlign w:val="center"/>
            <w:hideMark/>
          </w:tcPr>
          <w:p w14:paraId="3C7F27FC" w14:textId="77777777" w:rsidR="00B4646B" w:rsidRPr="00ED243D" w:rsidRDefault="00B4646B" w:rsidP="00ED243D">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sz w:val="18"/>
                <w:szCs w:val="18"/>
              </w:rPr>
              <w:t>DGEF</w:t>
            </w:r>
          </w:p>
        </w:tc>
        <w:tc>
          <w:tcPr>
            <w:tcW w:w="0" w:type="auto"/>
            <w:vAlign w:val="center"/>
            <w:hideMark/>
          </w:tcPr>
          <w:p w14:paraId="752DB580" w14:textId="77777777" w:rsidR="00B4646B" w:rsidRPr="00ED243D" w:rsidRDefault="00B4646B" w:rsidP="00ED243D">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sz w:val="18"/>
                <w:szCs w:val="18"/>
              </w:rPr>
              <w:t>Fiche de collecte transmise par la DGEF</w:t>
            </w:r>
          </w:p>
        </w:tc>
        <w:tc>
          <w:tcPr>
            <w:tcW w:w="5706" w:type="dxa"/>
            <w:vAlign w:val="center"/>
            <w:hideMark/>
          </w:tcPr>
          <w:p w14:paraId="7598F039" w14:textId="77777777" w:rsidR="00B4646B" w:rsidRPr="00ED243D" w:rsidRDefault="00B4646B" w:rsidP="00ED243D">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sz w:val="18"/>
                <w:szCs w:val="18"/>
              </w:rPr>
              <w:t xml:space="preserve">Programme visant la restauration de terres dégradées, le reboisement sécurisé, l’amélioration du couvert forestier, la stabilisation des dunes, la réalisation de pare-feux et la réhabilitation de pistes de transhumance. Il prévoit notamment la restauration de </w:t>
            </w:r>
            <w:r w:rsidRPr="00ED243D">
              <w:rPr>
                <w:b/>
                <w:sz w:val="18"/>
                <w:szCs w:val="18"/>
              </w:rPr>
              <w:t>5 000 000 ha de terres dégradées</w:t>
            </w:r>
            <w:r w:rsidRPr="00ED243D">
              <w:rPr>
                <w:sz w:val="18"/>
                <w:szCs w:val="18"/>
              </w:rPr>
              <w:t xml:space="preserve"> et vise une amélioration de </w:t>
            </w:r>
            <w:r w:rsidRPr="00ED243D">
              <w:rPr>
                <w:b/>
                <w:sz w:val="18"/>
                <w:szCs w:val="18"/>
              </w:rPr>
              <w:t>15 %</w:t>
            </w:r>
            <w:r w:rsidRPr="00ED243D">
              <w:rPr>
                <w:sz w:val="18"/>
                <w:szCs w:val="18"/>
              </w:rPr>
              <w:t xml:space="preserve"> de la couverture végétale.</w:t>
            </w:r>
          </w:p>
        </w:tc>
        <w:tc>
          <w:tcPr>
            <w:tcW w:w="1308" w:type="dxa"/>
            <w:vAlign w:val="center"/>
          </w:tcPr>
          <w:p w14:paraId="28585E63" w14:textId="4B0E4A40" w:rsidR="00B4646B" w:rsidRPr="00ED243D" w:rsidRDefault="00B4646B" w:rsidP="00ED243D">
            <w:pPr>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b/>
                <w:sz w:val="18"/>
                <w:szCs w:val="18"/>
              </w:rPr>
              <w:t xml:space="preserve">40 000 000 000 </w:t>
            </w:r>
            <w:r w:rsidR="00674A82">
              <w:rPr>
                <w:b/>
                <w:sz w:val="18"/>
                <w:szCs w:val="18"/>
              </w:rPr>
              <w:t>CFA</w:t>
            </w:r>
          </w:p>
        </w:tc>
        <w:tc>
          <w:tcPr>
            <w:tcW w:w="1669" w:type="dxa"/>
            <w:vAlign w:val="center"/>
          </w:tcPr>
          <w:p w14:paraId="3850C660" w14:textId="1AAB2F2F" w:rsidR="00B4646B" w:rsidRPr="00ED243D" w:rsidRDefault="00B4646B" w:rsidP="00ED243D">
            <w:pPr>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sz w:val="18"/>
                <w:szCs w:val="18"/>
              </w:rPr>
              <w:t>Conditionnelle</w:t>
            </w:r>
          </w:p>
        </w:tc>
      </w:tr>
      <w:tr w:rsidR="00B4646B" w:rsidRPr="00ED243D" w14:paraId="321040FF" w14:textId="2B24283F" w:rsidTr="00ED243D">
        <w:trPr>
          <w:trHeight w:val="6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706F31" w14:textId="77777777" w:rsidR="00B4646B" w:rsidRPr="00ED243D" w:rsidRDefault="00B4646B" w:rsidP="00ED243D">
            <w:pPr>
              <w:spacing w:line="259" w:lineRule="auto"/>
              <w:jc w:val="both"/>
              <w:rPr>
                <w:sz w:val="18"/>
                <w:szCs w:val="18"/>
              </w:rPr>
            </w:pPr>
            <w:r w:rsidRPr="00ED243D">
              <w:rPr>
                <w:sz w:val="18"/>
                <w:szCs w:val="18"/>
              </w:rPr>
              <w:t>Programme de Développement et de Valorisation des Produits Forestiers Non Ligneux et Résilience des Communautés</w:t>
            </w:r>
          </w:p>
        </w:tc>
        <w:tc>
          <w:tcPr>
            <w:tcW w:w="0" w:type="auto"/>
            <w:vAlign w:val="center"/>
            <w:hideMark/>
          </w:tcPr>
          <w:p w14:paraId="7E665AAD" w14:textId="77777777" w:rsidR="00B4646B" w:rsidRPr="00ED243D" w:rsidRDefault="00B4646B" w:rsidP="00ED243D">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sz w:val="18"/>
                <w:szCs w:val="18"/>
              </w:rPr>
              <w:t>DGEF</w:t>
            </w:r>
          </w:p>
        </w:tc>
        <w:tc>
          <w:tcPr>
            <w:tcW w:w="0" w:type="auto"/>
            <w:vAlign w:val="center"/>
            <w:hideMark/>
          </w:tcPr>
          <w:p w14:paraId="37B1A1AC" w14:textId="77777777" w:rsidR="00B4646B" w:rsidRPr="00ED243D" w:rsidRDefault="00B4646B" w:rsidP="00ED243D">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sz w:val="18"/>
                <w:szCs w:val="18"/>
              </w:rPr>
              <w:t>Fiche de collecte transmise par la DGEF</w:t>
            </w:r>
          </w:p>
        </w:tc>
        <w:tc>
          <w:tcPr>
            <w:tcW w:w="5706" w:type="dxa"/>
            <w:vAlign w:val="center"/>
            <w:hideMark/>
          </w:tcPr>
          <w:p w14:paraId="34942305" w14:textId="77777777" w:rsidR="00B4646B" w:rsidRPr="00ED243D" w:rsidRDefault="00B4646B" w:rsidP="00ED243D">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sz w:val="18"/>
                <w:szCs w:val="18"/>
              </w:rPr>
              <w:t xml:space="preserve">Programme axé sur la valorisation des produits forestiers non ligneux, les plantations d’espèces à valeur économique, les aménagements agroforestiers et le renforcement des communautés locales. Il prévoit notamment </w:t>
            </w:r>
            <w:r w:rsidRPr="00ED243D">
              <w:rPr>
                <w:b/>
                <w:sz w:val="18"/>
                <w:szCs w:val="18"/>
              </w:rPr>
              <w:t>2 000 000 ha de plantations et d’aménagements agroforestiers</w:t>
            </w:r>
            <w:r w:rsidRPr="00ED243D">
              <w:rPr>
                <w:sz w:val="18"/>
                <w:szCs w:val="18"/>
              </w:rPr>
              <w:t>, la mise en place de parcs à PFNL, de fermes communautaires et d’infrastructures de commercialisation.</w:t>
            </w:r>
          </w:p>
        </w:tc>
        <w:tc>
          <w:tcPr>
            <w:tcW w:w="1308" w:type="dxa"/>
            <w:vAlign w:val="center"/>
          </w:tcPr>
          <w:p w14:paraId="093ADCAA" w14:textId="39E1C76E" w:rsidR="00B4646B" w:rsidRPr="00ED243D" w:rsidRDefault="00B4646B" w:rsidP="00ED243D">
            <w:pPr>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b/>
                <w:sz w:val="18"/>
                <w:szCs w:val="18"/>
              </w:rPr>
              <w:t xml:space="preserve">300 000 000 </w:t>
            </w:r>
            <w:r w:rsidR="00674A82">
              <w:rPr>
                <w:b/>
                <w:sz w:val="18"/>
                <w:szCs w:val="18"/>
              </w:rPr>
              <w:t>CFA</w:t>
            </w:r>
          </w:p>
        </w:tc>
        <w:tc>
          <w:tcPr>
            <w:tcW w:w="1669" w:type="dxa"/>
            <w:vAlign w:val="center"/>
          </w:tcPr>
          <w:p w14:paraId="2528CB9C" w14:textId="47262BA6" w:rsidR="00B4646B" w:rsidRPr="00ED243D" w:rsidRDefault="00B4646B" w:rsidP="00ED243D">
            <w:pPr>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sz w:val="18"/>
                <w:szCs w:val="18"/>
              </w:rPr>
              <w:t>Conditionnelle</w:t>
            </w:r>
          </w:p>
        </w:tc>
      </w:tr>
      <w:tr w:rsidR="00B4646B" w:rsidRPr="00ED243D" w14:paraId="1C4A885F" w14:textId="2296E5F9" w:rsidTr="00ED243D">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E0B75A2" w14:textId="77777777" w:rsidR="00B4646B" w:rsidRPr="00ED243D" w:rsidRDefault="00B4646B" w:rsidP="00ED243D">
            <w:pPr>
              <w:spacing w:line="259" w:lineRule="auto"/>
              <w:jc w:val="both"/>
              <w:rPr>
                <w:sz w:val="18"/>
                <w:szCs w:val="18"/>
              </w:rPr>
            </w:pPr>
            <w:r w:rsidRPr="00ED243D">
              <w:rPr>
                <w:sz w:val="18"/>
                <w:szCs w:val="18"/>
              </w:rPr>
              <w:t>Programme de Développement de la Production de la Gomme Arabique</w:t>
            </w:r>
          </w:p>
        </w:tc>
        <w:tc>
          <w:tcPr>
            <w:tcW w:w="0" w:type="auto"/>
            <w:vAlign w:val="center"/>
            <w:hideMark/>
          </w:tcPr>
          <w:p w14:paraId="38AC9481" w14:textId="77777777" w:rsidR="00B4646B" w:rsidRPr="00ED243D" w:rsidRDefault="00B4646B" w:rsidP="00ED243D">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sz w:val="18"/>
                <w:szCs w:val="18"/>
              </w:rPr>
              <w:t>DGEF</w:t>
            </w:r>
          </w:p>
        </w:tc>
        <w:tc>
          <w:tcPr>
            <w:tcW w:w="0" w:type="auto"/>
            <w:vAlign w:val="center"/>
            <w:hideMark/>
          </w:tcPr>
          <w:p w14:paraId="4FC9EBBC" w14:textId="77777777" w:rsidR="00B4646B" w:rsidRPr="00ED243D" w:rsidRDefault="00B4646B" w:rsidP="00ED243D">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sz w:val="18"/>
                <w:szCs w:val="18"/>
              </w:rPr>
              <w:t>Fiche de collecte transmise par la DGEF</w:t>
            </w:r>
          </w:p>
        </w:tc>
        <w:tc>
          <w:tcPr>
            <w:tcW w:w="5706" w:type="dxa"/>
            <w:vAlign w:val="center"/>
            <w:hideMark/>
          </w:tcPr>
          <w:p w14:paraId="10656118" w14:textId="77777777" w:rsidR="00B4646B" w:rsidRPr="00ED243D" w:rsidRDefault="00B4646B" w:rsidP="00ED243D">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sz w:val="18"/>
                <w:szCs w:val="18"/>
              </w:rPr>
              <w:t xml:space="preserve">Programme visant le développement de la filière gomme arabique dans les zones gommifères du Mali. Il prévoit la création de </w:t>
            </w:r>
            <w:r w:rsidRPr="00ED243D">
              <w:rPr>
                <w:b/>
                <w:sz w:val="18"/>
                <w:szCs w:val="18"/>
              </w:rPr>
              <w:t>200 pépinières</w:t>
            </w:r>
            <w:r w:rsidRPr="00ED243D">
              <w:rPr>
                <w:sz w:val="18"/>
                <w:szCs w:val="18"/>
              </w:rPr>
              <w:t xml:space="preserve">, la plantation de </w:t>
            </w:r>
            <w:r w:rsidRPr="00ED243D">
              <w:rPr>
                <w:b/>
                <w:sz w:val="18"/>
                <w:szCs w:val="18"/>
              </w:rPr>
              <w:t>1 000 000 ha de gommeraies</w:t>
            </w:r>
            <w:r w:rsidRPr="00ED243D">
              <w:rPr>
                <w:sz w:val="18"/>
                <w:szCs w:val="18"/>
              </w:rPr>
              <w:t xml:space="preserve">, la mise en place de </w:t>
            </w:r>
            <w:r w:rsidRPr="00ED243D">
              <w:rPr>
                <w:b/>
                <w:sz w:val="18"/>
                <w:szCs w:val="18"/>
              </w:rPr>
              <w:t>50 unités de transformation et de commercialisation</w:t>
            </w:r>
            <w:r w:rsidRPr="00ED243D">
              <w:rPr>
                <w:sz w:val="18"/>
                <w:szCs w:val="18"/>
              </w:rPr>
              <w:t xml:space="preserve">, ainsi que la création de </w:t>
            </w:r>
            <w:r w:rsidRPr="00ED243D">
              <w:rPr>
                <w:b/>
                <w:sz w:val="18"/>
                <w:szCs w:val="18"/>
              </w:rPr>
              <w:t>100 pôles de développement communautaire</w:t>
            </w:r>
            <w:r w:rsidRPr="00ED243D">
              <w:rPr>
                <w:sz w:val="18"/>
                <w:szCs w:val="18"/>
              </w:rPr>
              <w:t>.</w:t>
            </w:r>
          </w:p>
        </w:tc>
        <w:tc>
          <w:tcPr>
            <w:tcW w:w="1308" w:type="dxa"/>
            <w:vAlign w:val="center"/>
          </w:tcPr>
          <w:p w14:paraId="53BC6EFD" w14:textId="0BE30806" w:rsidR="00B4646B" w:rsidRPr="00ED243D" w:rsidRDefault="00B4646B" w:rsidP="00ED243D">
            <w:pPr>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b/>
                <w:sz w:val="18"/>
                <w:szCs w:val="18"/>
              </w:rPr>
              <w:t xml:space="preserve">2 500 000 000 </w:t>
            </w:r>
            <w:r w:rsidR="00674A82">
              <w:rPr>
                <w:b/>
                <w:sz w:val="18"/>
                <w:szCs w:val="18"/>
              </w:rPr>
              <w:t>CFA</w:t>
            </w:r>
          </w:p>
        </w:tc>
        <w:tc>
          <w:tcPr>
            <w:tcW w:w="1669" w:type="dxa"/>
            <w:vAlign w:val="center"/>
          </w:tcPr>
          <w:p w14:paraId="1201427F" w14:textId="2EBE0D46" w:rsidR="00B4646B" w:rsidRPr="00ED243D" w:rsidRDefault="00B4646B" w:rsidP="00ED243D">
            <w:pPr>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sz w:val="18"/>
                <w:szCs w:val="18"/>
              </w:rPr>
              <w:t>Conditionnelle</w:t>
            </w:r>
          </w:p>
        </w:tc>
      </w:tr>
      <w:tr w:rsidR="00B4646B" w:rsidRPr="00ED243D" w14:paraId="5A416CD5" w14:textId="4B7FB0F8" w:rsidTr="00ED243D">
        <w:trPr>
          <w:trHeight w:val="6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EBA256" w14:textId="77777777" w:rsidR="00B4646B" w:rsidRPr="00ED243D" w:rsidRDefault="00B4646B" w:rsidP="00ED243D">
            <w:pPr>
              <w:spacing w:line="259" w:lineRule="auto"/>
              <w:jc w:val="both"/>
              <w:rPr>
                <w:sz w:val="18"/>
                <w:szCs w:val="18"/>
              </w:rPr>
            </w:pPr>
            <w:r w:rsidRPr="00ED243D">
              <w:rPr>
                <w:sz w:val="18"/>
                <w:szCs w:val="18"/>
              </w:rPr>
              <w:t>Projet de Promotion et de Valorisation de la Filière Gomme Arabique — PPVFGA</w:t>
            </w:r>
          </w:p>
        </w:tc>
        <w:tc>
          <w:tcPr>
            <w:tcW w:w="0" w:type="auto"/>
            <w:vAlign w:val="center"/>
            <w:hideMark/>
          </w:tcPr>
          <w:p w14:paraId="66BF877E" w14:textId="77777777" w:rsidR="00B4646B" w:rsidRPr="00ED243D" w:rsidRDefault="00B4646B" w:rsidP="00ED243D">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sz w:val="18"/>
                <w:szCs w:val="18"/>
              </w:rPr>
              <w:t>DGEF</w:t>
            </w:r>
          </w:p>
        </w:tc>
        <w:tc>
          <w:tcPr>
            <w:tcW w:w="0" w:type="auto"/>
            <w:vAlign w:val="center"/>
            <w:hideMark/>
          </w:tcPr>
          <w:p w14:paraId="5CBDED33" w14:textId="77777777" w:rsidR="00B4646B" w:rsidRPr="00ED243D" w:rsidRDefault="00B4646B" w:rsidP="00ED243D">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sz w:val="18"/>
                <w:szCs w:val="18"/>
              </w:rPr>
              <w:t>Fiche de collecte transmise par la DGEF</w:t>
            </w:r>
          </w:p>
        </w:tc>
        <w:tc>
          <w:tcPr>
            <w:tcW w:w="5706" w:type="dxa"/>
            <w:vAlign w:val="center"/>
            <w:hideMark/>
          </w:tcPr>
          <w:p w14:paraId="7D41A41A" w14:textId="77777777" w:rsidR="00B4646B" w:rsidRPr="00ED243D" w:rsidRDefault="00B4646B" w:rsidP="00ED243D">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sz w:val="18"/>
                <w:szCs w:val="18"/>
              </w:rPr>
              <w:t>Projet visant l’organisation et la valorisation de la filière gomme arabique, notamment à travers la protection et le géoréférencement des gommeraies existantes, l’ouverture de pare-feux, la production, la plantation et l’entretien de plants d’</w:t>
            </w:r>
            <w:r w:rsidRPr="00ED243D">
              <w:rPr>
                <w:b/>
                <w:sz w:val="18"/>
                <w:szCs w:val="18"/>
              </w:rPr>
              <w:t>Acacia senegal</w:t>
            </w:r>
            <w:r w:rsidRPr="00ED243D">
              <w:rPr>
                <w:sz w:val="18"/>
                <w:szCs w:val="18"/>
              </w:rPr>
              <w:t>, ainsi que la formation, la traçabilité, la certification, le stockage et l’appui à la commercialisation.</w:t>
            </w:r>
          </w:p>
        </w:tc>
        <w:tc>
          <w:tcPr>
            <w:tcW w:w="1308" w:type="dxa"/>
            <w:vAlign w:val="center"/>
          </w:tcPr>
          <w:p w14:paraId="6B783516" w14:textId="59A1FDB4" w:rsidR="00B4646B" w:rsidRPr="00ED243D" w:rsidRDefault="00DD4507" w:rsidP="00ED243D">
            <w:pPr>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b/>
                <w:sz w:val="18"/>
                <w:szCs w:val="18"/>
              </w:rPr>
              <w:t>3 200 000 000 FCFA</w:t>
            </w:r>
          </w:p>
        </w:tc>
        <w:tc>
          <w:tcPr>
            <w:tcW w:w="1669" w:type="dxa"/>
            <w:vAlign w:val="center"/>
          </w:tcPr>
          <w:p w14:paraId="7CB4F4AE" w14:textId="1CB216BF" w:rsidR="00B4646B" w:rsidRPr="00ED243D" w:rsidRDefault="00B4646B" w:rsidP="00ED243D">
            <w:pPr>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sz w:val="18"/>
                <w:szCs w:val="18"/>
              </w:rPr>
              <w:t>Conditionnelle</w:t>
            </w:r>
          </w:p>
        </w:tc>
      </w:tr>
      <w:tr w:rsidR="00B4646B" w:rsidRPr="00ED243D" w14:paraId="73706F0B" w14:textId="0740D94D" w:rsidTr="00ED243D">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1DDE2E8" w14:textId="77777777" w:rsidR="00B4646B" w:rsidRPr="00ED243D" w:rsidRDefault="00B4646B" w:rsidP="00ED243D">
            <w:pPr>
              <w:spacing w:line="259" w:lineRule="auto"/>
              <w:jc w:val="both"/>
              <w:rPr>
                <w:sz w:val="18"/>
                <w:szCs w:val="18"/>
              </w:rPr>
            </w:pPr>
            <w:r w:rsidRPr="00ED243D">
              <w:rPr>
                <w:sz w:val="18"/>
                <w:szCs w:val="18"/>
              </w:rPr>
              <w:t>Programme de reboisement intensif et restauration du couvert végétal</w:t>
            </w:r>
          </w:p>
        </w:tc>
        <w:tc>
          <w:tcPr>
            <w:tcW w:w="0" w:type="auto"/>
            <w:vAlign w:val="center"/>
            <w:hideMark/>
          </w:tcPr>
          <w:p w14:paraId="1856B92C" w14:textId="77777777" w:rsidR="00B4646B" w:rsidRPr="00ED243D" w:rsidRDefault="00B4646B" w:rsidP="00ED243D">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sz w:val="18"/>
                <w:szCs w:val="18"/>
              </w:rPr>
              <w:t>DGEF</w:t>
            </w:r>
          </w:p>
        </w:tc>
        <w:tc>
          <w:tcPr>
            <w:tcW w:w="0" w:type="auto"/>
            <w:vAlign w:val="center"/>
            <w:hideMark/>
          </w:tcPr>
          <w:p w14:paraId="520A8D1F" w14:textId="77777777" w:rsidR="00B4646B" w:rsidRPr="00ED243D" w:rsidRDefault="00B4646B" w:rsidP="00ED243D">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sz w:val="18"/>
                <w:szCs w:val="18"/>
              </w:rPr>
              <w:t>Proposition du bureau d’étude, sur la base des initiatives nationales de reboisement</w:t>
            </w:r>
          </w:p>
        </w:tc>
        <w:tc>
          <w:tcPr>
            <w:tcW w:w="5706" w:type="dxa"/>
            <w:vAlign w:val="center"/>
            <w:hideMark/>
          </w:tcPr>
          <w:p w14:paraId="79D4CAAE" w14:textId="018792DA" w:rsidR="00B4646B" w:rsidRPr="00ED243D" w:rsidRDefault="00B4646B" w:rsidP="00ED243D">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sz w:val="18"/>
                <w:szCs w:val="18"/>
              </w:rPr>
              <w:t xml:space="preserve">Initiative nationale récurrente de reboisement et de restauration du couvert végétal, mise en œuvre avec des déclinaisons régionales et la mobilisation des institutions publiques, des collectivités, de la société civile, des écoles et des communautés locales. Sur la période </w:t>
            </w:r>
            <w:r w:rsidRPr="00ED243D">
              <w:rPr>
                <w:b/>
                <w:sz w:val="18"/>
                <w:szCs w:val="18"/>
              </w:rPr>
              <w:t>2021</w:t>
            </w:r>
            <w:r w:rsidR="000E6FB3" w:rsidRPr="00ED243D">
              <w:rPr>
                <w:b/>
                <w:sz w:val="18"/>
                <w:szCs w:val="18"/>
              </w:rPr>
              <w:t>-</w:t>
            </w:r>
            <w:r w:rsidRPr="00ED243D">
              <w:rPr>
                <w:b/>
                <w:sz w:val="18"/>
                <w:szCs w:val="18"/>
              </w:rPr>
              <w:t>2025</w:t>
            </w:r>
            <w:r w:rsidRPr="00ED243D">
              <w:rPr>
                <w:sz w:val="18"/>
                <w:szCs w:val="18"/>
              </w:rPr>
              <w:t xml:space="preserve">, une superficie de </w:t>
            </w:r>
            <w:r w:rsidRPr="00ED243D">
              <w:rPr>
                <w:b/>
                <w:sz w:val="18"/>
                <w:szCs w:val="18"/>
              </w:rPr>
              <w:t>79 724,09 ha</w:t>
            </w:r>
            <w:r w:rsidRPr="00ED243D">
              <w:rPr>
                <w:sz w:val="18"/>
                <w:szCs w:val="18"/>
              </w:rPr>
              <w:t xml:space="preserve"> a été reboisée.</w:t>
            </w:r>
          </w:p>
        </w:tc>
        <w:tc>
          <w:tcPr>
            <w:tcW w:w="1308" w:type="dxa"/>
            <w:vAlign w:val="center"/>
          </w:tcPr>
          <w:p w14:paraId="55D923B2" w14:textId="7C7AA016" w:rsidR="00B4646B" w:rsidRPr="00ED243D" w:rsidRDefault="00C833FC" w:rsidP="00ED243D">
            <w:pPr>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b/>
                <w:sz w:val="18"/>
                <w:szCs w:val="18"/>
              </w:rPr>
              <w:t>ND</w:t>
            </w:r>
          </w:p>
        </w:tc>
        <w:tc>
          <w:tcPr>
            <w:tcW w:w="1669" w:type="dxa"/>
            <w:vAlign w:val="center"/>
          </w:tcPr>
          <w:p w14:paraId="5DDD0782" w14:textId="06E9C5E9" w:rsidR="00B4646B" w:rsidRPr="00ED243D" w:rsidRDefault="00B4646B" w:rsidP="00ED243D">
            <w:pPr>
              <w:jc w:val="both"/>
              <w:cnfStyle w:val="000000100000" w:firstRow="0" w:lastRow="0" w:firstColumn="0" w:lastColumn="0" w:oddVBand="0" w:evenVBand="0" w:oddHBand="1" w:evenHBand="0" w:firstRowFirstColumn="0" w:firstRowLastColumn="0" w:lastRowFirstColumn="0" w:lastRowLastColumn="0"/>
              <w:rPr>
                <w:sz w:val="18"/>
                <w:szCs w:val="18"/>
              </w:rPr>
            </w:pPr>
            <w:r w:rsidRPr="00ED243D">
              <w:rPr>
                <w:sz w:val="18"/>
                <w:szCs w:val="18"/>
              </w:rPr>
              <w:t>Inconditionnelle proposée</w:t>
            </w:r>
          </w:p>
        </w:tc>
      </w:tr>
      <w:tr w:rsidR="00B4646B" w:rsidRPr="00ED243D" w14:paraId="02D30F86" w14:textId="192BB23F" w:rsidTr="00ED243D">
        <w:trPr>
          <w:trHeight w:val="6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8A9637" w14:textId="6D4D519D" w:rsidR="00B4646B" w:rsidRPr="00ED243D" w:rsidRDefault="00B4646B" w:rsidP="00ED243D">
            <w:pPr>
              <w:spacing w:line="259" w:lineRule="auto"/>
              <w:jc w:val="both"/>
              <w:rPr>
                <w:sz w:val="18"/>
                <w:szCs w:val="18"/>
              </w:rPr>
            </w:pPr>
            <w:r w:rsidRPr="00ED243D">
              <w:rPr>
                <w:sz w:val="18"/>
                <w:szCs w:val="18"/>
              </w:rPr>
              <w:t xml:space="preserve">PRTD </w:t>
            </w:r>
            <w:r w:rsidR="000E6FB3" w:rsidRPr="00ED243D">
              <w:rPr>
                <w:sz w:val="18"/>
                <w:szCs w:val="18"/>
              </w:rPr>
              <w:t>-</w:t>
            </w:r>
            <w:r w:rsidRPr="00ED243D">
              <w:rPr>
                <w:sz w:val="18"/>
                <w:szCs w:val="18"/>
              </w:rPr>
              <w:t xml:space="preserve"> Projet de Résilience des Terres et du Développement</w:t>
            </w:r>
          </w:p>
        </w:tc>
        <w:tc>
          <w:tcPr>
            <w:tcW w:w="0" w:type="auto"/>
            <w:vAlign w:val="center"/>
            <w:hideMark/>
          </w:tcPr>
          <w:p w14:paraId="75B16916" w14:textId="77777777" w:rsidR="00B4646B" w:rsidRPr="00ED243D" w:rsidRDefault="00B4646B" w:rsidP="00ED243D">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sz w:val="18"/>
                <w:szCs w:val="18"/>
              </w:rPr>
              <w:t>MEADD / Unité de gestion du projet</w:t>
            </w:r>
          </w:p>
        </w:tc>
        <w:tc>
          <w:tcPr>
            <w:tcW w:w="0" w:type="auto"/>
            <w:vAlign w:val="center"/>
            <w:hideMark/>
          </w:tcPr>
          <w:p w14:paraId="3219582B" w14:textId="77777777" w:rsidR="00B4646B" w:rsidRPr="00ED243D" w:rsidRDefault="00B4646B" w:rsidP="00ED243D">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sz w:val="18"/>
                <w:szCs w:val="18"/>
              </w:rPr>
              <w:t>Proposition du bureau d’étude, sur la base de l’analyse des initiatives sectorielles en cours</w:t>
            </w:r>
          </w:p>
        </w:tc>
        <w:tc>
          <w:tcPr>
            <w:tcW w:w="5706" w:type="dxa"/>
            <w:vAlign w:val="center"/>
            <w:hideMark/>
          </w:tcPr>
          <w:p w14:paraId="1158481C" w14:textId="77777777" w:rsidR="00B4646B" w:rsidRPr="00ED243D" w:rsidRDefault="00B4646B" w:rsidP="00ED243D">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sz w:val="18"/>
                <w:szCs w:val="18"/>
              </w:rPr>
              <w:t xml:space="preserve">Projet en cours visant le renforcement de la gestion durable des terres et des paysages. Il prévoit notamment </w:t>
            </w:r>
            <w:r w:rsidRPr="00ED243D">
              <w:rPr>
                <w:b/>
                <w:sz w:val="18"/>
                <w:szCs w:val="18"/>
              </w:rPr>
              <w:t>100 000 ha</w:t>
            </w:r>
            <w:r w:rsidRPr="00ED243D">
              <w:rPr>
                <w:sz w:val="18"/>
                <w:szCs w:val="18"/>
              </w:rPr>
              <w:t xml:space="preserve"> sous pratiques de gestion durable du paysage et </w:t>
            </w:r>
            <w:r w:rsidRPr="00ED243D">
              <w:rPr>
                <w:b/>
                <w:sz w:val="18"/>
                <w:szCs w:val="18"/>
              </w:rPr>
              <w:t>150 000 ha</w:t>
            </w:r>
            <w:r w:rsidRPr="00ED243D">
              <w:rPr>
                <w:sz w:val="18"/>
                <w:szCs w:val="18"/>
              </w:rPr>
              <w:t xml:space="preserve"> de superficie forestière placée sous plans d’aménagement.</w:t>
            </w:r>
          </w:p>
        </w:tc>
        <w:tc>
          <w:tcPr>
            <w:tcW w:w="1308" w:type="dxa"/>
            <w:vAlign w:val="center"/>
          </w:tcPr>
          <w:p w14:paraId="37534A96" w14:textId="515A2C6C" w:rsidR="00B4646B" w:rsidRPr="00ED243D" w:rsidRDefault="00B4646B" w:rsidP="00ED243D">
            <w:pPr>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b/>
                <w:sz w:val="18"/>
                <w:szCs w:val="18"/>
              </w:rPr>
              <w:t>90 milliards FCFA</w:t>
            </w:r>
          </w:p>
        </w:tc>
        <w:tc>
          <w:tcPr>
            <w:tcW w:w="1669" w:type="dxa"/>
            <w:vAlign w:val="center"/>
          </w:tcPr>
          <w:p w14:paraId="3C61CFB6" w14:textId="0B670E98" w:rsidR="00B4646B" w:rsidRPr="00ED243D" w:rsidRDefault="00B4646B" w:rsidP="00ED243D">
            <w:pPr>
              <w:jc w:val="both"/>
              <w:cnfStyle w:val="000000000000" w:firstRow="0" w:lastRow="0" w:firstColumn="0" w:lastColumn="0" w:oddVBand="0" w:evenVBand="0" w:oddHBand="0" w:evenHBand="0" w:firstRowFirstColumn="0" w:firstRowLastColumn="0" w:lastRowFirstColumn="0" w:lastRowLastColumn="0"/>
              <w:rPr>
                <w:sz w:val="18"/>
                <w:szCs w:val="18"/>
              </w:rPr>
            </w:pPr>
            <w:r w:rsidRPr="00ED243D">
              <w:rPr>
                <w:sz w:val="18"/>
                <w:szCs w:val="18"/>
              </w:rPr>
              <w:t>Conditionnelle</w:t>
            </w:r>
          </w:p>
        </w:tc>
      </w:tr>
    </w:tbl>
    <w:p w14:paraId="6FA4586A" w14:textId="77777777" w:rsidR="00DE6119" w:rsidRDefault="00DE6119" w:rsidP="00E321FB">
      <w:pPr>
        <w:spacing w:before="240" w:after="0"/>
        <w:jc w:val="both"/>
        <w:sectPr w:rsidR="00DE6119" w:rsidSect="00CD68E6">
          <w:pgSz w:w="15840" w:h="12240" w:orient="landscape" w:code="1"/>
          <w:pgMar w:top="1411" w:right="1411" w:bottom="1411" w:left="1411" w:header="706" w:footer="706" w:gutter="0"/>
          <w:cols w:space="708"/>
          <w:docGrid w:linePitch="360"/>
        </w:sectPr>
      </w:pPr>
    </w:p>
    <w:p w14:paraId="330AE7A5" w14:textId="7313CA0A" w:rsidR="00B12F4F" w:rsidRDefault="00B12F4F" w:rsidP="008A1664">
      <w:pPr>
        <w:spacing w:after="0"/>
        <w:jc w:val="both"/>
      </w:pPr>
      <w:r w:rsidRPr="00B12F4F">
        <w:rPr>
          <w:b/>
          <w:bCs/>
          <w:u w:val="single"/>
        </w:rPr>
        <w:lastRenderedPageBreak/>
        <w:t>Proposition de restructuration des mesures proposées par les parties prenantes en vue de leurs intégrations</w:t>
      </w:r>
      <w:r w:rsidR="008A1664">
        <w:rPr>
          <w:b/>
          <w:bCs/>
          <w:u w:val="single"/>
        </w:rPr>
        <w:t xml:space="preserve"> </w:t>
      </w:r>
      <w:r w:rsidRPr="00B12F4F">
        <w:rPr>
          <w:b/>
          <w:bCs/>
          <w:u w:val="single"/>
        </w:rPr>
        <w:t>dans la CDN 3.0</w:t>
      </w:r>
    </w:p>
    <w:p w14:paraId="0E9CDAC2" w14:textId="77777777" w:rsidR="00CC51FB" w:rsidRPr="00CC51FB" w:rsidRDefault="00CC51FB" w:rsidP="00CC51FB">
      <w:pPr>
        <w:spacing w:before="240" w:after="0"/>
        <w:jc w:val="both"/>
      </w:pPr>
      <w:r w:rsidRPr="00CC51FB">
        <w:t>L’analyse de la liste brute des mesures identifiées pour le secteur des forêts montre que les propositions reçues relèvent de logiques différentes. Certaines correspondent à de nouveaux programmes ou projets de grande ampleur, formulés dans une perspective de mobilisation de financements internationaux. D’autres correspondent à des initiatives nationales déjà engagées, parfois de longue date, qu’il convient de mieux valoriser dans le cadre de la CDN 3.0.</w:t>
      </w:r>
    </w:p>
    <w:p w14:paraId="3281055E" w14:textId="77777777" w:rsidR="00CC51FB" w:rsidRPr="00CC51FB" w:rsidRDefault="00CC51FB" w:rsidP="00CC51FB">
      <w:pPr>
        <w:spacing w:before="240" w:after="0"/>
        <w:jc w:val="both"/>
      </w:pPr>
      <w:r w:rsidRPr="00CC51FB">
        <w:t>La restructuration proposée vise ainsi à améliorer la lisibilité du portefeuille forestier, à éviter les chevauchements entre mesures proches et à distinguer clairement les actions nouvelles à financer des efforts nationaux déjà engagés. Elle permet également de mieux aligner le portefeuille avec la logique de la CDN 3.0, en séparant les mesures conditionnelles, qui nécessitent des financements additionnels, des mesures inconditionnelles, qui reposent principalement sur des initiatives nationales existantes ou poursuivies sur ressources domestiques.</w:t>
      </w:r>
    </w:p>
    <w:p w14:paraId="1AB7A62A" w14:textId="77777777" w:rsidR="00CC51FB" w:rsidRPr="00CC51FB" w:rsidRDefault="00CC51FB" w:rsidP="00CC51FB">
      <w:pPr>
        <w:spacing w:before="240" w:after="0"/>
        <w:jc w:val="both"/>
      </w:pPr>
      <w:r w:rsidRPr="00CC51FB">
        <w:t>Dans cette perspective, le Programme de reboisement intensif et de restauration du couvert végétal occupe une place particulière. Il ne s’agit pas d’une nouvelle mesure introduite par la CDN 3.0, mais d’une initiative nationale historique mise en œuvre depuis plus de 30 ans à travers des campagnes récurrentes de reboisement et de restauration du couvert végétal. Ce programme mobilise notamment l’État, les services techniques, les collectivités territoriales, les écoles, la société civile, les communautés locales et les partenaires techniques.</w:t>
      </w:r>
    </w:p>
    <w:p w14:paraId="126E69E2" w14:textId="77777777" w:rsidR="00CC51FB" w:rsidRPr="00CC51FB" w:rsidRDefault="00CC51FB" w:rsidP="00CC51FB">
      <w:pPr>
        <w:spacing w:before="240" w:after="0"/>
        <w:jc w:val="both"/>
      </w:pPr>
      <w:r w:rsidRPr="00CC51FB">
        <w:t>Dans le cadre de la CDN 3.0, l’objectif n’est donc pas de créer un nouveau programme de reboisement, mais de capitaliser sur les efforts déjà réalisés, en particulier depuis 2020, et de leur donner une trajectoire claire jusqu’en 2035. À ce titre, la mesure retient un objectif cumulé d’environ 3 000 000 ha reboisés ou restaurés sur la période 2020-2035. Cette approche permet de valoriser les efforts nationaux existants tout en améliorant leur suivi et leur contribution aux objectifs d’atténuation du secteur forestier.</w:t>
      </w:r>
    </w:p>
    <w:p w14:paraId="30E0C7AA" w14:textId="5B30F63C" w:rsidR="00CC51FB" w:rsidRPr="00CC51FB" w:rsidRDefault="00CC51FB" w:rsidP="00CC51FB">
      <w:pPr>
        <w:spacing w:before="240" w:after="0"/>
        <w:jc w:val="both"/>
      </w:pPr>
      <w:r w:rsidRPr="00CC51FB">
        <w:t xml:space="preserve">Par ailleurs, la restructuration concerne également la filière gomme arabique. Dans la liste brute, deux mesures distinctes portaient sur cette filière : le Programme de Développement de la Production de la Gomme Arabique, estimé à 2 500 000 000 </w:t>
      </w:r>
      <w:r w:rsidR="00402A23">
        <w:t>CFA</w:t>
      </w:r>
      <w:r w:rsidRPr="00CC51FB">
        <w:t xml:space="preserve">, et le Projet de Promotion et de Valorisation de la Filière Gomme Arabique </w:t>
      </w:r>
      <w:r>
        <w:t>-</w:t>
      </w:r>
      <w:r w:rsidRPr="00CC51FB">
        <w:t xml:space="preserve"> PPVFGA, estimé à 3 200 000 000 FCFA.</w:t>
      </w:r>
    </w:p>
    <w:p w14:paraId="3A587FF4" w14:textId="77777777" w:rsidR="00184B1A" w:rsidRPr="00184B1A" w:rsidRDefault="00184B1A" w:rsidP="00184B1A">
      <w:pPr>
        <w:spacing w:before="240" w:after="0"/>
        <w:jc w:val="both"/>
      </w:pPr>
      <w:r w:rsidRPr="00184B1A">
        <w:t xml:space="preserve">Ces deux </w:t>
      </w:r>
      <w:r w:rsidR="00CC51FB" w:rsidRPr="00CC51FB">
        <w:t>propositions</w:t>
      </w:r>
      <w:r w:rsidRPr="00184B1A">
        <w:t xml:space="preserve"> poursuivent une même finalité : renforcer la filière gomme arabique à travers la production de plants d’</w:t>
      </w:r>
      <w:r w:rsidRPr="00CC51FB">
        <w:t>Acacia senegal</w:t>
      </w:r>
      <w:r w:rsidRPr="00184B1A">
        <w:t xml:space="preserve">, la </w:t>
      </w:r>
      <w:r w:rsidR="00CC51FB" w:rsidRPr="00CC51FB">
        <w:t xml:space="preserve">plantation et la </w:t>
      </w:r>
      <w:r w:rsidRPr="00184B1A">
        <w:t>protection des gommeraies, l’organisation des acteurs, la transformation, la traçabilité, la certification, le stockage et l’appui à la commercialisation.</w:t>
      </w:r>
      <w:r w:rsidR="00CC51FB" w:rsidRPr="00CC51FB">
        <w:t xml:space="preserve"> </w:t>
      </w:r>
      <w:r w:rsidRPr="00184B1A">
        <w:t xml:space="preserve">Afin d’éviter un double comptage des activités et de présenter une mesure plus cohérente dans </w:t>
      </w:r>
      <w:r w:rsidR="00CC51FB" w:rsidRPr="00CC51FB">
        <w:t xml:space="preserve">le portefeuille de </w:t>
      </w:r>
      <w:r w:rsidRPr="00184B1A">
        <w:t xml:space="preserve">la CDN 3.0, il est proposé de les regrouper en une seule mesure conditionnelle intitulée : </w:t>
      </w:r>
      <w:r w:rsidRPr="00CC51FB">
        <w:rPr>
          <w:b/>
          <w:bCs/>
        </w:rPr>
        <w:t>Promotion, développement et valorisation durable de la filière gomme arabique</w:t>
      </w:r>
      <w:r w:rsidRPr="00184B1A">
        <w:t>.</w:t>
      </w:r>
    </w:p>
    <w:p w14:paraId="70317A25" w14:textId="77777777" w:rsidR="00184B1A" w:rsidRPr="00184B1A" w:rsidRDefault="00184B1A" w:rsidP="00184B1A">
      <w:pPr>
        <w:spacing w:before="240" w:after="0"/>
        <w:jc w:val="both"/>
      </w:pPr>
      <w:r w:rsidRPr="00184B1A">
        <w:t>Cette mesure regroupe les actions de production, de plantation, de protection, de transformation et de valorisation commerciale prévues dans les deux propositions initiales. Elle est classée comme conditionnelle, dans la mesure où sa mise en œuvre dépend principalement de la mobilisation de financements additionnels.</w:t>
      </w:r>
    </w:p>
    <w:p w14:paraId="3527DAB9" w14:textId="4FA80222" w:rsidR="00184B1A" w:rsidRPr="00184B1A" w:rsidRDefault="00184B1A" w:rsidP="00184B1A">
      <w:pPr>
        <w:spacing w:before="240" w:after="0"/>
        <w:jc w:val="both"/>
      </w:pPr>
      <w:r w:rsidRPr="00184B1A">
        <w:lastRenderedPageBreak/>
        <w:t xml:space="preserve">Le coût harmonisé de cette mesure est estimé à environ </w:t>
      </w:r>
      <w:r w:rsidRPr="00CC51FB">
        <w:rPr>
          <w:b/>
          <w:bCs/>
        </w:rPr>
        <w:t>2 50</w:t>
      </w:r>
      <w:r w:rsidR="00C0451D">
        <w:rPr>
          <w:b/>
          <w:bCs/>
        </w:rPr>
        <w:t>0</w:t>
      </w:r>
      <w:r w:rsidRPr="00CC51FB">
        <w:rPr>
          <w:b/>
          <w:bCs/>
        </w:rPr>
        <w:t xml:space="preserve"> 000 000 USD</w:t>
      </w:r>
      <w:r w:rsidRPr="00184B1A">
        <w:t xml:space="preserve">, correspondant à </w:t>
      </w:r>
      <w:r w:rsidRPr="00CC51FB">
        <w:rPr>
          <w:b/>
          <w:bCs/>
        </w:rPr>
        <w:t xml:space="preserve">2 500 000 000 </w:t>
      </w:r>
      <w:r w:rsidR="00C0451D">
        <w:rPr>
          <w:b/>
          <w:bCs/>
        </w:rPr>
        <w:t>FCA</w:t>
      </w:r>
      <w:r w:rsidRPr="00184B1A">
        <w:t xml:space="preserve"> pour le Programme de Développement de la Production de la Gomme Arabique et à l’équivalent d’environ </w:t>
      </w:r>
      <w:r w:rsidRPr="00CC51FB">
        <w:rPr>
          <w:b/>
          <w:bCs/>
        </w:rPr>
        <w:t>5 300 000 USD</w:t>
      </w:r>
      <w:r w:rsidRPr="00184B1A">
        <w:t xml:space="preserve"> pour le PPVFGA, sur la base d’une hypothèse de conversion de </w:t>
      </w:r>
      <w:r w:rsidRPr="00CC51FB">
        <w:rPr>
          <w:b/>
          <w:bCs/>
        </w:rPr>
        <w:t xml:space="preserve">1 USD </w:t>
      </w:r>
      <w:r w:rsidR="00CC51FB" w:rsidRPr="00CC51FB">
        <w:rPr>
          <w:b/>
          <w:bCs/>
        </w:rPr>
        <w:t>=</w:t>
      </w:r>
      <w:r w:rsidRPr="00CC51FB">
        <w:rPr>
          <w:b/>
          <w:bCs/>
        </w:rPr>
        <w:t xml:space="preserve"> 600 FCFA</w:t>
      </w:r>
      <w:r w:rsidRPr="00184B1A">
        <w:t>.</w:t>
      </w:r>
    </w:p>
    <w:p w14:paraId="6259971A" w14:textId="77777777" w:rsidR="00CC51FB" w:rsidRDefault="00CC51FB" w:rsidP="00CC51FB">
      <w:pPr>
        <w:spacing w:before="240" w:after="0"/>
        <w:jc w:val="both"/>
      </w:pPr>
      <w:r w:rsidRPr="00CC51FB">
        <w:t>Ainsi, le portefeuille restructuré du secteur forestier pour la CDN 3.0 combine :</w:t>
      </w:r>
    </w:p>
    <w:p w14:paraId="449BF50C" w14:textId="6BABD895" w:rsidR="00CC51FB" w:rsidRDefault="00CC51FB" w:rsidP="00CC51FB">
      <w:pPr>
        <w:pStyle w:val="Paragraphedeliste"/>
        <w:numPr>
          <w:ilvl w:val="0"/>
          <w:numId w:val="56"/>
        </w:numPr>
        <w:spacing w:before="240" w:after="0"/>
        <w:jc w:val="both"/>
      </w:pPr>
      <w:r w:rsidRPr="00CC51FB">
        <w:t>Des mesures conditionnelles correspondant à des programmes de grande ampleur nécessitant des financements internationaux ;</w:t>
      </w:r>
    </w:p>
    <w:p w14:paraId="6899A1DA" w14:textId="40DDC353" w:rsidR="00CC51FB" w:rsidRDefault="00CC51FB" w:rsidP="00CC51FB">
      <w:pPr>
        <w:pStyle w:val="Paragraphedeliste"/>
        <w:numPr>
          <w:ilvl w:val="0"/>
          <w:numId w:val="56"/>
        </w:numPr>
        <w:spacing w:before="240" w:after="0"/>
        <w:jc w:val="both"/>
      </w:pPr>
      <w:r w:rsidRPr="00CC51FB">
        <w:t>Une mesure inconditionnelle permettant de capitaliser les efforts nationaux historiques de reboisement et de restauration du couvert végétal ;</w:t>
      </w:r>
    </w:p>
    <w:p w14:paraId="4B2542B0" w14:textId="5925183F" w:rsidR="00CC51FB" w:rsidRPr="00CC51FB" w:rsidRDefault="00CC51FB" w:rsidP="00CC51FB">
      <w:pPr>
        <w:pStyle w:val="Paragraphedeliste"/>
        <w:numPr>
          <w:ilvl w:val="0"/>
          <w:numId w:val="56"/>
        </w:numPr>
        <w:spacing w:before="240" w:after="0"/>
        <w:jc w:val="both"/>
      </w:pPr>
      <w:r w:rsidRPr="00CC51FB">
        <w:t>Des projets en cours contribuant à la gestion durable des terres, des paysages et des ressources forestières.</w:t>
      </w:r>
    </w:p>
    <w:p w14:paraId="751DBD60" w14:textId="44531FDD" w:rsidR="00C42A74" w:rsidRDefault="00AF69AC" w:rsidP="00184B1A">
      <w:pPr>
        <w:spacing w:before="240" w:after="0"/>
        <w:jc w:val="both"/>
      </w:pPr>
      <w:r w:rsidRPr="00AF69AC">
        <w:t>Le tableau ci-dessous présente le portefeuille restructuré, avec une harmonisation indicative des coûts en USD afin de faciliter la lecture</w:t>
      </w:r>
      <w:r w:rsidR="00CC51FB" w:rsidRPr="00CC51FB">
        <w:t>, la comparaison</w:t>
      </w:r>
      <w:r w:rsidRPr="00AF69AC">
        <w:t xml:space="preserve"> et l’agrégation des besoins financiers.</w:t>
      </w:r>
    </w:p>
    <w:p w14:paraId="46D367F4" w14:textId="77777777" w:rsidR="008F3CC1" w:rsidRDefault="008F3CC1" w:rsidP="008360EE">
      <w:pPr>
        <w:pStyle w:val="Lgende"/>
        <w:keepNext/>
        <w:sectPr w:rsidR="008F3CC1" w:rsidSect="00C42595">
          <w:pgSz w:w="12240" w:h="15840" w:code="1"/>
          <w:pgMar w:top="1412" w:right="1412" w:bottom="1412" w:left="1412" w:header="706" w:footer="706" w:gutter="0"/>
          <w:cols w:space="708"/>
          <w:docGrid w:linePitch="360"/>
        </w:sectPr>
      </w:pPr>
    </w:p>
    <w:p w14:paraId="4511EB77" w14:textId="3F39289C" w:rsidR="008360EE" w:rsidRPr="00A736D4" w:rsidRDefault="008360EE" w:rsidP="008360EE">
      <w:pPr>
        <w:pStyle w:val="Lgende"/>
        <w:keepNext/>
        <w:rPr>
          <w:sz w:val="22"/>
          <w:szCs w:val="22"/>
        </w:rPr>
      </w:pPr>
      <w:bookmarkStart w:id="64" w:name="_Toc234853948"/>
      <w:r w:rsidRPr="00A736D4">
        <w:rPr>
          <w:sz w:val="22"/>
          <w:szCs w:val="22"/>
        </w:rPr>
        <w:lastRenderedPageBreak/>
        <w:t xml:space="preserve">Tableau </w:t>
      </w:r>
      <w:r w:rsidRPr="00A736D4">
        <w:rPr>
          <w:sz w:val="22"/>
          <w:szCs w:val="22"/>
        </w:rPr>
        <w:fldChar w:fldCharType="begin"/>
      </w:r>
      <w:r w:rsidRPr="00A736D4">
        <w:rPr>
          <w:sz w:val="22"/>
          <w:szCs w:val="22"/>
        </w:rPr>
        <w:instrText xml:space="preserve"> SEQ Tableau \* ARABIC </w:instrText>
      </w:r>
      <w:r w:rsidRPr="00A736D4">
        <w:rPr>
          <w:sz w:val="22"/>
          <w:szCs w:val="22"/>
        </w:rPr>
        <w:fldChar w:fldCharType="separate"/>
      </w:r>
      <w:r w:rsidR="0018772E">
        <w:rPr>
          <w:noProof/>
          <w:sz w:val="22"/>
          <w:szCs w:val="22"/>
        </w:rPr>
        <w:t>24</w:t>
      </w:r>
      <w:r w:rsidRPr="00A736D4">
        <w:rPr>
          <w:sz w:val="22"/>
          <w:szCs w:val="22"/>
        </w:rPr>
        <w:fldChar w:fldCharType="end"/>
      </w:r>
      <w:r w:rsidRPr="00A736D4">
        <w:rPr>
          <w:sz w:val="22"/>
          <w:szCs w:val="22"/>
        </w:rPr>
        <w:t> :</w:t>
      </w:r>
      <w:r w:rsidR="008F3CC1" w:rsidRPr="00A736D4">
        <w:rPr>
          <w:sz w:val="22"/>
          <w:szCs w:val="22"/>
        </w:rPr>
        <w:t xml:space="preserve"> Portefeuille restructuré des mesures d’atténuation du secteur des forêts pour la CDN 3.0</w:t>
      </w:r>
      <w:bookmarkEnd w:id="64"/>
    </w:p>
    <w:tbl>
      <w:tblPr>
        <w:tblStyle w:val="Tableausimp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1064"/>
        <w:gridCol w:w="2078"/>
        <w:gridCol w:w="3460"/>
        <w:gridCol w:w="1280"/>
        <w:gridCol w:w="1548"/>
        <w:gridCol w:w="1238"/>
        <w:gridCol w:w="1860"/>
      </w:tblGrid>
      <w:tr w:rsidR="009E49DF" w:rsidRPr="00024115" w14:paraId="6DCF3804" w14:textId="77777777" w:rsidTr="0002411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 w:type="pct"/>
            <w:shd w:val="clear" w:color="auto" w:fill="1F4E79" w:themeFill="accent1" w:themeFillShade="80"/>
            <w:vAlign w:val="center"/>
            <w:hideMark/>
          </w:tcPr>
          <w:p w14:paraId="78E08AEE" w14:textId="77777777" w:rsidR="008360EE" w:rsidRPr="00024115" w:rsidRDefault="008360EE" w:rsidP="00024115">
            <w:pPr>
              <w:spacing w:line="259" w:lineRule="auto"/>
              <w:jc w:val="center"/>
              <w:rPr>
                <w:rFonts w:asciiTheme="minorHAnsi" w:hAnsiTheme="minorHAnsi" w:cstheme="minorHAnsi"/>
                <w:color w:val="FFFFFF" w:themeColor="background1"/>
                <w:sz w:val="18"/>
                <w:szCs w:val="18"/>
              </w:rPr>
            </w:pPr>
            <w:r w:rsidRPr="00024115">
              <w:rPr>
                <w:rFonts w:asciiTheme="minorHAnsi" w:hAnsiTheme="minorHAnsi" w:cstheme="minorHAnsi"/>
                <w:color w:val="FFFFFF" w:themeColor="background1"/>
                <w:sz w:val="18"/>
                <w:szCs w:val="18"/>
              </w:rPr>
              <w:t>N°</w:t>
            </w:r>
          </w:p>
        </w:tc>
        <w:tc>
          <w:tcPr>
            <w:tcW w:w="409" w:type="pct"/>
            <w:shd w:val="clear" w:color="auto" w:fill="1F4E79" w:themeFill="accent1" w:themeFillShade="80"/>
            <w:vAlign w:val="center"/>
            <w:hideMark/>
          </w:tcPr>
          <w:p w14:paraId="593EB9A1" w14:textId="77777777" w:rsidR="008360EE" w:rsidRPr="00024115" w:rsidRDefault="008360EE" w:rsidP="00024115">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024115">
              <w:rPr>
                <w:rFonts w:asciiTheme="minorHAnsi" w:hAnsiTheme="minorHAnsi" w:cstheme="minorHAnsi"/>
                <w:color w:val="FFFFFF" w:themeColor="background1"/>
                <w:sz w:val="18"/>
                <w:szCs w:val="18"/>
              </w:rPr>
              <w:t>Porteur</w:t>
            </w:r>
          </w:p>
        </w:tc>
        <w:tc>
          <w:tcPr>
            <w:tcW w:w="799" w:type="pct"/>
            <w:shd w:val="clear" w:color="auto" w:fill="1F4E79" w:themeFill="accent1" w:themeFillShade="80"/>
            <w:vAlign w:val="center"/>
            <w:hideMark/>
          </w:tcPr>
          <w:p w14:paraId="5664485A" w14:textId="77777777" w:rsidR="008360EE" w:rsidRPr="00024115" w:rsidRDefault="008360EE" w:rsidP="00024115">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024115">
              <w:rPr>
                <w:rFonts w:asciiTheme="minorHAnsi" w:hAnsiTheme="minorHAnsi" w:cstheme="minorHAnsi"/>
                <w:color w:val="FFFFFF" w:themeColor="background1"/>
                <w:sz w:val="18"/>
                <w:szCs w:val="18"/>
              </w:rPr>
              <w:t>Intitulé de la mesure</w:t>
            </w:r>
          </w:p>
        </w:tc>
        <w:tc>
          <w:tcPr>
            <w:tcW w:w="1330" w:type="pct"/>
            <w:shd w:val="clear" w:color="auto" w:fill="1F4E79" w:themeFill="accent1" w:themeFillShade="80"/>
            <w:vAlign w:val="center"/>
            <w:hideMark/>
          </w:tcPr>
          <w:p w14:paraId="60388FFE" w14:textId="77777777" w:rsidR="008360EE" w:rsidRPr="00024115" w:rsidRDefault="008360EE" w:rsidP="00024115">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024115">
              <w:rPr>
                <w:rFonts w:asciiTheme="minorHAnsi" w:hAnsiTheme="minorHAnsi" w:cstheme="minorHAnsi"/>
                <w:color w:val="FFFFFF" w:themeColor="background1"/>
                <w:sz w:val="18"/>
                <w:szCs w:val="18"/>
              </w:rPr>
              <w:t>Description simplifiée</w:t>
            </w:r>
          </w:p>
        </w:tc>
        <w:tc>
          <w:tcPr>
            <w:tcW w:w="492" w:type="pct"/>
            <w:shd w:val="clear" w:color="auto" w:fill="1F4E79" w:themeFill="accent1" w:themeFillShade="80"/>
            <w:vAlign w:val="center"/>
            <w:hideMark/>
          </w:tcPr>
          <w:p w14:paraId="74F8E14E" w14:textId="7726F93E" w:rsidR="008360EE" w:rsidRPr="00024115" w:rsidRDefault="008360EE" w:rsidP="00024115">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024115">
              <w:rPr>
                <w:rFonts w:asciiTheme="minorHAnsi" w:hAnsiTheme="minorHAnsi" w:cstheme="minorHAnsi"/>
                <w:color w:val="FFFFFF" w:themeColor="background1"/>
                <w:sz w:val="18"/>
                <w:szCs w:val="18"/>
              </w:rPr>
              <w:t>Coût en USD</w:t>
            </w:r>
          </w:p>
        </w:tc>
        <w:tc>
          <w:tcPr>
            <w:tcW w:w="595" w:type="pct"/>
            <w:shd w:val="clear" w:color="auto" w:fill="1F4E79" w:themeFill="accent1" w:themeFillShade="80"/>
            <w:vAlign w:val="center"/>
            <w:hideMark/>
          </w:tcPr>
          <w:p w14:paraId="0AE86BF8" w14:textId="77777777" w:rsidR="008360EE" w:rsidRPr="00024115" w:rsidRDefault="008360EE" w:rsidP="00024115">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024115">
              <w:rPr>
                <w:rFonts w:asciiTheme="minorHAnsi" w:hAnsiTheme="minorHAnsi" w:cstheme="minorHAnsi"/>
                <w:color w:val="FFFFFF" w:themeColor="background1"/>
                <w:sz w:val="18"/>
                <w:szCs w:val="18"/>
              </w:rPr>
              <w:t>Période de mise en œuvre</w:t>
            </w:r>
          </w:p>
        </w:tc>
        <w:tc>
          <w:tcPr>
            <w:tcW w:w="476" w:type="pct"/>
            <w:shd w:val="clear" w:color="auto" w:fill="1F4E79" w:themeFill="accent1" w:themeFillShade="80"/>
            <w:vAlign w:val="center"/>
            <w:hideMark/>
          </w:tcPr>
          <w:p w14:paraId="5F668043" w14:textId="77777777" w:rsidR="008360EE" w:rsidRPr="00024115" w:rsidRDefault="008360EE" w:rsidP="00024115">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024115">
              <w:rPr>
                <w:rFonts w:asciiTheme="minorHAnsi" w:hAnsiTheme="minorHAnsi" w:cstheme="minorHAnsi"/>
                <w:color w:val="FFFFFF" w:themeColor="background1"/>
                <w:sz w:val="18"/>
                <w:szCs w:val="18"/>
              </w:rPr>
              <w:t>Statut</w:t>
            </w:r>
          </w:p>
        </w:tc>
        <w:tc>
          <w:tcPr>
            <w:tcW w:w="715" w:type="pct"/>
            <w:shd w:val="clear" w:color="auto" w:fill="1F4E79" w:themeFill="accent1" w:themeFillShade="80"/>
            <w:vAlign w:val="center"/>
            <w:hideMark/>
          </w:tcPr>
          <w:p w14:paraId="7A536ED1" w14:textId="77777777" w:rsidR="008360EE" w:rsidRPr="00024115" w:rsidRDefault="008360EE" w:rsidP="00024115">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024115">
              <w:rPr>
                <w:rFonts w:asciiTheme="minorHAnsi" w:hAnsiTheme="minorHAnsi" w:cstheme="minorHAnsi"/>
                <w:color w:val="FFFFFF" w:themeColor="background1"/>
                <w:sz w:val="18"/>
                <w:szCs w:val="18"/>
              </w:rPr>
              <w:t>Conditionnalité</w:t>
            </w:r>
          </w:p>
        </w:tc>
      </w:tr>
      <w:tr w:rsidR="00111646" w:rsidRPr="00024115" w14:paraId="3520B908" w14:textId="77777777" w:rsidTr="00A736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 w:type="pct"/>
            <w:vAlign w:val="center"/>
            <w:hideMark/>
          </w:tcPr>
          <w:p w14:paraId="41A4E777" w14:textId="77777777" w:rsidR="008360EE" w:rsidRPr="00024115" w:rsidRDefault="008360EE" w:rsidP="00015932">
            <w:pPr>
              <w:spacing w:line="259" w:lineRule="auto"/>
              <w:rPr>
                <w:rFonts w:asciiTheme="minorHAnsi" w:hAnsiTheme="minorHAnsi" w:cstheme="minorHAnsi"/>
                <w:sz w:val="18"/>
                <w:szCs w:val="18"/>
              </w:rPr>
            </w:pPr>
            <w:r w:rsidRPr="00024115">
              <w:rPr>
                <w:rFonts w:asciiTheme="minorHAnsi" w:hAnsiTheme="minorHAnsi" w:cstheme="minorHAnsi"/>
                <w:sz w:val="18"/>
                <w:szCs w:val="18"/>
              </w:rPr>
              <w:t>1</w:t>
            </w:r>
          </w:p>
        </w:tc>
        <w:tc>
          <w:tcPr>
            <w:tcW w:w="409" w:type="pct"/>
            <w:hideMark/>
          </w:tcPr>
          <w:p w14:paraId="6E509D5D" w14:textId="77777777" w:rsidR="008360EE" w:rsidRPr="00024115" w:rsidRDefault="008360EE" w:rsidP="00AE0D37">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DGEF</w:t>
            </w:r>
          </w:p>
        </w:tc>
        <w:tc>
          <w:tcPr>
            <w:tcW w:w="799" w:type="pct"/>
            <w:hideMark/>
          </w:tcPr>
          <w:p w14:paraId="25B1F086" w14:textId="77777777" w:rsidR="008360EE" w:rsidRPr="00024115" w:rsidRDefault="008360EE" w:rsidP="00AE0D37">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b/>
                <w:sz w:val="18"/>
                <w:szCs w:val="18"/>
              </w:rPr>
              <w:t>Programme d’amélioration de la couverture végétale et des écosystèmes agroforestiers</w:t>
            </w:r>
          </w:p>
        </w:tc>
        <w:tc>
          <w:tcPr>
            <w:tcW w:w="1330" w:type="pct"/>
            <w:hideMark/>
          </w:tcPr>
          <w:p w14:paraId="36650259" w14:textId="64CF3BAB" w:rsidR="008360EE" w:rsidRPr="00024115" w:rsidRDefault="008360EE" w:rsidP="00AE0D37">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 xml:space="preserve">Le programme </w:t>
            </w:r>
            <w:r w:rsidR="00301B2F" w:rsidRPr="00301B2F">
              <w:rPr>
                <w:rFonts w:asciiTheme="minorHAnsi" w:hAnsiTheme="minorHAnsi" w:cstheme="minorHAnsi"/>
                <w:sz w:val="18"/>
                <w:szCs w:val="18"/>
              </w:rPr>
              <w:t>vise</w:t>
            </w:r>
            <w:r w:rsidR="00EF3FE8" w:rsidRPr="00024115">
              <w:rPr>
                <w:rFonts w:asciiTheme="minorHAnsi" w:hAnsiTheme="minorHAnsi" w:cstheme="minorHAnsi"/>
                <w:sz w:val="18"/>
                <w:szCs w:val="18"/>
              </w:rPr>
              <w:t xml:space="preserve"> </w:t>
            </w:r>
            <w:r w:rsidRPr="00024115">
              <w:rPr>
                <w:rFonts w:asciiTheme="minorHAnsi" w:hAnsiTheme="minorHAnsi" w:cstheme="minorHAnsi"/>
                <w:sz w:val="18"/>
                <w:szCs w:val="18"/>
              </w:rPr>
              <w:t xml:space="preserve">la restauration </w:t>
            </w:r>
            <w:r w:rsidR="00301B2F" w:rsidRPr="00301B2F">
              <w:rPr>
                <w:rFonts w:asciiTheme="minorHAnsi" w:hAnsiTheme="minorHAnsi" w:cstheme="minorHAnsi"/>
                <w:sz w:val="18"/>
                <w:szCs w:val="18"/>
              </w:rPr>
              <w:t xml:space="preserve">des </w:t>
            </w:r>
            <w:r w:rsidRPr="00024115">
              <w:rPr>
                <w:rFonts w:asciiTheme="minorHAnsi" w:hAnsiTheme="minorHAnsi" w:cstheme="minorHAnsi"/>
                <w:sz w:val="18"/>
                <w:szCs w:val="18"/>
              </w:rPr>
              <w:t>terres dégradées</w:t>
            </w:r>
            <w:r w:rsidR="00EF3FE8" w:rsidRPr="00024115">
              <w:rPr>
                <w:rFonts w:asciiTheme="minorHAnsi" w:hAnsiTheme="minorHAnsi" w:cstheme="minorHAnsi"/>
                <w:sz w:val="18"/>
                <w:szCs w:val="18"/>
              </w:rPr>
              <w:t xml:space="preserve">, </w:t>
            </w:r>
            <w:r w:rsidR="00301B2F" w:rsidRPr="00301B2F">
              <w:rPr>
                <w:rFonts w:asciiTheme="minorHAnsi" w:hAnsiTheme="minorHAnsi" w:cstheme="minorHAnsi"/>
                <w:sz w:val="18"/>
                <w:szCs w:val="18"/>
              </w:rPr>
              <w:t>le reboisement sécurisé et l’amélioration de la couverture forestière afin de renforcer les écosystèmes forestiers et agroforestiers et d’accroître la séquestration du carbone. Dans la fiche brute, l’objectif est présenté de manière globale à hauteur de 5 000 000 ha. Dans le tableau restructuré, cet objectif est ventilé en sous-composantes opérationnelles retenues pour la programmation CDN 3.0, notamment</w:t>
            </w:r>
            <w:r w:rsidRPr="00024115">
              <w:rPr>
                <w:rFonts w:asciiTheme="minorHAnsi" w:hAnsiTheme="minorHAnsi" w:cstheme="minorHAnsi"/>
                <w:sz w:val="18"/>
                <w:szCs w:val="18"/>
              </w:rPr>
              <w:t xml:space="preserve"> 2 </w:t>
            </w:r>
            <w:r w:rsidR="009B1881">
              <w:rPr>
                <w:rFonts w:asciiTheme="minorHAnsi" w:hAnsiTheme="minorHAnsi" w:cstheme="minorHAnsi"/>
                <w:sz w:val="18"/>
                <w:szCs w:val="18"/>
              </w:rPr>
              <w:t>600</w:t>
            </w:r>
            <w:r w:rsidRPr="00024115">
              <w:rPr>
                <w:rFonts w:asciiTheme="minorHAnsi" w:hAnsiTheme="minorHAnsi" w:cstheme="minorHAnsi"/>
                <w:sz w:val="18"/>
                <w:szCs w:val="18"/>
              </w:rPr>
              <w:t xml:space="preserve"> 000 ha de terres restaurées, 600 000 ha de reboisements sécurisés</w:t>
            </w:r>
            <w:r w:rsidR="00EF3FE8" w:rsidRPr="00024115">
              <w:rPr>
                <w:rFonts w:asciiTheme="minorHAnsi" w:hAnsiTheme="minorHAnsi" w:cstheme="minorHAnsi"/>
                <w:sz w:val="18"/>
                <w:szCs w:val="18"/>
              </w:rPr>
              <w:t xml:space="preserve"> et</w:t>
            </w:r>
            <w:r w:rsidRPr="00024115">
              <w:rPr>
                <w:rFonts w:asciiTheme="minorHAnsi" w:hAnsiTheme="minorHAnsi" w:cstheme="minorHAnsi"/>
                <w:sz w:val="18"/>
                <w:szCs w:val="18"/>
              </w:rPr>
              <w:t xml:space="preserve"> </w:t>
            </w:r>
            <w:r w:rsidR="000D1051">
              <w:rPr>
                <w:rFonts w:asciiTheme="minorHAnsi" w:hAnsiTheme="minorHAnsi" w:cstheme="minorHAnsi"/>
                <w:sz w:val="18"/>
                <w:szCs w:val="18"/>
              </w:rPr>
              <w:t>5</w:t>
            </w:r>
            <w:r w:rsidRPr="00024115">
              <w:rPr>
                <w:rFonts w:asciiTheme="minorHAnsi" w:hAnsiTheme="minorHAnsi" w:cstheme="minorHAnsi"/>
                <w:sz w:val="18"/>
                <w:szCs w:val="18"/>
              </w:rPr>
              <w:t>00 000 ha de couverture forestière améliorée.</w:t>
            </w:r>
          </w:p>
        </w:tc>
        <w:tc>
          <w:tcPr>
            <w:tcW w:w="492" w:type="pct"/>
            <w:vAlign w:val="center"/>
            <w:hideMark/>
          </w:tcPr>
          <w:p w14:paraId="5C17D69D" w14:textId="38CAAF25" w:rsidR="008360EE" w:rsidRPr="00024115" w:rsidRDefault="008360EE" w:rsidP="0001593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 xml:space="preserve">40 000 000 000 </w:t>
            </w:r>
            <w:r w:rsidR="00C66054">
              <w:rPr>
                <w:rFonts w:asciiTheme="minorHAnsi" w:hAnsiTheme="minorHAnsi" w:cstheme="minorHAnsi"/>
                <w:sz w:val="18"/>
                <w:szCs w:val="18"/>
              </w:rPr>
              <w:t>FCFA</w:t>
            </w:r>
          </w:p>
        </w:tc>
        <w:tc>
          <w:tcPr>
            <w:tcW w:w="595" w:type="pct"/>
            <w:vAlign w:val="center"/>
            <w:hideMark/>
          </w:tcPr>
          <w:p w14:paraId="19912D6A" w14:textId="611C79E0" w:rsidR="008360EE" w:rsidRPr="00024115" w:rsidRDefault="008360EE" w:rsidP="0001593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 xml:space="preserve">Janvier 2027 </w:t>
            </w:r>
            <w:r w:rsidR="00AE0D37" w:rsidRPr="00024115">
              <w:rPr>
                <w:rFonts w:asciiTheme="minorHAnsi" w:hAnsiTheme="minorHAnsi" w:cstheme="minorHAnsi"/>
                <w:sz w:val="18"/>
                <w:szCs w:val="18"/>
              </w:rPr>
              <w:t>-</w:t>
            </w:r>
            <w:r w:rsidRPr="00024115">
              <w:rPr>
                <w:rFonts w:asciiTheme="minorHAnsi" w:hAnsiTheme="minorHAnsi" w:cstheme="minorHAnsi"/>
                <w:sz w:val="18"/>
                <w:szCs w:val="18"/>
              </w:rPr>
              <w:t xml:space="preserve"> décembre 2030</w:t>
            </w:r>
          </w:p>
        </w:tc>
        <w:tc>
          <w:tcPr>
            <w:tcW w:w="476" w:type="pct"/>
            <w:vAlign w:val="center"/>
            <w:hideMark/>
          </w:tcPr>
          <w:p w14:paraId="070D698B" w14:textId="77777777" w:rsidR="008360EE" w:rsidRPr="00024115" w:rsidRDefault="008360EE" w:rsidP="0001593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Phase étude</w:t>
            </w:r>
          </w:p>
        </w:tc>
        <w:tc>
          <w:tcPr>
            <w:tcW w:w="715" w:type="pct"/>
            <w:vAlign w:val="center"/>
            <w:hideMark/>
          </w:tcPr>
          <w:p w14:paraId="28969D63" w14:textId="77777777" w:rsidR="008360EE" w:rsidRPr="00024115" w:rsidRDefault="008360EE" w:rsidP="0001593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Conditionnelle</w:t>
            </w:r>
          </w:p>
        </w:tc>
      </w:tr>
      <w:tr w:rsidR="008360EE" w:rsidRPr="00024115" w14:paraId="3931323C" w14:textId="77777777" w:rsidTr="00A736D4">
        <w:tc>
          <w:tcPr>
            <w:cnfStyle w:val="001000000000" w:firstRow="0" w:lastRow="0" w:firstColumn="1" w:lastColumn="0" w:oddVBand="0" w:evenVBand="0" w:oddHBand="0" w:evenHBand="0" w:firstRowFirstColumn="0" w:firstRowLastColumn="0" w:lastRowFirstColumn="0" w:lastRowLastColumn="0"/>
            <w:tcW w:w="184" w:type="pct"/>
            <w:vAlign w:val="center"/>
            <w:hideMark/>
          </w:tcPr>
          <w:p w14:paraId="4367281F" w14:textId="77777777" w:rsidR="008360EE" w:rsidRPr="00024115" w:rsidRDefault="008360EE" w:rsidP="00015932">
            <w:pPr>
              <w:spacing w:line="259" w:lineRule="auto"/>
              <w:rPr>
                <w:rFonts w:asciiTheme="minorHAnsi" w:hAnsiTheme="minorHAnsi" w:cstheme="minorHAnsi"/>
                <w:sz w:val="18"/>
                <w:szCs w:val="18"/>
              </w:rPr>
            </w:pPr>
            <w:r w:rsidRPr="00024115">
              <w:rPr>
                <w:rFonts w:asciiTheme="minorHAnsi" w:hAnsiTheme="minorHAnsi" w:cstheme="minorHAnsi"/>
                <w:sz w:val="18"/>
                <w:szCs w:val="18"/>
              </w:rPr>
              <w:t>2</w:t>
            </w:r>
          </w:p>
        </w:tc>
        <w:tc>
          <w:tcPr>
            <w:tcW w:w="409" w:type="pct"/>
            <w:hideMark/>
          </w:tcPr>
          <w:p w14:paraId="677AFA49" w14:textId="77777777" w:rsidR="008360EE" w:rsidRPr="00024115" w:rsidRDefault="008360EE" w:rsidP="00AE0D37">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DGEF</w:t>
            </w:r>
          </w:p>
        </w:tc>
        <w:tc>
          <w:tcPr>
            <w:tcW w:w="799" w:type="pct"/>
            <w:hideMark/>
          </w:tcPr>
          <w:p w14:paraId="73E0B83B" w14:textId="77777777" w:rsidR="008360EE" w:rsidRPr="00024115" w:rsidRDefault="008360EE" w:rsidP="00AE0D37">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b/>
                <w:sz w:val="18"/>
                <w:szCs w:val="18"/>
              </w:rPr>
              <w:t>Programme de développement et de valorisation des produits forestiers non ligneux et résilience des communautés</w:t>
            </w:r>
          </w:p>
        </w:tc>
        <w:tc>
          <w:tcPr>
            <w:tcW w:w="1330" w:type="pct"/>
            <w:hideMark/>
          </w:tcPr>
          <w:p w14:paraId="0F0896FD" w14:textId="669B8633" w:rsidR="008360EE" w:rsidRPr="00024115" w:rsidRDefault="008360EE" w:rsidP="00AE0D37">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 xml:space="preserve">Le programme vise la valorisation des </w:t>
            </w:r>
            <w:r w:rsidR="00F90881" w:rsidRPr="00F90881">
              <w:rPr>
                <w:rFonts w:asciiTheme="minorHAnsi" w:hAnsiTheme="minorHAnsi" w:cstheme="minorHAnsi"/>
                <w:sz w:val="18"/>
                <w:szCs w:val="18"/>
              </w:rPr>
              <w:t>produits forestiers non ligneux</w:t>
            </w:r>
            <w:r w:rsidRPr="00024115">
              <w:rPr>
                <w:rFonts w:asciiTheme="minorHAnsi" w:hAnsiTheme="minorHAnsi" w:cstheme="minorHAnsi"/>
                <w:sz w:val="18"/>
                <w:szCs w:val="18"/>
              </w:rPr>
              <w:t>, le développement de plantations et d’aménagements agroforestiers</w:t>
            </w:r>
            <w:r w:rsidR="00F90881" w:rsidRPr="00F90881">
              <w:rPr>
                <w:rFonts w:asciiTheme="minorHAnsi" w:hAnsiTheme="minorHAnsi" w:cstheme="minorHAnsi"/>
                <w:sz w:val="18"/>
                <w:szCs w:val="18"/>
              </w:rPr>
              <w:t xml:space="preserve"> et</w:t>
            </w:r>
            <w:r w:rsidRPr="00024115">
              <w:rPr>
                <w:rFonts w:asciiTheme="minorHAnsi" w:hAnsiTheme="minorHAnsi" w:cstheme="minorHAnsi"/>
                <w:sz w:val="18"/>
                <w:szCs w:val="18"/>
              </w:rPr>
              <w:t xml:space="preserve"> le renforcement de la résilience des communautés. </w:t>
            </w:r>
            <w:r w:rsidR="00F90881" w:rsidRPr="00F90881">
              <w:rPr>
                <w:rFonts w:asciiTheme="minorHAnsi" w:hAnsiTheme="minorHAnsi" w:cstheme="minorHAnsi"/>
                <w:sz w:val="18"/>
                <w:szCs w:val="18"/>
              </w:rPr>
              <w:t>L’objectif de</w:t>
            </w:r>
            <w:r w:rsidRPr="00024115">
              <w:rPr>
                <w:rFonts w:asciiTheme="minorHAnsi" w:hAnsiTheme="minorHAnsi" w:cstheme="minorHAnsi"/>
                <w:sz w:val="18"/>
                <w:szCs w:val="18"/>
              </w:rPr>
              <w:t xml:space="preserve"> 2 000 000 ha de plantations et d’aménagements agroforestiers</w:t>
            </w:r>
            <w:r w:rsidR="00F90881" w:rsidRPr="00F90881">
              <w:rPr>
                <w:rFonts w:asciiTheme="minorHAnsi" w:hAnsiTheme="minorHAnsi" w:cstheme="minorHAnsi"/>
                <w:sz w:val="18"/>
                <w:szCs w:val="18"/>
              </w:rPr>
              <w:t xml:space="preserve"> est conservé comme objectif surfacique principal de la mesure. Les autres activités prévues, notamment les</w:t>
            </w:r>
            <w:r w:rsidRPr="00024115">
              <w:rPr>
                <w:rFonts w:asciiTheme="minorHAnsi" w:hAnsiTheme="minorHAnsi" w:cstheme="minorHAnsi"/>
                <w:sz w:val="18"/>
                <w:szCs w:val="18"/>
              </w:rPr>
              <w:t xml:space="preserve"> parcs à PFNL, </w:t>
            </w:r>
            <w:r w:rsidR="00F90881" w:rsidRPr="00F90881">
              <w:rPr>
                <w:rFonts w:asciiTheme="minorHAnsi" w:hAnsiTheme="minorHAnsi" w:cstheme="minorHAnsi"/>
                <w:sz w:val="18"/>
                <w:szCs w:val="18"/>
              </w:rPr>
              <w:t>les</w:t>
            </w:r>
            <w:r w:rsidRPr="00024115">
              <w:rPr>
                <w:rFonts w:asciiTheme="minorHAnsi" w:hAnsiTheme="minorHAnsi" w:cstheme="minorHAnsi"/>
                <w:sz w:val="18"/>
                <w:szCs w:val="18"/>
              </w:rPr>
              <w:t xml:space="preserve"> fermes communautaires, l’appui </w:t>
            </w:r>
            <w:r w:rsidR="00F90881" w:rsidRPr="00F90881">
              <w:rPr>
                <w:rFonts w:asciiTheme="minorHAnsi" w:hAnsiTheme="minorHAnsi" w:cstheme="minorHAnsi"/>
                <w:sz w:val="18"/>
                <w:szCs w:val="18"/>
              </w:rPr>
              <w:t>aux</w:t>
            </w:r>
            <w:r w:rsidRPr="00024115">
              <w:rPr>
                <w:rFonts w:asciiTheme="minorHAnsi" w:hAnsiTheme="minorHAnsi" w:cstheme="minorHAnsi"/>
                <w:sz w:val="18"/>
                <w:szCs w:val="18"/>
              </w:rPr>
              <w:t xml:space="preserve"> OCB et PME, </w:t>
            </w:r>
            <w:r w:rsidR="00F90881" w:rsidRPr="00F90881">
              <w:rPr>
                <w:rFonts w:asciiTheme="minorHAnsi" w:hAnsiTheme="minorHAnsi" w:cstheme="minorHAnsi"/>
                <w:sz w:val="18"/>
                <w:szCs w:val="18"/>
              </w:rPr>
              <w:t>les</w:t>
            </w:r>
            <w:r w:rsidRPr="00024115">
              <w:rPr>
                <w:rFonts w:asciiTheme="minorHAnsi" w:hAnsiTheme="minorHAnsi" w:cstheme="minorHAnsi"/>
                <w:sz w:val="18"/>
                <w:szCs w:val="18"/>
              </w:rPr>
              <w:t xml:space="preserve"> comptoirs de </w:t>
            </w:r>
            <w:r w:rsidR="00F90881" w:rsidRPr="00F90881">
              <w:rPr>
                <w:rFonts w:asciiTheme="minorHAnsi" w:hAnsiTheme="minorHAnsi" w:cstheme="minorHAnsi"/>
                <w:sz w:val="18"/>
                <w:szCs w:val="18"/>
              </w:rPr>
              <w:t xml:space="preserve">commercialisation et les </w:t>
            </w:r>
            <w:r w:rsidRPr="00024115">
              <w:rPr>
                <w:rFonts w:asciiTheme="minorHAnsi" w:hAnsiTheme="minorHAnsi" w:cstheme="minorHAnsi"/>
                <w:sz w:val="18"/>
                <w:szCs w:val="18"/>
              </w:rPr>
              <w:t>pistes rurales</w:t>
            </w:r>
            <w:r w:rsidR="00F90881" w:rsidRPr="00F90881">
              <w:rPr>
                <w:rFonts w:asciiTheme="minorHAnsi" w:hAnsiTheme="minorHAnsi" w:cstheme="minorHAnsi"/>
                <w:sz w:val="18"/>
                <w:szCs w:val="18"/>
              </w:rPr>
              <w:t>, sont considérées comme des actions complémentaires de structuration et de valorisation</w:t>
            </w:r>
            <w:r w:rsidRPr="00024115">
              <w:rPr>
                <w:rFonts w:asciiTheme="minorHAnsi" w:hAnsiTheme="minorHAnsi" w:cstheme="minorHAnsi"/>
                <w:sz w:val="18"/>
                <w:szCs w:val="18"/>
              </w:rPr>
              <w:t>.</w:t>
            </w:r>
          </w:p>
        </w:tc>
        <w:tc>
          <w:tcPr>
            <w:tcW w:w="492" w:type="pct"/>
            <w:vAlign w:val="center"/>
            <w:hideMark/>
          </w:tcPr>
          <w:p w14:paraId="57951C95" w14:textId="006EE16C" w:rsidR="008360EE" w:rsidRPr="00024115" w:rsidRDefault="008360EE" w:rsidP="0001593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 xml:space="preserve">300 000 000 </w:t>
            </w:r>
            <w:r w:rsidR="00C66054">
              <w:rPr>
                <w:rFonts w:asciiTheme="minorHAnsi" w:hAnsiTheme="minorHAnsi" w:cstheme="minorHAnsi"/>
                <w:sz w:val="18"/>
                <w:szCs w:val="18"/>
              </w:rPr>
              <w:t>FCFA</w:t>
            </w:r>
          </w:p>
        </w:tc>
        <w:tc>
          <w:tcPr>
            <w:tcW w:w="595" w:type="pct"/>
            <w:vAlign w:val="center"/>
            <w:hideMark/>
          </w:tcPr>
          <w:p w14:paraId="0E767492" w14:textId="37B027E0" w:rsidR="008360EE" w:rsidRPr="00024115" w:rsidRDefault="008360EE" w:rsidP="0001593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 xml:space="preserve">Janvier 2027 </w:t>
            </w:r>
            <w:r w:rsidR="000E6FB3" w:rsidRPr="00024115">
              <w:rPr>
                <w:rFonts w:asciiTheme="minorHAnsi" w:hAnsiTheme="minorHAnsi" w:cstheme="minorHAnsi"/>
                <w:sz w:val="18"/>
                <w:szCs w:val="18"/>
              </w:rPr>
              <w:t>-</w:t>
            </w:r>
            <w:r w:rsidRPr="00024115">
              <w:rPr>
                <w:rFonts w:asciiTheme="minorHAnsi" w:hAnsiTheme="minorHAnsi" w:cstheme="minorHAnsi"/>
                <w:sz w:val="18"/>
                <w:szCs w:val="18"/>
              </w:rPr>
              <w:t xml:space="preserve"> décembre 2030</w:t>
            </w:r>
          </w:p>
        </w:tc>
        <w:tc>
          <w:tcPr>
            <w:tcW w:w="476" w:type="pct"/>
            <w:vAlign w:val="center"/>
            <w:hideMark/>
          </w:tcPr>
          <w:p w14:paraId="74DA1FC6" w14:textId="77777777" w:rsidR="008360EE" w:rsidRPr="00024115" w:rsidRDefault="008360EE" w:rsidP="0001593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Phase étude</w:t>
            </w:r>
          </w:p>
        </w:tc>
        <w:tc>
          <w:tcPr>
            <w:tcW w:w="715" w:type="pct"/>
            <w:vAlign w:val="center"/>
            <w:hideMark/>
          </w:tcPr>
          <w:p w14:paraId="6F01F56C" w14:textId="77777777" w:rsidR="008360EE" w:rsidRPr="00024115" w:rsidRDefault="008360EE" w:rsidP="0001593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Conditionnelle</w:t>
            </w:r>
          </w:p>
        </w:tc>
      </w:tr>
      <w:tr w:rsidR="00AE0D37" w:rsidRPr="00024115" w14:paraId="6C5B8749" w14:textId="77777777" w:rsidTr="00A736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 w:type="pct"/>
            <w:vAlign w:val="center"/>
            <w:hideMark/>
          </w:tcPr>
          <w:p w14:paraId="044D6C5E" w14:textId="64087164" w:rsidR="00AE0D37" w:rsidRPr="00024115" w:rsidRDefault="00F97871" w:rsidP="00015932">
            <w:pPr>
              <w:spacing w:line="259" w:lineRule="auto"/>
              <w:rPr>
                <w:rFonts w:asciiTheme="minorHAnsi" w:hAnsiTheme="minorHAnsi" w:cstheme="minorHAnsi"/>
                <w:sz w:val="18"/>
                <w:szCs w:val="18"/>
              </w:rPr>
            </w:pPr>
            <w:r w:rsidRPr="00024115">
              <w:rPr>
                <w:rFonts w:asciiTheme="minorHAnsi" w:hAnsiTheme="minorHAnsi" w:cstheme="minorHAnsi"/>
                <w:sz w:val="18"/>
                <w:szCs w:val="18"/>
              </w:rPr>
              <w:t>3</w:t>
            </w:r>
          </w:p>
        </w:tc>
        <w:tc>
          <w:tcPr>
            <w:tcW w:w="409" w:type="pct"/>
            <w:hideMark/>
          </w:tcPr>
          <w:p w14:paraId="2942F464" w14:textId="77777777" w:rsidR="00AE0D37" w:rsidRPr="00024115" w:rsidRDefault="00AE0D37" w:rsidP="00AE0D37">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DGEF</w:t>
            </w:r>
          </w:p>
        </w:tc>
        <w:tc>
          <w:tcPr>
            <w:tcW w:w="799" w:type="pct"/>
            <w:hideMark/>
          </w:tcPr>
          <w:p w14:paraId="08A67A8C" w14:textId="3C755109" w:rsidR="00AE0D37" w:rsidRPr="00024115" w:rsidRDefault="009F3559" w:rsidP="00AE0D37">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highlight w:val="yellow"/>
              </w:rPr>
            </w:pPr>
            <w:r w:rsidRPr="00024115">
              <w:rPr>
                <w:rFonts w:asciiTheme="minorHAnsi" w:hAnsiTheme="minorHAnsi" w:cstheme="minorHAnsi"/>
                <w:b/>
                <w:sz w:val="18"/>
                <w:szCs w:val="18"/>
              </w:rPr>
              <w:t>Promotion, développement</w:t>
            </w:r>
            <w:r w:rsidR="00AE0D37" w:rsidRPr="00024115">
              <w:rPr>
                <w:rFonts w:asciiTheme="minorHAnsi" w:hAnsiTheme="minorHAnsi" w:cstheme="minorHAnsi"/>
                <w:b/>
                <w:sz w:val="18"/>
                <w:szCs w:val="18"/>
              </w:rPr>
              <w:t xml:space="preserve"> et valorisation </w:t>
            </w:r>
            <w:r w:rsidRPr="00024115">
              <w:rPr>
                <w:rFonts w:asciiTheme="minorHAnsi" w:hAnsiTheme="minorHAnsi" w:cstheme="minorHAnsi"/>
                <w:b/>
                <w:sz w:val="18"/>
                <w:szCs w:val="18"/>
              </w:rPr>
              <w:t xml:space="preserve">durable </w:t>
            </w:r>
            <w:r w:rsidR="00AE0D37" w:rsidRPr="00024115">
              <w:rPr>
                <w:rFonts w:asciiTheme="minorHAnsi" w:hAnsiTheme="minorHAnsi" w:cstheme="minorHAnsi"/>
                <w:b/>
                <w:sz w:val="18"/>
                <w:szCs w:val="18"/>
              </w:rPr>
              <w:t xml:space="preserve">de </w:t>
            </w:r>
            <w:r w:rsidR="00AE0D37" w:rsidRPr="00024115">
              <w:rPr>
                <w:rFonts w:asciiTheme="minorHAnsi" w:hAnsiTheme="minorHAnsi" w:cstheme="minorHAnsi"/>
                <w:b/>
                <w:sz w:val="18"/>
                <w:szCs w:val="18"/>
              </w:rPr>
              <w:lastRenderedPageBreak/>
              <w:t>la filière gomme arabique</w:t>
            </w:r>
          </w:p>
        </w:tc>
        <w:tc>
          <w:tcPr>
            <w:tcW w:w="1330" w:type="pct"/>
            <w:hideMark/>
          </w:tcPr>
          <w:p w14:paraId="75B7F4A5" w14:textId="0AFA395C" w:rsidR="00AE0D37" w:rsidRPr="00024115" w:rsidRDefault="00AE0D37" w:rsidP="00AE0D37">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lastRenderedPageBreak/>
              <w:t xml:space="preserve">Cette mesure </w:t>
            </w:r>
            <w:r w:rsidR="009D60F0" w:rsidRPr="00024115">
              <w:rPr>
                <w:rFonts w:asciiTheme="minorHAnsi" w:hAnsiTheme="minorHAnsi" w:cstheme="minorHAnsi"/>
                <w:sz w:val="18"/>
                <w:szCs w:val="18"/>
              </w:rPr>
              <w:t>regroupe</w:t>
            </w:r>
            <w:r w:rsidRPr="00024115">
              <w:rPr>
                <w:rFonts w:asciiTheme="minorHAnsi" w:hAnsiTheme="minorHAnsi" w:cstheme="minorHAnsi"/>
                <w:sz w:val="18"/>
                <w:szCs w:val="18"/>
              </w:rPr>
              <w:t xml:space="preserve"> le Programme de Développement de la Production de la Gomme Arabique et </w:t>
            </w:r>
            <w:r w:rsidR="009D60F0" w:rsidRPr="00024115">
              <w:rPr>
                <w:rFonts w:asciiTheme="minorHAnsi" w:hAnsiTheme="minorHAnsi" w:cstheme="minorHAnsi"/>
                <w:sz w:val="18"/>
                <w:szCs w:val="18"/>
              </w:rPr>
              <w:t>le</w:t>
            </w:r>
            <w:r w:rsidRPr="00024115">
              <w:rPr>
                <w:rFonts w:asciiTheme="minorHAnsi" w:hAnsiTheme="minorHAnsi" w:cstheme="minorHAnsi"/>
                <w:sz w:val="18"/>
                <w:szCs w:val="18"/>
              </w:rPr>
              <w:t xml:space="preserve"> PPVFGA</w:t>
            </w:r>
            <w:r w:rsidR="00F90881" w:rsidRPr="00F90881">
              <w:rPr>
                <w:rFonts w:asciiTheme="minorHAnsi" w:hAnsiTheme="minorHAnsi" w:cstheme="minorHAnsi"/>
                <w:sz w:val="18"/>
                <w:szCs w:val="18"/>
              </w:rPr>
              <w:t xml:space="preserve">, afin de présenter une intervention unique et </w:t>
            </w:r>
            <w:r w:rsidR="00F90881" w:rsidRPr="00F90881">
              <w:rPr>
                <w:rFonts w:asciiTheme="minorHAnsi" w:hAnsiTheme="minorHAnsi" w:cstheme="minorHAnsi"/>
                <w:sz w:val="18"/>
                <w:szCs w:val="18"/>
              </w:rPr>
              <w:lastRenderedPageBreak/>
              <w:t>cohérente sur la filière. Les superficies et activités retenues dans le tableau restructuré correspondent à une consolidation des objectifs des deux propositions : création de 200 pépinières, plantation de 2 000 000 ha de gommeraies, mise en place de 50 unités de transformation et de commercialisation et création de 100 pôles de développement communautaire. Cette consolidation permet de couvrir à la fois la production, la protection, la transformation, la traçabilité, la certification, le stockage et l’appui à la commercialisation de la gomme arabique.</w:t>
            </w:r>
            <w:r w:rsidR="00F90881">
              <w:rPr>
                <w:rFonts w:asciiTheme="minorHAnsi" w:hAnsiTheme="minorHAnsi" w:cstheme="minorHAnsi"/>
                <w:sz w:val="18"/>
                <w:szCs w:val="18"/>
              </w:rPr>
              <w:t xml:space="preserve"> </w:t>
            </w:r>
            <w:r w:rsidRPr="00024115">
              <w:rPr>
                <w:rFonts w:asciiTheme="minorHAnsi" w:hAnsiTheme="minorHAnsi" w:cstheme="minorHAnsi"/>
                <w:sz w:val="18"/>
                <w:szCs w:val="18"/>
              </w:rPr>
              <w:t xml:space="preserve">Elle prévoit 200 pépinières, </w:t>
            </w:r>
            <w:r w:rsidR="00D430D7">
              <w:rPr>
                <w:rFonts w:asciiTheme="minorHAnsi" w:hAnsiTheme="minorHAnsi" w:cstheme="minorHAnsi"/>
                <w:sz w:val="18"/>
                <w:szCs w:val="18"/>
              </w:rPr>
              <w:t>2</w:t>
            </w:r>
            <w:r w:rsidRPr="00024115">
              <w:rPr>
                <w:rFonts w:asciiTheme="minorHAnsi" w:hAnsiTheme="minorHAnsi" w:cstheme="minorHAnsi"/>
                <w:sz w:val="18"/>
                <w:szCs w:val="18"/>
              </w:rPr>
              <w:t xml:space="preserve"> 000 000 ha de gommeraies, 50 unités de transformation et de commercialisation et 100 pôles de développement communautaire.</w:t>
            </w:r>
          </w:p>
        </w:tc>
        <w:tc>
          <w:tcPr>
            <w:tcW w:w="492" w:type="pct"/>
            <w:vAlign w:val="center"/>
            <w:hideMark/>
          </w:tcPr>
          <w:p w14:paraId="2D314917" w14:textId="52AE0026" w:rsidR="00AE0D37" w:rsidRPr="00024115" w:rsidRDefault="00AE0D37" w:rsidP="0001593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highlight w:val="yellow"/>
              </w:rPr>
            </w:pPr>
            <w:r w:rsidRPr="00024115">
              <w:rPr>
                <w:rFonts w:asciiTheme="minorHAnsi" w:hAnsiTheme="minorHAnsi" w:cstheme="minorHAnsi"/>
                <w:sz w:val="18"/>
                <w:szCs w:val="18"/>
              </w:rPr>
              <w:lastRenderedPageBreak/>
              <w:t xml:space="preserve">2 </w:t>
            </w:r>
          </w:p>
        </w:tc>
        <w:tc>
          <w:tcPr>
            <w:tcW w:w="595" w:type="pct"/>
            <w:vAlign w:val="center"/>
            <w:hideMark/>
          </w:tcPr>
          <w:p w14:paraId="56CDC79A" w14:textId="778C0C3D" w:rsidR="00AE0D37" w:rsidRPr="00024115" w:rsidRDefault="00AE0D37" w:rsidP="0001593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 xml:space="preserve">Janvier 2027 </w:t>
            </w:r>
            <w:r w:rsidR="000E6FB3" w:rsidRPr="00024115">
              <w:rPr>
                <w:rFonts w:asciiTheme="minorHAnsi" w:hAnsiTheme="minorHAnsi" w:cstheme="minorHAnsi"/>
                <w:sz w:val="18"/>
                <w:szCs w:val="18"/>
              </w:rPr>
              <w:t>-</w:t>
            </w:r>
            <w:r w:rsidRPr="00024115">
              <w:rPr>
                <w:rFonts w:asciiTheme="minorHAnsi" w:hAnsiTheme="minorHAnsi" w:cstheme="minorHAnsi"/>
                <w:sz w:val="18"/>
                <w:szCs w:val="18"/>
              </w:rPr>
              <w:t xml:space="preserve"> décembre 2029, à harmoniser avec le PPVFGA</w:t>
            </w:r>
          </w:p>
        </w:tc>
        <w:tc>
          <w:tcPr>
            <w:tcW w:w="476" w:type="pct"/>
            <w:vAlign w:val="center"/>
            <w:hideMark/>
          </w:tcPr>
          <w:p w14:paraId="5BF8C520" w14:textId="132C6546" w:rsidR="00AE0D37" w:rsidRPr="00024115" w:rsidRDefault="009A7F2F" w:rsidP="0001593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En cours</w:t>
            </w:r>
          </w:p>
        </w:tc>
        <w:tc>
          <w:tcPr>
            <w:tcW w:w="715" w:type="pct"/>
            <w:vAlign w:val="center"/>
            <w:hideMark/>
          </w:tcPr>
          <w:p w14:paraId="71AF479F" w14:textId="77777777" w:rsidR="00AE0D37" w:rsidRPr="00024115" w:rsidRDefault="00AE0D37" w:rsidP="0001593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Conditionnelle</w:t>
            </w:r>
          </w:p>
        </w:tc>
      </w:tr>
      <w:tr w:rsidR="00111646" w:rsidRPr="00024115" w14:paraId="49477446" w14:textId="77777777" w:rsidTr="00A736D4">
        <w:tc>
          <w:tcPr>
            <w:cnfStyle w:val="001000000000" w:firstRow="0" w:lastRow="0" w:firstColumn="1" w:lastColumn="0" w:oddVBand="0" w:evenVBand="0" w:oddHBand="0" w:evenHBand="0" w:firstRowFirstColumn="0" w:firstRowLastColumn="0" w:lastRowFirstColumn="0" w:lastRowLastColumn="0"/>
            <w:tcW w:w="184" w:type="pct"/>
            <w:vAlign w:val="center"/>
            <w:hideMark/>
          </w:tcPr>
          <w:p w14:paraId="0E61E459" w14:textId="2DE758EE" w:rsidR="00AE0D37" w:rsidRPr="00024115" w:rsidRDefault="00F97871" w:rsidP="00015932">
            <w:pPr>
              <w:spacing w:line="259" w:lineRule="auto"/>
              <w:rPr>
                <w:rFonts w:asciiTheme="minorHAnsi" w:hAnsiTheme="minorHAnsi" w:cstheme="minorHAnsi"/>
                <w:sz w:val="18"/>
                <w:szCs w:val="18"/>
              </w:rPr>
            </w:pPr>
            <w:r w:rsidRPr="00024115">
              <w:rPr>
                <w:rFonts w:asciiTheme="minorHAnsi" w:hAnsiTheme="minorHAnsi" w:cstheme="minorHAnsi"/>
                <w:sz w:val="18"/>
                <w:szCs w:val="18"/>
              </w:rPr>
              <w:t>4</w:t>
            </w:r>
          </w:p>
        </w:tc>
        <w:tc>
          <w:tcPr>
            <w:tcW w:w="409" w:type="pct"/>
            <w:hideMark/>
          </w:tcPr>
          <w:p w14:paraId="5C81E24D" w14:textId="77777777" w:rsidR="00AE0D37" w:rsidRPr="00024115" w:rsidRDefault="00AE0D37" w:rsidP="00AE0D37">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DGEF</w:t>
            </w:r>
          </w:p>
        </w:tc>
        <w:tc>
          <w:tcPr>
            <w:tcW w:w="799" w:type="pct"/>
            <w:hideMark/>
          </w:tcPr>
          <w:p w14:paraId="7DD3981C" w14:textId="77777777" w:rsidR="00AE0D37" w:rsidRPr="00024115" w:rsidRDefault="00AE0D37" w:rsidP="00AE0D37">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b/>
                <w:sz w:val="18"/>
                <w:szCs w:val="18"/>
              </w:rPr>
              <w:t>Programme de reboisement intensif et restauration du couvert végétal</w:t>
            </w:r>
          </w:p>
        </w:tc>
        <w:tc>
          <w:tcPr>
            <w:tcW w:w="1330" w:type="pct"/>
            <w:hideMark/>
          </w:tcPr>
          <w:p w14:paraId="397F58D7" w14:textId="7B264D4A" w:rsidR="00AE0D37" w:rsidRPr="00024115" w:rsidRDefault="004300DF" w:rsidP="00AE0D37">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300DF">
              <w:rPr>
                <w:rFonts w:asciiTheme="minorHAnsi" w:hAnsiTheme="minorHAnsi" w:cstheme="minorHAnsi"/>
                <w:sz w:val="18"/>
                <w:szCs w:val="18"/>
              </w:rPr>
              <w:t xml:space="preserve">Initiative nationale historique de </w:t>
            </w:r>
            <w:r w:rsidR="00AE0D37" w:rsidRPr="00024115">
              <w:rPr>
                <w:rFonts w:asciiTheme="minorHAnsi" w:hAnsiTheme="minorHAnsi" w:cstheme="minorHAnsi"/>
                <w:sz w:val="18"/>
                <w:szCs w:val="18"/>
              </w:rPr>
              <w:t xml:space="preserve">reboisement et </w:t>
            </w:r>
            <w:r w:rsidRPr="004300DF">
              <w:rPr>
                <w:rFonts w:asciiTheme="minorHAnsi" w:hAnsiTheme="minorHAnsi" w:cstheme="minorHAnsi"/>
                <w:sz w:val="18"/>
                <w:szCs w:val="18"/>
              </w:rPr>
              <w:t>de</w:t>
            </w:r>
            <w:r w:rsidR="00AE0D37" w:rsidRPr="00024115">
              <w:rPr>
                <w:rFonts w:asciiTheme="minorHAnsi" w:hAnsiTheme="minorHAnsi" w:cstheme="minorHAnsi"/>
                <w:sz w:val="18"/>
                <w:szCs w:val="18"/>
              </w:rPr>
              <w:t xml:space="preserve"> restauration du couvert végétal</w:t>
            </w:r>
            <w:r w:rsidRPr="004300DF">
              <w:rPr>
                <w:rFonts w:asciiTheme="minorHAnsi" w:hAnsiTheme="minorHAnsi" w:cstheme="minorHAnsi"/>
                <w:sz w:val="18"/>
                <w:szCs w:val="18"/>
              </w:rPr>
              <w:t>, mise en œuvre depuis plus de 30 ans</w:t>
            </w:r>
            <w:r w:rsidR="00AE0D37" w:rsidRPr="00024115">
              <w:rPr>
                <w:rFonts w:asciiTheme="minorHAnsi" w:hAnsiTheme="minorHAnsi" w:cstheme="minorHAnsi"/>
                <w:sz w:val="18"/>
                <w:szCs w:val="18"/>
              </w:rPr>
              <w:t xml:space="preserve"> à </w:t>
            </w:r>
            <w:r w:rsidRPr="004300DF">
              <w:rPr>
                <w:rFonts w:asciiTheme="minorHAnsi" w:hAnsiTheme="minorHAnsi" w:cstheme="minorHAnsi"/>
                <w:sz w:val="18"/>
                <w:szCs w:val="18"/>
              </w:rPr>
              <w:t>travers des campagnes récurrentes mobilisant</w:t>
            </w:r>
            <w:r w:rsidR="00AE0D37" w:rsidRPr="00024115">
              <w:rPr>
                <w:rFonts w:asciiTheme="minorHAnsi" w:hAnsiTheme="minorHAnsi" w:cstheme="minorHAnsi"/>
                <w:sz w:val="18"/>
                <w:szCs w:val="18"/>
              </w:rPr>
              <w:t xml:space="preserve"> l’État, les collectivités, </w:t>
            </w:r>
            <w:r w:rsidRPr="004300DF">
              <w:rPr>
                <w:rFonts w:asciiTheme="minorHAnsi" w:hAnsiTheme="minorHAnsi" w:cstheme="minorHAnsi"/>
                <w:sz w:val="18"/>
                <w:szCs w:val="18"/>
              </w:rPr>
              <w:t xml:space="preserve">les écoles, </w:t>
            </w:r>
            <w:r w:rsidR="00AE0D37" w:rsidRPr="00024115">
              <w:rPr>
                <w:rFonts w:asciiTheme="minorHAnsi" w:hAnsiTheme="minorHAnsi" w:cstheme="minorHAnsi"/>
                <w:sz w:val="18"/>
                <w:szCs w:val="18"/>
              </w:rPr>
              <w:t xml:space="preserve">la société civile, les </w:t>
            </w:r>
            <w:r w:rsidRPr="004300DF">
              <w:rPr>
                <w:rFonts w:asciiTheme="minorHAnsi" w:hAnsiTheme="minorHAnsi" w:cstheme="minorHAnsi"/>
                <w:sz w:val="18"/>
                <w:szCs w:val="18"/>
              </w:rPr>
              <w:t xml:space="preserve">communautés locales et les </w:t>
            </w:r>
            <w:r w:rsidR="00AE0D37" w:rsidRPr="00024115">
              <w:rPr>
                <w:rFonts w:asciiTheme="minorHAnsi" w:hAnsiTheme="minorHAnsi" w:cstheme="minorHAnsi"/>
                <w:sz w:val="18"/>
                <w:szCs w:val="18"/>
              </w:rPr>
              <w:t>partenaires techniques</w:t>
            </w:r>
            <w:r w:rsidRPr="004300DF">
              <w:rPr>
                <w:rFonts w:asciiTheme="minorHAnsi" w:hAnsiTheme="minorHAnsi" w:cstheme="minorHAnsi"/>
                <w:sz w:val="18"/>
                <w:szCs w:val="18"/>
              </w:rPr>
              <w:t>. La superficie de 79 724,09 ha mentionnée dans la liste brute correspond aux réalisations documentées sur la période 2021-2025. Dans le cadre de la CDN 3.0, la mesure vise à capitaliser les efforts réalisés depuis 2020 et à fixer une trajectoire cumulée d’environ 3 000 000 ha reboisés ou restaurés sur la période 2020-2035.</w:t>
            </w:r>
          </w:p>
        </w:tc>
        <w:tc>
          <w:tcPr>
            <w:tcW w:w="492" w:type="pct"/>
            <w:vAlign w:val="center"/>
            <w:hideMark/>
          </w:tcPr>
          <w:p w14:paraId="658014E2" w14:textId="7762A4F8" w:rsidR="00AE0D37" w:rsidRPr="00024115" w:rsidRDefault="00BA218B" w:rsidP="0001593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ND</w:t>
            </w:r>
          </w:p>
        </w:tc>
        <w:tc>
          <w:tcPr>
            <w:tcW w:w="595" w:type="pct"/>
            <w:vAlign w:val="center"/>
            <w:hideMark/>
          </w:tcPr>
          <w:p w14:paraId="7DAE07B3" w14:textId="51E623ED" w:rsidR="00AE0D37" w:rsidRPr="00024115" w:rsidRDefault="00AE0D37" w:rsidP="0001593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 xml:space="preserve">2020 </w:t>
            </w:r>
            <w:r w:rsidR="000E6FB3" w:rsidRPr="00024115">
              <w:rPr>
                <w:rFonts w:asciiTheme="minorHAnsi" w:hAnsiTheme="minorHAnsi" w:cstheme="minorHAnsi"/>
                <w:sz w:val="18"/>
                <w:szCs w:val="18"/>
              </w:rPr>
              <w:t>-</w:t>
            </w:r>
            <w:r w:rsidRPr="00024115">
              <w:rPr>
                <w:rFonts w:asciiTheme="minorHAnsi" w:hAnsiTheme="minorHAnsi" w:cstheme="minorHAnsi"/>
                <w:sz w:val="18"/>
                <w:szCs w:val="18"/>
              </w:rPr>
              <w:t xml:space="preserve"> 2035</w:t>
            </w:r>
          </w:p>
        </w:tc>
        <w:tc>
          <w:tcPr>
            <w:tcW w:w="476" w:type="pct"/>
            <w:vAlign w:val="center"/>
            <w:hideMark/>
          </w:tcPr>
          <w:p w14:paraId="456E3B01" w14:textId="77777777" w:rsidR="00AE0D37" w:rsidRPr="00024115" w:rsidRDefault="00AE0D37" w:rsidP="0001593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En cours de mise en œuvre</w:t>
            </w:r>
          </w:p>
        </w:tc>
        <w:tc>
          <w:tcPr>
            <w:tcW w:w="715" w:type="pct"/>
            <w:vAlign w:val="center"/>
            <w:hideMark/>
          </w:tcPr>
          <w:p w14:paraId="30DA7F03" w14:textId="77777777" w:rsidR="00AE0D37" w:rsidRPr="00024115" w:rsidRDefault="00AE0D37" w:rsidP="00015932">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Inconditionnelle</w:t>
            </w:r>
          </w:p>
        </w:tc>
      </w:tr>
      <w:tr w:rsidR="00AE0D37" w:rsidRPr="00024115" w14:paraId="332427AF" w14:textId="77777777" w:rsidTr="00A736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 w:type="pct"/>
            <w:vAlign w:val="center"/>
            <w:hideMark/>
          </w:tcPr>
          <w:p w14:paraId="554487A2" w14:textId="29BF17C1" w:rsidR="00AE0D37" w:rsidRPr="00024115" w:rsidRDefault="00F97871" w:rsidP="00015932">
            <w:pPr>
              <w:spacing w:line="259" w:lineRule="auto"/>
              <w:rPr>
                <w:rFonts w:asciiTheme="minorHAnsi" w:hAnsiTheme="minorHAnsi" w:cstheme="minorHAnsi"/>
                <w:sz w:val="18"/>
                <w:szCs w:val="18"/>
              </w:rPr>
            </w:pPr>
            <w:r w:rsidRPr="00024115">
              <w:rPr>
                <w:rFonts w:asciiTheme="minorHAnsi" w:hAnsiTheme="minorHAnsi" w:cstheme="minorHAnsi"/>
                <w:sz w:val="18"/>
                <w:szCs w:val="18"/>
              </w:rPr>
              <w:t>5</w:t>
            </w:r>
          </w:p>
        </w:tc>
        <w:tc>
          <w:tcPr>
            <w:tcW w:w="409" w:type="pct"/>
            <w:hideMark/>
          </w:tcPr>
          <w:p w14:paraId="41142266" w14:textId="77777777" w:rsidR="00AE0D37" w:rsidRPr="00024115" w:rsidRDefault="00AE0D37" w:rsidP="00AE0D37">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MEADD / Unité de gestion du projet</w:t>
            </w:r>
          </w:p>
        </w:tc>
        <w:tc>
          <w:tcPr>
            <w:tcW w:w="799" w:type="pct"/>
            <w:hideMark/>
          </w:tcPr>
          <w:p w14:paraId="3C788702" w14:textId="7BFF2E05" w:rsidR="00AE0D37" w:rsidRPr="00024115" w:rsidRDefault="00AE0D37" w:rsidP="00AE0D37">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b/>
                <w:sz w:val="18"/>
                <w:szCs w:val="18"/>
              </w:rPr>
              <w:t xml:space="preserve">PRTD </w:t>
            </w:r>
            <w:r w:rsidR="000E6FB3" w:rsidRPr="00024115">
              <w:rPr>
                <w:rFonts w:asciiTheme="minorHAnsi" w:hAnsiTheme="minorHAnsi" w:cstheme="minorHAnsi"/>
                <w:b/>
                <w:sz w:val="18"/>
                <w:szCs w:val="18"/>
              </w:rPr>
              <w:t>-</w:t>
            </w:r>
            <w:r w:rsidRPr="00024115">
              <w:rPr>
                <w:rFonts w:asciiTheme="minorHAnsi" w:hAnsiTheme="minorHAnsi" w:cstheme="minorHAnsi"/>
                <w:b/>
                <w:sz w:val="18"/>
                <w:szCs w:val="18"/>
              </w:rPr>
              <w:t xml:space="preserve"> Projet de Résilience des Terres et du Développement</w:t>
            </w:r>
          </w:p>
        </w:tc>
        <w:tc>
          <w:tcPr>
            <w:tcW w:w="1330" w:type="pct"/>
            <w:hideMark/>
          </w:tcPr>
          <w:p w14:paraId="76E03D67" w14:textId="64DC078E" w:rsidR="00AE0D37" w:rsidRPr="00024115" w:rsidRDefault="00AE0D37" w:rsidP="00AE0D37">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 xml:space="preserve">Le projet vise le renforcement de la résilience des terres et la gestion durable des paysages. </w:t>
            </w:r>
            <w:r w:rsidR="0002684F" w:rsidRPr="0002684F">
              <w:rPr>
                <w:rFonts w:asciiTheme="minorHAnsi" w:hAnsiTheme="minorHAnsi" w:cstheme="minorHAnsi"/>
                <w:sz w:val="18"/>
                <w:szCs w:val="18"/>
              </w:rPr>
              <w:t xml:space="preserve">Les objectifs retenus dans le tableau restructuré correspondent aux </w:t>
            </w:r>
            <w:r w:rsidR="0002684F" w:rsidRPr="0002684F">
              <w:rPr>
                <w:rFonts w:asciiTheme="minorHAnsi" w:hAnsiTheme="minorHAnsi" w:cstheme="minorHAnsi"/>
                <w:sz w:val="18"/>
                <w:szCs w:val="18"/>
              </w:rPr>
              <w:lastRenderedPageBreak/>
              <w:t>indicateurs opérationnels disponibles pour le projet, à savoir</w:t>
            </w:r>
            <w:r w:rsidRPr="00024115">
              <w:rPr>
                <w:rFonts w:asciiTheme="minorHAnsi" w:hAnsiTheme="minorHAnsi" w:cstheme="minorHAnsi"/>
                <w:sz w:val="18"/>
                <w:szCs w:val="18"/>
              </w:rPr>
              <w:t xml:space="preserve"> 100 000 ha sous pratiques de gestion durable du paysage et 150 000 ha de superficie forestière placée sous plans d’aménagement.</w:t>
            </w:r>
            <w:r w:rsidR="0002684F" w:rsidRPr="0002684F">
              <w:rPr>
                <w:rFonts w:asciiTheme="minorHAnsi" w:hAnsiTheme="minorHAnsi" w:cstheme="minorHAnsi"/>
                <w:sz w:val="18"/>
                <w:szCs w:val="18"/>
              </w:rPr>
              <w:t xml:space="preserve"> Ces superficies sont présentées séparément des objectifs de reboisement afin d’éviter leur double comptage avec les autres mesures forestières.</w:t>
            </w:r>
          </w:p>
        </w:tc>
        <w:tc>
          <w:tcPr>
            <w:tcW w:w="492" w:type="pct"/>
            <w:vAlign w:val="center"/>
            <w:hideMark/>
          </w:tcPr>
          <w:p w14:paraId="13A084EB" w14:textId="7BD86C7E" w:rsidR="00AE0D37" w:rsidRPr="00024115" w:rsidRDefault="003510E1" w:rsidP="0001593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lastRenderedPageBreak/>
              <w:t>90 00</w:t>
            </w:r>
            <w:r w:rsidR="00AE0D37" w:rsidRPr="00024115">
              <w:rPr>
                <w:rFonts w:asciiTheme="minorHAnsi" w:hAnsiTheme="minorHAnsi" w:cstheme="minorHAnsi"/>
                <w:sz w:val="18"/>
                <w:szCs w:val="18"/>
              </w:rPr>
              <w:t xml:space="preserve">0 000 000 </w:t>
            </w:r>
            <w:r w:rsidR="000D0DE0">
              <w:rPr>
                <w:rFonts w:asciiTheme="minorHAnsi" w:hAnsiTheme="minorHAnsi" w:cstheme="minorHAnsi"/>
                <w:sz w:val="18"/>
                <w:szCs w:val="18"/>
              </w:rPr>
              <w:t>FCFA</w:t>
            </w:r>
          </w:p>
        </w:tc>
        <w:tc>
          <w:tcPr>
            <w:tcW w:w="595" w:type="pct"/>
            <w:vAlign w:val="center"/>
            <w:hideMark/>
          </w:tcPr>
          <w:p w14:paraId="1017DF73" w14:textId="0B9B5277" w:rsidR="00AE0D37" w:rsidRPr="00024115" w:rsidRDefault="00AE0D37" w:rsidP="0001593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 xml:space="preserve">2024 </w:t>
            </w:r>
            <w:r w:rsidR="000E6FB3" w:rsidRPr="00024115">
              <w:rPr>
                <w:rFonts w:asciiTheme="minorHAnsi" w:hAnsiTheme="minorHAnsi" w:cstheme="minorHAnsi"/>
                <w:sz w:val="18"/>
                <w:szCs w:val="18"/>
              </w:rPr>
              <w:t>-</w:t>
            </w:r>
            <w:r w:rsidRPr="00024115">
              <w:rPr>
                <w:rFonts w:asciiTheme="minorHAnsi" w:hAnsiTheme="minorHAnsi" w:cstheme="minorHAnsi"/>
                <w:sz w:val="18"/>
                <w:szCs w:val="18"/>
              </w:rPr>
              <w:t xml:space="preserve"> 2030</w:t>
            </w:r>
          </w:p>
        </w:tc>
        <w:tc>
          <w:tcPr>
            <w:tcW w:w="476" w:type="pct"/>
            <w:vAlign w:val="center"/>
            <w:hideMark/>
          </w:tcPr>
          <w:p w14:paraId="0B330962" w14:textId="77777777" w:rsidR="00AE0D37" w:rsidRPr="00024115" w:rsidRDefault="00AE0D37" w:rsidP="0001593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En cours de mise en œuvre</w:t>
            </w:r>
          </w:p>
        </w:tc>
        <w:tc>
          <w:tcPr>
            <w:tcW w:w="715" w:type="pct"/>
            <w:vAlign w:val="center"/>
            <w:hideMark/>
          </w:tcPr>
          <w:p w14:paraId="3FFB9F89" w14:textId="77777777" w:rsidR="00AE0D37" w:rsidRPr="00024115" w:rsidRDefault="00AE0D37" w:rsidP="00015932">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4115">
              <w:rPr>
                <w:rFonts w:asciiTheme="minorHAnsi" w:hAnsiTheme="minorHAnsi" w:cstheme="minorHAnsi"/>
                <w:sz w:val="18"/>
                <w:szCs w:val="18"/>
              </w:rPr>
              <w:t>Conditionnelle</w:t>
            </w:r>
          </w:p>
        </w:tc>
      </w:tr>
    </w:tbl>
    <w:p w14:paraId="46A11FF2" w14:textId="77777777" w:rsidR="00B07E78" w:rsidRPr="00B07E78" w:rsidRDefault="00B07E78" w:rsidP="00B07E78">
      <w:pPr>
        <w:spacing w:before="240"/>
        <w:jc w:val="both"/>
      </w:pPr>
      <w:r w:rsidRPr="00B07E78">
        <w:t>Au terme de cette structuration, le portefeuille forestier de la CDN 3.0 comprend deux mesures inconditionnelles et quatre mesures conditionnelles. Les mesures inconditionnelles permettent de valoriser les efforts nationaux déjà engagés ou appuyés par des ressources domestiques, tandis que les mesures conditionnelles traduisent les besoins de financement international pour la mise à l’échelle des actions de restauration, de reboisement, de gestion durable des paysages et de valorisation des ressources forestières.</w:t>
      </w:r>
    </w:p>
    <w:p w14:paraId="3747D734" w14:textId="7E963B89" w:rsidR="008F3CC1" w:rsidRDefault="008F3CC1" w:rsidP="00C42A74">
      <w:pPr>
        <w:spacing w:before="240"/>
        <w:jc w:val="both"/>
        <w:sectPr w:rsidR="008F3CC1" w:rsidSect="003B74D8">
          <w:pgSz w:w="15840" w:h="12240" w:orient="landscape" w:code="1"/>
          <w:pgMar w:top="1412" w:right="1412" w:bottom="1412" w:left="1412" w:header="709" w:footer="709" w:gutter="0"/>
          <w:cols w:space="708"/>
          <w:docGrid w:linePitch="360"/>
        </w:sectPr>
      </w:pPr>
    </w:p>
    <w:p w14:paraId="05BBE317" w14:textId="34CB0ACA" w:rsidR="001F64BE" w:rsidRPr="001F64BE" w:rsidRDefault="001F64BE" w:rsidP="002C3767">
      <w:pPr>
        <w:pStyle w:val="Titre3"/>
        <w:numPr>
          <w:ilvl w:val="2"/>
          <w:numId w:val="21"/>
        </w:numPr>
      </w:pPr>
      <w:bookmarkStart w:id="65" w:name="_Toc234853877"/>
      <w:r w:rsidRPr="001F64BE">
        <w:lastRenderedPageBreak/>
        <w:t>Ligne de base et projections des émissions</w:t>
      </w:r>
      <w:bookmarkEnd w:id="65"/>
    </w:p>
    <w:p w14:paraId="34EDEC91" w14:textId="153FBAF7" w:rsidR="00812C61" w:rsidRDefault="00812C61" w:rsidP="00AA4E99">
      <w:pPr>
        <w:spacing w:before="240" w:after="0"/>
        <w:jc w:val="both"/>
      </w:pPr>
      <w:r>
        <w:t xml:space="preserve">La ligne de base du secteur des forêts a été élaborée à partir des données d’émissions et d’absorptions présentées dans la </w:t>
      </w:r>
      <w:r w:rsidRPr="00812C61">
        <w:rPr>
          <w:b/>
          <w:bCs/>
        </w:rPr>
        <w:t>Quatrième Communication Nationale du Mali à la Convention-Cadre des Nations Unies sur les Changements Climatiques</w:t>
      </w:r>
      <w:r w:rsidR="00F55D3D">
        <w:rPr>
          <w:rStyle w:val="Appelnotedebasdep"/>
          <w:b/>
          <w:bCs/>
        </w:rPr>
        <w:footnoteReference w:id="6"/>
      </w:r>
      <w:r>
        <w:t xml:space="preserve">. Cette source fournit les tendances des émissions directes, des absorptions et des émissions nettes du secteur de la foresterie sur la période </w:t>
      </w:r>
      <w:r w:rsidRPr="00AA4E99">
        <w:t>2015-2030</w:t>
      </w:r>
      <w:r>
        <w:t>.</w:t>
      </w:r>
    </w:p>
    <w:p w14:paraId="582BE94E" w14:textId="249916F7" w:rsidR="007862F0" w:rsidRPr="00F317CE" w:rsidRDefault="007862F0" w:rsidP="00AA4E99">
      <w:pPr>
        <w:spacing w:before="240" w:after="0"/>
        <w:jc w:val="both"/>
      </w:pPr>
      <w:r w:rsidRPr="00F317CE">
        <w:t>La ligne de base retenue correspond aux émissions nettes du secteur forestier. Elle intègre donc deux composantes : les émissions directes de GES associées au secteur et les absorptions de CO₂ liées à la séquestration du carbone. Les valeurs négatives indiquent que les absorptions sont supérieures aux émissions directes, ce qui traduit un bilan net de séquestration.</w:t>
      </w:r>
    </w:p>
    <w:p w14:paraId="0AF1F034" w14:textId="77777777" w:rsidR="00F317CE" w:rsidRPr="00F317CE" w:rsidRDefault="00F317CE" w:rsidP="00F317CE">
      <w:pPr>
        <w:spacing w:before="240" w:after="0"/>
        <w:jc w:val="both"/>
      </w:pPr>
      <w:r w:rsidRPr="00F317CE">
        <w:t>La Quatrième Communication Nationale ne présente pas de projections jusqu’en 2035. Afin de couvrir l’horizon de la CDN 3.0, les données disponibles jusqu’en 2030 ont donc été prolongées par extrapolation tendancielle. Cette extrapolation a été réalisée à partir de la tendance observée sur la période récente de l’inventaire, en prolongeant séparément les deux composantes de la ligne de base : les absorptions de CO₂, qui augmentent en moyenne de 335 Gg CO₂e/an, et les émissions directes, qui diminuent légèrement d’environ 1 Gg CO₂e/an.</w:t>
      </w:r>
    </w:p>
    <w:p w14:paraId="7E98A1C6" w14:textId="77777777" w:rsidR="00F317CE" w:rsidRPr="00F317CE" w:rsidRDefault="00F317CE" w:rsidP="00F317CE">
      <w:pPr>
        <w:spacing w:before="240" w:after="0"/>
        <w:jc w:val="both"/>
      </w:pPr>
      <w:r w:rsidRPr="00F317CE">
        <w:t>Les émissions nettes projetées résultent ensuite de la combinaison de ces deux tendances. Cette méthode permet de conserver la dynamique observée dans l’inventaire tout en obtenant une trajectoire continue sur la période 2026–2035.</w:t>
      </w:r>
    </w:p>
    <w:p w14:paraId="4083338C" w14:textId="77777777" w:rsidR="00F317CE" w:rsidRPr="00F317CE" w:rsidRDefault="00F317CE" w:rsidP="00F317CE">
      <w:pPr>
        <w:spacing w:before="240" w:after="0"/>
        <w:jc w:val="both"/>
      </w:pPr>
      <w:r w:rsidRPr="00F317CE">
        <w:t>Selon cette approche, les émissions nettes du secteur passent de -259 430 Gg CO₂e en 2030 à -261 110 Gg CO₂e en 2035. Cette trajectoire constitue la ligne de base utilisée pour apprécier l’effet additionnel des mesures d’atténuation retenues dans le portefeuille forestier de la CDN 3.0.</w:t>
      </w:r>
    </w:p>
    <w:p w14:paraId="44425ABD" w14:textId="32B93066" w:rsidR="00B93F67" w:rsidRPr="00643F28" w:rsidRDefault="00B93F67" w:rsidP="007C60D4">
      <w:pPr>
        <w:pStyle w:val="Lgende"/>
        <w:keepNext/>
        <w:spacing w:before="120" w:after="120"/>
        <w:rPr>
          <w:sz w:val="22"/>
          <w:szCs w:val="22"/>
        </w:rPr>
      </w:pPr>
      <w:bookmarkStart w:id="66" w:name="_Toc234853949"/>
      <w:r w:rsidRPr="00643F28">
        <w:rPr>
          <w:sz w:val="22"/>
          <w:szCs w:val="22"/>
        </w:rPr>
        <w:t xml:space="preserve">Tableau </w:t>
      </w:r>
      <w:r w:rsidRPr="00643F28">
        <w:rPr>
          <w:sz w:val="22"/>
          <w:szCs w:val="22"/>
        </w:rPr>
        <w:fldChar w:fldCharType="begin"/>
      </w:r>
      <w:r w:rsidRPr="00643F28">
        <w:rPr>
          <w:sz w:val="22"/>
          <w:szCs w:val="22"/>
        </w:rPr>
        <w:instrText xml:space="preserve"> SEQ Tableau \* ARABIC </w:instrText>
      </w:r>
      <w:r w:rsidRPr="00643F28">
        <w:rPr>
          <w:sz w:val="22"/>
          <w:szCs w:val="22"/>
        </w:rPr>
        <w:fldChar w:fldCharType="separate"/>
      </w:r>
      <w:r w:rsidR="0018772E">
        <w:rPr>
          <w:noProof/>
          <w:sz w:val="22"/>
          <w:szCs w:val="22"/>
        </w:rPr>
        <w:t>25</w:t>
      </w:r>
      <w:r w:rsidRPr="00643F28">
        <w:rPr>
          <w:sz w:val="22"/>
          <w:szCs w:val="22"/>
        </w:rPr>
        <w:fldChar w:fldCharType="end"/>
      </w:r>
      <w:r w:rsidRPr="00643F28">
        <w:rPr>
          <w:sz w:val="22"/>
          <w:szCs w:val="22"/>
        </w:rPr>
        <w:t xml:space="preserve"> : </w:t>
      </w:r>
      <w:r w:rsidR="00885A9C" w:rsidRPr="00643F28">
        <w:rPr>
          <w:sz w:val="22"/>
          <w:szCs w:val="22"/>
        </w:rPr>
        <w:t>Ligne de base du secteur des forêts sur la période 2015 - 2035</w:t>
      </w:r>
      <w:bookmarkEnd w:id="66"/>
    </w:p>
    <w:tbl>
      <w:tblPr>
        <w:tblStyle w:val="Tableausimp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2088"/>
        <w:gridCol w:w="1951"/>
        <w:gridCol w:w="2178"/>
        <w:gridCol w:w="2250"/>
      </w:tblGrid>
      <w:tr w:rsidR="00B54200" w:rsidRPr="007C60D4" w14:paraId="568428B0" w14:textId="77777777" w:rsidTr="007C60D4">
        <w:trPr>
          <w:cnfStyle w:val="100000000000" w:firstRow="1" w:lastRow="0" w:firstColumn="0" w:lastColumn="0" w:oddVBand="0" w:evenVBand="0" w:oddHBand="0" w:evenHBand="0" w:firstRowFirstColumn="0" w:firstRowLastColumn="0" w:lastRowFirstColumn="0" w:lastRowLastColumn="0"/>
          <w:trHeight w:val="490"/>
          <w:tblHeader/>
        </w:trPr>
        <w:tc>
          <w:tcPr>
            <w:cnfStyle w:val="001000000000" w:firstRow="0" w:lastRow="0" w:firstColumn="1" w:lastColumn="0" w:oddVBand="0" w:evenVBand="0" w:oddHBand="0" w:evenHBand="0" w:firstRowFirstColumn="0" w:firstRowLastColumn="0" w:lastRowFirstColumn="0" w:lastRowLastColumn="0"/>
            <w:tcW w:w="499" w:type="pct"/>
            <w:shd w:val="clear" w:color="auto" w:fill="1F4E79" w:themeFill="accent1" w:themeFillShade="80"/>
            <w:vAlign w:val="center"/>
            <w:hideMark/>
          </w:tcPr>
          <w:p w14:paraId="2354018E" w14:textId="77777777" w:rsidR="00B54200" w:rsidRPr="007C60D4" w:rsidRDefault="00B54200" w:rsidP="00B93F67">
            <w:pPr>
              <w:jc w:val="center"/>
              <w:rPr>
                <w:rFonts w:asciiTheme="minorHAnsi" w:eastAsia="Times New Roman" w:hAnsiTheme="minorHAnsi" w:cstheme="minorHAnsi"/>
                <w:color w:val="FFFFFF" w:themeColor="background1"/>
                <w:sz w:val="20"/>
                <w:szCs w:val="20"/>
                <w:lang w:eastAsia="fr-FR"/>
              </w:rPr>
            </w:pPr>
            <w:r w:rsidRPr="007C60D4">
              <w:rPr>
                <w:rFonts w:asciiTheme="minorHAnsi" w:eastAsia="Times New Roman" w:hAnsiTheme="minorHAnsi" w:cstheme="minorHAnsi"/>
                <w:color w:val="FFFFFF" w:themeColor="background1"/>
                <w:sz w:val="20"/>
                <w:szCs w:val="20"/>
                <w:lang w:eastAsia="fr-FR"/>
              </w:rPr>
              <w:t>Année</w:t>
            </w:r>
          </w:p>
        </w:tc>
        <w:tc>
          <w:tcPr>
            <w:tcW w:w="1110" w:type="pct"/>
            <w:shd w:val="clear" w:color="auto" w:fill="1F4E79" w:themeFill="accent1" w:themeFillShade="80"/>
            <w:vAlign w:val="center"/>
            <w:hideMark/>
          </w:tcPr>
          <w:p w14:paraId="68CC5C1B" w14:textId="77777777" w:rsidR="00B54200" w:rsidRPr="007C60D4" w:rsidRDefault="00B54200" w:rsidP="00B93F67">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7C60D4">
              <w:rPr>
                <w:rFonts w:asciiTheme="minorHAnsi" w:eastAsia="Times New Roman" w:hAnsiTheme="minorHAnsi" w:cstheme="minorHAnsi"/>
                <w:color w:val="FFFFFF" w:themeColor="background1"/>
                <w:sz w:val="20"/>
                <w:szCs w:val="20"/>
                <w:lang w:eastAsia="fr-FR"/>
              </w:rPr>
              <w:t>Séquestration CO₂</w:t>
            </w:r>
          </w:p>
        </w:tc>
        <w:tc>
          <w:tcPr>
            <w:tcW w:w="1037" w:type="pct"/>
            <w:shd w:val="clear" w:color="auto" w:fill="1F4E79" w:themeFill="accent1" w:themeFillShade="80"/>
            <w:vAlign w:val="center"/>
            <w:hideMark/>
          </w:tcPr>
          <w:p w14:paraId="02F66881" w14:textId="77777777" w:rsidR="00B54200" w:rsidRPr="007C60D4" w:rsidRDefault="00B54200" w:rsidP="00B93F67">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7C60D4">
              <w:rPr>
                <w:rFonts w:asciiTheme="minorHAnsi" w:eastAsia="Times New Roman" w:hAnsiTheme="minorHAnsi" w:cstheme="minorHAnsi"/>
                <w:color w:val="FFFFFF" w:themeColor="background1"/>
                <w:sz w:val="20"/>
                <w:szCs w:val="20"/>
                <w:lang w:eastAsia="fr-FR"/>
              </w:rPr>
              <w:t>Émission Eq CO₂</w:t>
            </w:r>
          </w:p>
        </w:tc>
        <w:tc>
          <w:tcPr>
            <w:tcW w:w="1158" w:type="pct"/>
            <w:shd w:val="clear" w:color="auto" w:fill="1F4E79" w:themeFill="accent1" w:themeFillShade="80"/>
            <w:vAlign w:val="center"/>
            <w:hideMark/>
          </w:tcPr>
          <w:p w14:paraId="4213D788" w14:textId="68DEDED3" w:rsidR="00B54200" w:rsidRPr="007C60D4" w:rsidRDefault="00B54200" w:rsidP="00B93F67">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7C60D4">
              <w:rPr>
                <w:rFonts w:asciiTheme="minorHAnsi" w:eastAsia="Times New Roman" w:hAnsiTheme="minorHAnsi" w:cstheme="minorHAnsi"/>
                <w:color w:val="FFFFFF" w:themeColor="background1"/>
                <w:sz w:val="20"/>
                <w:szCs w:val="20"/>
                <w:lang w:eastAsia="fr-FR"/>
              </w:rPr>
              <w:t>Émission nette CO₂</w:t>
            </w:r>
            <w:r w:rsidR="00DB4275" w:rsidRPr="007C60D4">
              <w:rPr>
                <w:rFonts w:asciiTheme="minorHAnsi" w:eastAsia="Times New Roman" w:hAnsiTheme="minorHAnsi" w:cstheme="minorHAnsi"/>
                <w:color w:val="FFFFFF" w:themeColor="background1"/>
                <w:sz w:val="20"/>
                <w:szCs w:val="20"/>
                <w:lang w:eastAsia="fr-FR"/>
              </w:rPr>
              <w:t xml:space="preserve"> (ligne de base)</w:t>
            </w:r>
          </w:p>
        </w:tc>
        <w:tc>
          <w:tcPr>
            <w:tcW w:w="1196" w:type="pct"/>
            <w:shd w:val="clear" w:color="auto" w:fill="1F4E79" w:themeFill="accent1" w:themeFillShade="80"/>
            <w:vAlign w:val="center"/>
            <w:hideMark/>
          </w:tcPr>
          <w:p w14:paraId="0E405EDE" w14:textId="5304D921" w:rsidR="00B54200" w:rsidRPr="007C60D4" w:rsidRDefault="00A40B21" w:rsidP="00B93F67">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20"/>
                <w:szCs w:val="20"/>
                <w:lang w:eastAsia="fr-FR"/>
              </w:rPr>
            </w:pPr>
            <w:r w:rsidRPr="007C60D4">
              <w:rPr>
                <w:rFonts w:asciiTheme="minorHAnsi" w:eastAsia="Times New Roman" w:hAnsiTheme="minorHAnsi" w:cstheme="minorHAnsi"/>
                <w:color w:val="FFFFFF" w:themeColor="background1"/>
                <w:sz w:val="20"/>
                <w:szCs w:val="20"/>
                <w:lang w:eastAsia="fr-FR"/>
              </w:rPr>
              <w:t>Source de données</w:t>
            </w:r>
          </w:p>
        </w:tc>
      </w:tr>
      <w:tr w:rsidR="00A40B21" w:rsidRPr="007C60D4" w14:paraId="6841CF26" w14:textId="77777777" w:rsidTr="00B7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hideMark/>
          </w:tcPr>
          <w:p w14:paraId="2719D110"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2015</w:t>
            </w:r>
          </w:p>
        </w:tc>
        <w:tc>
          <w:tcPr>
            <w:tcW w:w="1110" w:type="pct"/>
            <w:vAlign w:val="center"/>
            <w:hideMark/>
          </w:tcPr>
          <w:p w14:paraId="24762696"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-317 974</w:t>
            </w:r>
          </w:p>
        </w:tc>
        <w:tc>
          <w:tcPr>
            <w:tcW w:w="1037" w:type="pct"/>
            <w:vAlign w:val="center"/>
            <w:hideMark/>
          </w:tcPr>
          <w:p w14:paraId="63B2FED0"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59 980</w:t>
            </w:r>
          </w:p>
        </w:tc>
        <w:tc>
          <w:tcPr>
            <w:tcW w:w="1158" w:type="pct"/>
            <w:vAlign w:val="center"/>
            <w:hideMark/>
          </w:tcPr>
          <w:p w14:paraId="64E665D9"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-257 994</w:t>
            </w:r>
          </w:p>
        </w:tc>
        <w:tc>
          <w:tcPr>
            <w:tcW w:w="1196" w:type="pct"/>
            <w:vMerge w:val="restart"/>
            <w:vAlign w:val="center"/>
            <w:hideMark/>
          </w:tcPr>
          <w:p w14:paraId="75DE326F" w14:textId="72784646"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Inventaire (</w:t>
            </w:r>
            <w:r w:rsidR="00B77C3C" w:rsidRPr="007C60D4">
              <w:rPr>
                <w:rFonts w:asciiTheme="minorHAnsi" w:eastAsia="Times New Roman" w:hAnsiTheme="minorHAnsi" w:cstheme="minorHAnsi"/>
                <w:sz w:val="20"/>
                <w:szCs w:val="20"/>
                <w:lang w:eastAsia="fr-FR"/>
              </w:rPr>
              <w:t>4</w:t>
            </w:r>
            <w:r w:rsidRPr="007C60D4">
              <w:rPr>
                <w:rFonts w:asciiTheme="minorHAnsi" w:eastAsia="Times New Roman" w:hAnsiTheme="minorHAnsi" w:cstheme="minorHAnsi"/>
                <w:sz w:val="20"/>
                <w:szCs w:val="20"/>
                <w:lang w:eastAsia="fr-FR"/>
              </w:rPr>
              <w:t xml:space="preserve">QCN du </w:t>
            </w:r>
            <w:r w:rsidR="00B77C3C" w:rsidRPr="007C60D4">
              <w:rPr>
                <w:rFonts w:asciiTheme="minorHAnsi" w:eastAsia="Times New Roman" w:hAnsiTheme="minorHAnsi" w:cstheme="minorHAnsi"/>
                <w:sz w:val="20"/>
                <w:szCs w:val="20"/>
                <w:lang w:eastAsia="fr-FR"/>
              </w:rPr>
              <w:t>Mali)</w:t>
            </w:r>
          </w:p>
        </w:tc>
      </w:tr>
      <w:tr w:rsidR="00A40B21" w:rsidRPr="007C60D4" w14:paraId="0B337CA7" w14:textId="77777777" w:rsidTr="00B77C3C">
        <w:tc>
          <w:tcPr>
            <w:cnfStyle w:val="001000000000" w:firstRow="0" w:lastRow="0" w:firstColumn="1" w:lastColumn="0" w:oddVBand="0" w:evenVBand="0" w:oddHBand="0" w:evenHBand="0" w:firstRowFirstColumn="0" w:firstRowLastColumn="0" w:lastRowFirstColumn="0" w:lastRowLastColumn="0"/>
            <w:tcW w:w="499" w:type="pct"/>
            <w:hideMark/>
          </w:tcPr>
          <w:p w14:paraId="3FB4C457"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2016</w:t>
            </w:r>
          </w:p>
        </w:tc>
        <w:tc>
          <w:tcPr>
            <w:tcW w:w="1110" w:type="pct"/>
            <w:vAlign w:val="center"/>
            <w:hideMark/>
          </w:tcPr>
          <w:p w14:paraId="14DD07CA"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-322 055</w:t>
            </w:r>
          </w:p>
        </w:tc>
        <w:tc>
          <w:tcPr>
            <w:tcW w:w="1037" w:type="pct"/>
            <w:vAlign w:val="center"/>
            <w:hideMark/>
          </w:tcPr>
          <w:p w14:paraId="7E807D1D"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75 469</w:t>
            </w:r>
          </w:p>
        </w:tc>
        <w:tc>
          <w:tcPr>
            <w:tcW w:w="1158" w:type="pct"/>
            <w:vAlign w:val="center"/>
            <w:hideMark/>
          </w:tcPr>
          <w:p w14:paraId="224CAC3C"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-246 587</w:t>
            </w:r>
          </w:p>
        </w:tc>
        <w:tc>
          <w:tcPr>
            <w:tcW w:w="1196" w:type="pct"/>
            <w:vMerge/>
            <w:vAlign w:val="center"/>
          </w:tcPr>
          <w:p w14:paraId="72784672" w14:textId="295DE42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4223FA20" w14:textId="77777777" w:rsidTr="00B7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hideMark/>
          </w:tcPr>
          <w:p w14:paraId="5141C23F"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2017</w:t>
            </w:r>
          </w:p>
        </w:tc>
        <w:tc>
          <w:tcPr>
            <w:tcW w:w="1110" w:type="pct"/>
            <w:vAlign w:val="center"/>
            <w:hideMark/>
          </w:tcPr>
          <w:p w14:paraId="62C5D1D6"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-325 309</w:t>
            </w:r>
          </w:p>
        </w:tc>
        <w:tc>
          <w:tcPr>
            <w:tcW w:w="1037" w:type="pct"/>
            <w:vAlign w:val="center"/>
            <w:hideMark/>
          </w:tcPr>
          <w:p w14:paraId="5A0FEE9C"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87 342</w:t>
            </w:r>
          </w:p>
        </w:tc>
        <w:tc>
          <w:tcPr>
            <w:tcW w:w="1158" w:type="pct"/>
            <w:vAlign w:val="center"/>
            <w:hideMark/>
          </w:tcPr>
          <w:p w14:paraId="3041B7C8"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-237 967</w:t>
            </w:r>
          </w:p>
        </w:tc>
        <w:tc>
          <w:tcPr>
            <w:tcW w:w="1196" w:type="pct"/>
            <w:vMerge/>
            <w:vAlign w:val="center"/>
          </w:tcPr>
          <w:p w14:paraId="643436B7" w14:textId="12066724"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2A0D2105" w14:textId="77777777" w:rsidTr="00B77C3C">
        <w:tc>
          <w:tcPr>
            <w:cnfStyle w:val="001000000000" w:firstRow="0" w:lastRow="0" w:firstColumn="1" w:lastColumn="0" w:oddVBand="0" w:evenVBand="0" w:oddHBand="0" w:evenHBand="0" w:firstRowFirstColumn="0" w:firstRowLastColumn="0" w:lastRowFirstColumn="0" w:lastRowLastColumn="0"/>
            <w:tcW w:w="499" w:type="pct"/>
            <w:hideMark/>
          </w:tcPr>
          <w:p w14:paraId="793F69D3"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2018</w:t>
            </w:r>
          </w:p>
        </w:tc>
        <w:tc>
          <w:tcPr>
            <w:tcW w:w="1110" w:type="pct"/>
            <w:vAlign w:val="center"/>
            <w:hideMark/>
          </w:tcPr>
          <w:p w14:paraId="10CBB971"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-330 900</w:t>
            </w:r>
          </w:p>
        </w:tc>
        <w:tc>
          <w:tcPr>
            <w:tcW w:w="1037" w:type="pct"/>
            <w:vAlign w:val="center"/>
            <w:hideMark/>
          </w:tcPr>
          <w:p w14:paraId="7295EC34"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74 254</w:t>
            </w:r>
          </w:p>
        </w:tc>
        <w:tc>
          <w:tcPr>
            <w:tcW w:w="1158" w:type="pct"/>
            <w:vAlign w:val="center"/>
            <w:hideMark/>
          </w:tcPr>
          <w:p w14:paraId="7C938404"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-256 646</w:t>
            </w:r>
          </w:p>
        </w:tc>
        <w:tc>
          <w:tcPr>
            <w:tcW w:w="1196" w:type="pct"/>
            <w:vMerge/>
            <w:vAlign w:val="center"/>
          </w:tcPr>
          <w:p w14:paraId="423C9AD8" w14:textId="1AAF81AF"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4A7D26AE" w14:textId="77777777" w:rsidTr="00B7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hideMark/>
          </w:tcPr>
          <w:p w14:paraId="54B87A68"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2019</w:t>
            </w:r>
          </w:p>
        </w:tc>
        <w:tc>
          <w:tcPr>
            <w:tcW w:w="1110" w:type="pct"/>
            <w:vAlign w:val="center"/>
            <w:hideMark/>
          </w:tcPr>
          <w:p w14:paraId="443CCD76"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-334 425</w:t>
            </w:r>
          </w:p>
        </w:tc>
        <w:tc>
          <w:tcPr>
            <w:tcW w:w="1037" w:type="pct"/>
            <w:vAlign w:val="center"/>
            <w:hideMark/>
          </w:tcPr>
          <w:p w14:paraId="6BA2EDFF"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78 358</w:t>
            </w:r>
          </w:p>
        </w:tc>
        <w:tc>
          <w:tcPr>
            <w:tcW w:w="1158" w:type="pct"/>
            <w:vAlign w:val="center"/>
            <w:hideMark/>
          </w:tcPr>
          <w:p w14:paraId="64915070"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-256 067</w:t>
            </w:r>
          </w:p>
        </w:tc>
        <w:tc>
          <w:tcPr>
            <w:tcW w:w="1196" w:type="pct"/>
            <w:vMerge/>
            <w:vAlign w:val="center"/>
          </w:tcPr>
          <w:p w14:paraId="35C7BBD2" w14:textId="5A0ED37D"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0FC7A7FD" w14:textId="77777777" w:rsidTr="00B77C3C">
        <w:tc>
          <w:tcPr>
            <w:cnfStyle w:val="001000000000" w:firstRow="0" w:lastRow="0" w:firstColumn="1" w:lastColumn="0" w:oddVBand="0" w:evenVBand="0" w:oddHBand="0" w:evenHBand="0" w:firstRowFirstColumn="0" w:firstRowLastColumn="0" w:lastRowFirstColumn="0" w:lastRowLastColumn="0"/>
            <w:tcW w:w="499" w:type="pct"/>
            <w:hideMark/>
          </w:tcPr>
          <w:p w14:paraId="3E41AE50"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2020</w:t>
            </w:r>
          </w:p>
        </w:tc>
        <w:tc>
          <w:tcPr>
            <w:tcW w:w="1110" w:type="pct"/>
            <w:vAlign w:val="center"/>
            <w:hideMark/>
          </w:tcPr>
          <w:p w14:paraId="78C90960"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-334 425</w:t>
            </w:r>
          </w:p>
        </w:tc>
        <w:tc>
          <w:tcPr>
            <w:tcW w:w="1037" w:type="pct"/>
            <w:vAlign w:val="center"/>
            <w:hideMark/>
          </w:tcPr>
          <w:p w14:paraId="5379B1AB"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78 357</w:t>
            </w:r>
          </w:p>
        </w:tc>
        <w:tc>
          <w:tcPr>
            <w:tcW w:w="1158" w:type="pct"/>
            <w:vAlign w:val="center"/>
            <w:hideMark/>
          </w:tcPr>
          <w:p w14:paraId="7EA1C875"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-256 068</w:t>
            </w:r>
          </w:p>
        </w:tc>
        <w:tc>
          <w:tcPr>
            <w:tcW w:w="1196" w:type="pct"/>
            <w:vMerge/>
            <w:vAlign w:val="center"/>
          </w:tcPr>
          <w:p w14:paraId="1F941A74" w14:textId="05D4561A"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67E6399A" w14:textId="77777777" w:rsidTr="00B7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hideMark/>
          </w:tcPr>
          <w:p w14:paraId="79845233"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2021</w:t>
            </w:r>
          </w:p>
        </w:tc>
        <w:tc>
          <w:tcPr>
            <w:tcW w:w="1110" w:type="pct"/>
            <w:vAlign w:val="center"/>
            <w:hideMark/>
          </w:tcPr>
          <w:p w14:paraId="64525EB1"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-334 760</w:t>
            </w:r>
          </w:p>
        </w:tc>
        <w:tc>
          <w:tcPr>
            <w:tcW w:w="1037" w:type="pct"/>
            <w:vAlign w:val="center"/>
            <w:hideMark/>
          </w:tcPr>
          <w:p w14:paraId="4707A95B"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78 356</w:t>
            </w:r>
          </w:p>
        </w:tc>
        <w:tc>
          <w:tcPr>
            <w:tcW w:w="1158" w:type="pct"/>
            <w:vAlign w:val="center"/>
            <w:hideMark/>
          </w:tcPr>
          <w:p w14:paraId="0BF8E7F8"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-256 404</w:t>
            </w:r>
          </w:p>
        </w:tc>
        <w:tc>
          <w:tcPr>
            <w:tcW w:w="1196" w:type="pct"/>
            <w:vMerge/>
            <w:vAlign w:val="center"/>
          </w:tcPr>
          <w:p w14:paraId="66E7DBC0" w14:textId="3DF7E84E"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0C859BB3" w14:textId="77777777" w:rsidTr="00B77C3C">
        <w:tc>
          <w:tcPr>
            <w:cnfStyle w:val="001000000000" w:firstRow="0" w:lastRow="0" w:firstColumn="1" w:lastColumn="0" w:oddVBand="0" w:evenVBand="0" w:oddHBand="0" w:evenHBand="0" w:firstRowFirstColumn="0" w:firstRowLastColumn="0" w:lastRowFirstColumn="0" w:lastRowLastColumn="0"/>
            <w:tcW w:w="499" w:type="pct"/>
            <w:hideMark/>
          </w:tcPr>
          <w:p w14:paraId="063CB585"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2022</w:t>
            </w:r>
          </w:p>
        </w:tc>
        <w:tc>
          <w:tcPr>
            <w:tcW w:w="1110" w:type="pct"/>
            <w:vAlign w:val="center"/>
            <w:hideMark/>
          </w:tcPr>
          <w:p w14:paraId="620C6A5C"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-335 095</w:t>
            </w:r>
          </w:p>
        </w:tc>
        <w:tc>
          <w:tcPr>
            <w:tcW w:w="1037" w:type="pct"/>
            <w:vAlign w:val="center"/>
            <w:hideMark/>
          </w:tcPr>
          <w:p w14:paraId="11592A5C"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78 354</w:t>
            </w:r>
          </w:p>
        </w:tc>
        <w:tc>
          <w:tcPr>
            <w:tcW w:w="1158" w:type="pct"/>
            <w:vAlign w:val="center"/>
            <w:hideMark/>
          </w:tcPr>
          <w:p w14:paraId="24BAC438"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-256 741</w:t>
            </w:r>
          </w:p>
        </w:tc>
        <w:tc>
          <w:tcPr>
            <w:tcW w:w="1196" w:type="pct"/>
            <w:vMerge/>
            <w:vAlign w:val="center"/>
          </w:tcPr>
          <w:p w14:paraId="2C06660C" w14:textId="6A97CF66"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0727A905" w14:textId="77777777" w:rsidTr="00B7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hideMark/>
          </w:tcPr>
          <w:p w14:paraId="7CB2E47C"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2023</w:t>
            </w:r>
          </w:p>
        </w:tc>
        <w:tc>
          <w:tcPr>
            <w:tcW w:w="1110" w:type="pct"/>
            <w:vAlign w:val="center"/>
            <w:hideMark/>
          </w:tcPr>
          <w:p w14:paraId="75F46DAB"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-335 430</w:t>
            </w:r>
          </w:p>
        </w:tc>
        <w:tc>
          <w:tcPr>
            <w:tcW w:w="1037" w:type="pct"/>
            <w:vAlign w:val="center"/>
            <w:hideMark/>
          </w:tcPr>
          <w:p w14:paraId="3D202671"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78 353</w:t>
            </w:r>
          </w:p>
        </w:tc>
        <w:tc>
          <w:tcPr>
            <w:tcW w:w="1158" w:type="pct"/>
            <w:vAlign w:val="center"/>
            <w:hideMark/>
          </w:tcPr>
          <w:p w14:paraId="156F977E"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-257 077</w:t>
            </w:r>
          </w:p>
        </w:tc>
        <w:tc>
          <w:tcPr>
            <w:tcW w:w="1196" w:type="pct"/>
            <w:vMerge/>
            <w:vAlign w:val="center"/>
          </w:tcPr>
          <w:p w14:paraId="75137976" w14:textId="5CFC7ECE"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2D1A7B1B" w14:textId="77777777" w:rsidTr="00B77C3C">
        <w:tc>
          <w:tcPr>
            <w:cnfStyle w:val="001000000000" w:firstRow="0" w:lastRow="0" w:firstColumn="1" w:lastColumn="0" w:oddVBand="0" w:evenVBand="0" w:oddHBand="0" w:evenHBand="0" w:firstRowFirstColumn="0" w:firstRowLastColumn="0" w:lastRowFirstColumn="0" w:lastRowLastColumn="0"/>
            <w:tcW w:w="499" w:type="pct"/>
            <w:hideMark/>
          </w:tcPr>
          <w:p w14:paraId="178BCFC1"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2024</w:t>
            </w:r>
          </w:p>
        </w:tc>
        <w:tc>
          <w:tcPr>
            <w:tcW w:w="1110" w:type="pct"/>
            <w:vAlign w:val="center"/>
            <w:hideMark/>
          </w:tcPr>
          <w:p w14:paraId="69ADD5A9"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-335 765</w:t>
            </w:r>
          </w:p>
        </w:tc>
        <w:tc>
          <w:tcPr>
            <w:tcW w:w="1037" w:type="pct"/>
            <w:vAlign w:val="center"/>
            <w:hideMark/>
          </w:tcPr>
          <w:p w14:paraId="4CEA9739"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78 352</w:t>
            </w:r>
          </w:p>
        </w:tc>
        <w:tc>
          <w:tcPr>
            <w:tcW w:w="1158" w:type="pct"/>
            <w:vAlign w:val="center"/>
            <w:hideMark/>
          </w:tcPr>
          <w:p w14:paraId="5EB855F3"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-257 413</w:t>
            </w:r>
          </w:p>
        </w:tc>
        <w:tc>
          <w:tcPr>
            <w:tcW w:w="1196" w:type="pct"/>
            <w:vMerge/>
            <w:vAlign w:val="center"/>
          </w:tcPr>
          <w:p w14:paraId="60C628DC" w14:textId="5D997D40"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7C4DE180" w14:textId="77777777" w:rsidTr="00B7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hideMark/>
          </w:tcPr>
          <w:p w14:paraId="6BF185F6"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2025</w:t>
            </w:r>
          </w:p>
        </w:tc>
        <w:tc>
          <w:tcPr>
            <w:tcW w:w="1110" w:type="pct"/>
            <w:vAlign w:val="center"/>
            <w:hideMark/>
          </w:tcPr>
          <w:p w14:paraId="2BAD0F53"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-336 100</w:t>
            </w:r>
          </w:p>
        </w:tc>
        <w:tc>
          <w:tcPr>
            <w:tcW w:w="1037" w:type="pct"/>
            <w:vAlign w:val="center"/>
            <w:hideMark/>
          </w:tcPr>
          <w:p w14:paraId="2931BECB"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78 351</w:t>
            </w:r>
          </w:p>
        </w:tc>
        <w:tc>
          <w:tcPr>
            <w:tcW w:w="1158" w:type="pct"/>
            <w:vAlign w:val="center"/>
            <w:hideMark/>
          </w:tcPr>
          <w:p w14:paraId="74712AD7"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-257 749</w:t>
            </w:r>
          </w:p>
        </w:tc>
        <w:tc>
          <w:tcPr>
            <w:tcW w:w="1196" w:type="pct"/>
            <w:vMerge/>
            <w:vAlign w:val="center"/>
          </w:tcPr>
          <w:p w14:paraId="348563AE" w14:textId="6466E6FA"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16B85844" w14:textId="77777777" w:rsidTr="00B77C3C">
        <w:tc>
          <w:tcPr>
            <w:cnfStyle w:val="001000000000" w:firstRow="0" w:lastRow="0" w:firstColumn="1" w:lastColumn="0" w:oddVBand="0" w:evenVBand="0" w:oddHBand="0" w:evenHBand="0" w:firstRowFirstColumn="0" w:firstRowLastColumn="0" w:lastRowFirstColumn="0" w:lastRowLastColumn="0"/>
            <w:tcW w:w="499" w:type="pct"/>
            <w:hideMark/>
          </w:tcPr>
          <w:p w14:paraId="52D0DCCA"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2026</w:t>
            </w:r>
          </w:p>
        </w:tc>
        <w:tc>
          <w:tcPr>
            <w:tcW w:w="1110" w:type="pct"/>
            <w:vAlign w:val="center"/>
            <w:hideMark/>
          </w:tcPr>
          <w:p w14:paraId="31B323CD"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-336 435</w:t>
            </w:r>
          </w:p>
        </w:tc>
        <w:tc>
          <w:tcPr>
            <w:tcW w:w="1037" w:type="pct"/>
            <w:vAlign w:val="center"/>
            <w:hideMark/>
          </w:tcPr>
          <w:p w14:paraId="407130F6"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78 349</w:t>
            </w:r>
          </w:p>
        </w:tc>
        <w:tc>
          <w:tcPr>
            <w:tcW w:w="1158" w:type="pct"/>
            <w:vAlign w:val="center"/>
            <w:hideMark/>
          </w:tcPr>
          <w:p w14:paraId="51701DC4"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-258 086</w:t>
            </w:r>
          </w:p>
        </w:tc>
        <w:tc>
          <w:tcPr>
            <w:tcW w:w="1196" w:type="pct"/>
            <w:vMerge/>
            <w:vAlign w:val="center"/>
          </w:tcPr>
          <w:p w14:paraId="5532BE38" w14:textId="5AB7DFC8"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555C0A3B" w14:textId="77777777" w:rsidTr="00B7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hideMark/>
          </w:tcPr>
          <w:p w14:paraId="391EEE16"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2027</w:t>
            </w:r>
          </w:p>
        </w:tc>
        <w:tc>
          <w:tcPr>
            <w:tcW w:w="1110" w:type="pct"/>
            <w:vAlign w:val="center"/>
            <w:hideMark/>
          </w:tcPr>
          <w:p w14:paraId="72A0A379"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-336 770</w:t>
            </w:r>
          </w:p>
        </w:tc>
        <w:tc>
          <w:tcPr>
            <w:tcW w:w="1037" w:type="pct"/>
            <w:vAlign w:val="center"/>
            <w:hideMark/>
          </w:tcPr>
          <w:p w14:paraId="17AC3EDD"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78 348</w:t>
            </w:r>
          </w:p>
        </w:tc>
        <w:tc>
          <w:tcPr>
            <w:tcW w:w="1158" w:type="pct"/>
            <w:vAlign w:val="center"/>
            <w:hideMark/>
          </w:tcPr>
          <w:p w14:paraId="45F458F6"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-258 422</w:t>
            </w:r>
          </w:p>
        </w:tc>
        <w:tc>
          <w:tcPr>
            <w:tcW w:w="1196" w:type="pct"/>
            <w:vMerge/>
            <w:vAlign w:val="center"/>
          </w:tcPr>
          <w:p w14:paraId="4A05A371" w14:textId="5B10E920"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3C5BDAD4" w14:textId="77777777" w:rsidTr="00B77C3C">
        <w:tc>
          <w:tcPr>
            <w:cnfStyle w:val="001000000000" w:firstRow="0" w:lastRow="0" w:firstColumn="1" w:lastColumn="0" w:oddVBand="0" w:evenVBand="0" w:oddHBand="0" w:evenHBand="0" w:firstRowFirstColumn="0" w:firstRowLastColumn="0" w:lastRowFirstColumn="0" w:lastRowLastColumn="0"/>
            <w:tcW w:w="499" w:type="pct"/>
            <w:hideMark/>
          </w:tcPr>
          <w:p w14:paraId="47014DA7"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2028</w:t>
            </w:r>
          </w:p>
        </w:tc>
        <w:tc>
          <w:tcPr>
            <w:tcW w:w="1110" w:type="pct"/>
            <w:vAlign w:val="center"/>
            <w:hideMark/>
          </w:tcPr>
          <w:p w14:paraId="180CDFCE"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-337 105</w:t>
            </w:r>
          </w:p>
        </w:tc>
        <w:tc>
          <w:tcPr>
            <w:tcW w:w="1037" w:type="pct"/>
            <w:vAlign w:val="center"/>
            <w:hideMark/>
          </w:tcPr>
          <w:p w14:paraId="40F29709"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78 347</w:t>
            </w:r>
          </w:p>
        </w:tc>
        <w:tc>
          <w:tcPr>
            <w:tcW w:w="1158" w:type="pct"/>
            <w:vAlign w:val="center"/>
            <w:hideMark/>
          </w:tcPr>
          <w:p w14:paraId="35990CC3"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-258 758</w:t>
            </w:r>
          </w:p>
        </w:tc>
        <w:tc>
          <w:tcPr>
            <w:tcW w:w="1196" w:type="pct"/>
            <w:vMerge/>
            <w:vAlign w:val="center"/>
          </w:tcPr>
          <w:p w14:paraId="4B8B5C2C" w14:textId="32CC58ED"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5C6AFB8B" w14:textId="77777777" w:rsidTr="00B7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hideMark/>
          </w:tcPr>
          <w:p w14:paraId="2AE6BE80"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2029</w:t>
            </w:r>
          </w:p>
        </w:tc>
        <w:tc>
          <w:tcPr>
            <w:tcW w:w="1110" w:type="pct"/>
            <w:vAlign w:val="center"/>
            <w:hideMark/>
          </w:tcPr>
          <w:p w14:paraId="7126F2EA"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-337 440</w:t>
            </w:r>
          </w:p>
        </w:tc>
        <w:tc>
          <w:tcPr>
            <w:tcW w:w="1037" w:type="pct"/>
            <w:vAlign w:val="center"/>
            <w:hideMark/>
          </w:tcPr>
          <w:p w14:paraId="7E41E09B"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78 346</w:t>
            </w:r>
          </w:p>
        </w:tc>
        <w:tc>
          <w:tcPr>
            <w:tcW w:w="1158" w:type="pct"/>
            <w:vAlign w:val="center"/>
            <w:hideMark/>
          </w:tcPr>
          <w:p w14:paraId="4052A633" w14:textId="77777777"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-259 094</w:t>
            </w:r>
          </w:p>
        </w:tc>
        <w:tc>
          <w:tcPr>
            <w:tcW w:w="1196" w:type="pct"/>
            <w:vMerge/>
            <w:vAlign w:val="center"/>
          </w:tcPr>
          <w:p w14:paraId="3DBED12A" w14:textId="647C4FF1" w:rsidR="00A40B21" w:rsidRPr="007C60D4" w:rsidRDefault="00A40B21"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p>
        </w:tc>
      </w:tr>
      <w:tr w:rsidR="00A40B21" w:rsidRPr="007C60D4" w14:paraId="4C933C91" w14:textId="77777777" w:rsidTr="00B77C3C">
        <w:tc>
          <w:tcPr>
            <w:cnfStyle w:val="001000000000" w:firstRow="0" w:lastRow="0" w:firstColumn="1" w:lastColumn="0" w:oddVBand="0" w:evenVBand="0" w:oddHBand="0" w:evenHBand="0" w:firstRowFirstColumn="0" w:firstRowLastColumn="0" w:lastRowFirstColumn="0" w:lastRowLastColumn="0"/>
            <w:tcW w:w="499" w:type="pct"/>
            <w:hideMark/>
          </w:tcPr>
          <w:p w14:paraId="0F40E1AF" w14:textId="77777777" w:rsidR="00A40B21" w:rsidRPr="007C60D4" w:rsidRDefault="00A40B21" w:rsidP="00B54200">
            <w:pPr>
              <w:jc w:val="right"/>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2030</w:t>
            </w:r>
          </w:p>
        </w:tc>
        <w:tc>
          <w:tcPr>
            <w:tcW w:w="1110" w:type="pct"/>
            <w:vAlign w:val="center"/>
            <w:hideMark/>
          </w:tcPr>
          <w:p w14:paraId="471EB66A"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-337 775</w:t>
            </w:r>
          </w:p>
        </w:tc>
        <w:tc>
          <w:tcPr>
            <w:tcW w:w="1037" w:type="pct"/>
            <w:vAlign w:val="center"/>
            <w:hideMark/>
          </w:tcPr>
          <w:p w14:paraId="0048D10F"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78 345</w:t>
            </w:r>
          </w:p>
        </w:tc>
        <w:tc>
          <w:tcPr>
            <w:tcW w:w="1158" w:type="pct"/>
            <w:vAlign w:val="center"/>
            <w:hideMark/>
          </w:tcPr>
          <w:p w14:paraId="0488EA0B" w14:textId="77777777"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r w:rsidRPr="007C60D4">
              <w:rPr>
                <w:rFonts w:asciiTheme="minorHAnsi" w:eastAsia="Times New Roman" w:hAnsiTheme="minorHAnsi" w:cstheme="minorHAnsi"/>
                <w:sz w:val="20"/>
                <w:szCs w:val="20"/>
                <w:lang w:eastAsia="fr-FR"/>
              </w:rPr>
              <w:t>-259 430</w:t>
            </w:r>
          </w:p>
        </w:tc>
        <w:tc>
          <w:tcPr>
            <w:tcW w:w="1196" w:type="pct"/>
            <w:vMerge/>
            <w:vAlign w:val="center"/>
          </w:tcPr>
          <w:p w14:paraId="13876751" w14:textId="1013B435" w:rsidR="00A40B21" w:rsidRPr="007C60D4" w:rsidRDefault="00A40B21"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p>
        </w:tc>
      </w:tr>
      <w:tr w:rsidR="00B77C3C" w:rsidRPr="007C60D4" w14:paraId="2B1728F2" w14:textId="77777777" w:rsidTr="00B7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hideMark/>
          </w:tcPr>
          <w:p w14:paraId="47876BCB" w14:textId="77777777" w:rsidR="00B77C3C" w:rsidRPr="007C60D4" w:rsidRDefault="00B77C3C" w:rsidP="00B54200">
            <w:pPr>
              <w:jc w:val="right"/>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lastRenderedPageBreak/>
              <w:t>2031</w:t>
            </w:r>
          </w:p>
        </w:tc>
        <w:tc>
          <w:tcPr>
            <w:tcW w:w="1110" w:type="pct"/>
            <w:vAlign w:val="center"/>
            <w:hideMark/>
          </w:tcPr>
          <w:p w14:paraId="313F1620" w14:textId="77777777" w:rsidR="00B77C3C" w:rsidRPr="007C60D4" w:rsidRDefault="00B77C3C"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-338 110</w:t>
            </w:r>
          </w:p>
        </w:tc>
        <w:tc>
          <w:tcPr>
            <w:tcW w:w="1037" w:type="pct"/>
            <w:vAlign w:val="center"/>
            <w:hideMark/>
          </w:tcPr>
          <w:p w14:paraId="5C40991F" w14:textId="77777777" w:rsidR="00B77C3C" w:rsidRPr="007C60D4" w:rsidRDefault="00B77C3C"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78 344</w:t>
            </w:r>
          </w:p>
        </w:tc>
        <w:tc>
          <w:tcPr>
            <w:tcW w:w="1158" w:type="pct"/>
            <w:vAlign w:val="center"/>
            <w:hideMark/>
          </w:tcPr>
          <w:p w14:paraId="353F2FC0" w14:textId="77777777" w:rsidR="00B77C3C" w:rsidRPr="007C60D4" w:rsidRDefault="00B77C3C"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-259 766</w:t>
            </w:r>
          </w:p>
        </w:tc>
        <w:tc>
          <w:tcPr>
            <w:tcW w:w="1196" w:type="pct"/>
            <w:vMerge w:val="restart"/>
            <w:vAlign w:val="center"/>
            <w:hideMark/>
          </w:tcPr>
          <w:p w14:paraId="5417AB65" w14:textId="77777777" w:rsidR="00B77C3C" w:rsidRPr="007C60D4" w:rsidRDefault="00B77C3C"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Extrapolation</w:t>
            </w:r>
          </w:p>
        </w:tc>
      </w:tr>
      <w:tr w:rsidR="00B77C3C" w:rsidRPr="007C60D4" w14:paraId="649D942C" w14:textId="77777777" w:rsidTr="00B77C3C">
        <w:tc>
          <w:tcPr>
            <w:cnfStyle w:val="001000000000" w:firstRow="0" w:lastRow="0" w:firstColumn="1" w:lastColumn="0" w:oddVBand="0" w:evenVBand="0" w:oddHBand="0" w:evenHBand="0" w:firstRowFirstColumn="0" w:firstRowLastColumn="0" w:lastRowFirstColumn="0" w:lastRowLastColumn="0"/>
            <w:tcW w:w="499" w:type="pct"/>
            <w:hideMark/>
          </w:tcPr>
          <w:p w14:paraId="328A8AEE" w14:textId="77777777" w:rsidR="00B77C3C" w:rsidRPr="007C60D4" w:rsidRDefault="00B77C3C" w:rsidP="00B54200">
            <w:pPr>
              <w:jc w:val="right"/>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2032</w:t>
            </w:r>
          </w:p>
        </w:tc>
        <w:tc>
          <w:tcPr>
            <w:tcW w:w="1110" w:type="pct"/>
            <w:vAlign w:val="center"/>
            <w:hideMark/>
          </w:tcPr>
          <w:p w14:paraId="08009D16" w14:textId="77777777" w:rsidR="00B77C3C" w:rsidRPr="007C60D4" w:rsidRDefault="00B77C3C"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-338 445</w:t>
            </w:r>
          </w:p>
        </w:tc>
        <w:tc>
          <w:tcPr>
            <w:tcW w:w="1037" w:type="pct"/>
            <w:vAlign w:val="center"/>
            <w:hideMark/>
          </w:tcPr>
          <w:p w14:paraId="1A97198E" w14:textId="77777777" w:rsidR="00B77C3C" w:rsidRPr="007C60D4" w:rsidRDefault="00B77C3C"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78 343</w:t>
            </w:r>
          </w:p>
        </w:tc>
        <w:tc>
          <w:tcPr>
            <w:tcW w:w="1158" w:type="pct"/>
            <w:vAlign w:val="center"/>
            <w:hideMark/>
          </w:tcPr>
          <w:p w14:paraId="31BC17C8" w14:textId="77777777" w:rsidR="00B77C3C" w:rsidRPr="007C60D4" w:rsidRDefault="00B77C3C"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-260 102</w:t>
            </w:r>
          </w:p>
        </w:tc>
        <w:tc>
          <w:tcPr>
            <w:tcW w:w="1196" w:type="pct"/>
            <w:vMerge/>
            <w:vAlign w:val="center"/>
          </w:tcPr>
          <w:p w14:paraId="17E91A2B" w14:textId="5EF51F0F" w:rsidR="00B77C3C" w:rsidRPr="007C60D4" w:rsidRDefault="00B77C3C"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p>
        </w:tc>
      </w:tr>
      <w:tr w:rsidR="00B77C3C" w:rsidRPr="007C60D4" w14:paraId="35CED3BD" w14:textId="77777777" w:rsidTr="00B7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hideMark/>
          </w:tcPr>
          <w:p w14:paraId="0C4A50CD" w14:textId="77777777" w:rsidR="00B77C3C" w:rsidRPr="007C60D4" w:rsidRDefault="00B77C3C" w:rsidP="00B54200">
            <w:pPr>
              <w:jc w:val="right"/>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2033</w:t>
            </w:r>
          </w:p>
        </w:tc>
        <w:tc>
          <w:tcPr>
            <w:tcW w:w="1110" w:type="pct"/>
            <w:vAlign w:val="center"/>
            <w:hideMark/>
          </w:tcPr>
          <w:p w14:paraId="1A0A82C5" w14:textId="77777777" w:rsidR="00B77C3C" w:rsidRPr="007C60D4" w:rsidRDefault="00B77C3C"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-338 780</w:t>
            </w:r>
          </w:p>
        </w:tc>
        <w:tc>
          <w:tcPr>
            <w:tcW w:w="1037" w:type="pct"/>
            <w:vAlign w:val="center"/>
            <w:hideMark/>
          </w:tcPr>
          <w:p w14:paraId="20477F2F" w14:textId="77777777" w:rsidR="00B77C3C" w:rsidRPr="007C60D4" w:rsidRDefault="00B77C3C"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78 342</w:t>
            </w:r>
          </w:p>
        </w:tc>
        <w:tc>
          <w:tcPr>
            <w:tcW w:w="1158" w:type="pct"/>
            <w:vAlign w:val="center"/>
            <w:hideMark/>
          </w:tcPr>
          <w:p w14:paraId="71E6E9B7" w14:textId="77777777" w:rsidR="00B77C3C" w:rsidRPr="007C60D4" w:rsidRDefault="00B77C3C"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-260 438</w:t>
            </w:r>
          </w:p>
        </w:tc>
        <w:tc>
          <w:tcPr>
            <w:tcW w:w="1196" w:type="pct"/>
            <w:vMerge/>
            <w:vAlign w:val="center"/>
          </w:tcPr>
          <w:p w14:paraId="42A101CC" w14:textId="7CB55910" w:rsidR="00B77C3C" w:rsidRPr="007C60D4" w:rsidRDefault="00B77C3C"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p>
        </w:tc>
      </w:tr>
      <w:tr w:rsidR="00B77C3C" w:rsidRPr="007C60D4" w14:paraId="36352E38" w14:textId="77777777" w:rsidTr="00B77C3C">
        <w:tc>
          <w:tcPr>
            <w:cnfStyle w:val="001000000000" w:firstRow="0" w:lastRow="0" w:firstColumn="1" w:lastColumn="0" w:oddVBand="0" w:evenVBand="0" w:oddHBand="0" w:evenHBand="0" w:firstRowFirstColumn="0" w:firstRowLastColumn="0" w:lastRowFirstColumn="0" w:lastRowLastColumn="0"/>
            <w:tcW w:w="499" w:type="pct"/>
            <w:hideMark/>
          </w:tcPr>
          <w:p w14:paraId="5A9DD153" w14:textId="77777777" w:rsidR="00B77C3C" w:rsidRPr="007C60D4" w:rsidRDefault="00B77C3C" w:rsidP="00B54200">
            <w:pPr>
              <w:jc w:val="right"/>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2034</w:t>
            </w:r>
          </w:p>
        </w:tc>
        <w:tc>
          <w:tcPr>
            <w:tcW w:w="1110" w:type="pct"/>
            <w:vAlign w:val="center"/>
            <w:hideMark/>
          </w:tcPr>
          <w:p w14:paraId="73744AEB" w14:textId="77777777" w:rsidR="00B77C3C" w:rsidRPr="007C60D4" w:rsidRDefault="00B77C3C"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-339 115</w:t>
            </w:r>
          </w:p>
        </w:tc>
        <w:tc>
          <w:tcPr>
            <w:tcW w:w="1037" w:type="pct"/>
            <w:vAlign w:val="center"/>
            <w:hideMark/>
          </w:tcPr>
          <w:p w14:paraId="4F6B1D8B" w14:textId="77777777" w:rsidR="00B77C3C" w:rsidRPr="007C60D4" w:rsidRDefault="00B77C3C"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78 341</w:t>
            </w:r>
          </w:p>
        </w:tc>
        <w:tc>
          <w:tcPr>
            <w:tcW w:w="1158" w:type="pct"/>
            <w:vAlign w:val="center"/>
            <w:hideMark/>
          </w:tcPr>
          <w:p w14:paraId="5B594738" w14:textId="77777777" w:rsidR="00B77C3C" w:rsidRPr="007C60D4" w:rsidRDefault="00B77C3C"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-260 774</w:t>
            </w:r>
          </w:p>
        </w:tc>
        <w:tc>
          <w:tcPr>
            <w:tcW w:w="1196" w:type="pct"/>
            <w:vMerge/>
            <w:vAlign w:val="center"/>
          </w:tcPr>
          <w:p w14:paraId="0B0E1480" w14:textId="5426BA1D" w:rsidR="00B77C3C" w:rsidRPr="007C60D4" w:rsidRDefault="00B77C3C" w:rsidP="00A40B21">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fr-FR"/>
              </w:rPr>
            </w:pPr>
          </w:p>
        </w:tc>
      </w:tr>
      <w:tr w:rsidR="00B77C3C" w:rsidRPr="007C60D4" w14:paraId="7BAB6EA6" w14:textId="77777777" w:rsidTr="00B7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 w:type="pct"/>
            <w:hideMark/>
          </w:tcPr>
          <w:p w14:paraId="313AEB44" w14:textId="77777777" w:rsidR="00B77C3C" w:rsidRPr="007C60D4" w:rsidRDefault="00B77C3C" w:rsidP="00B54200">
            <w:pPr>
              <w:jc w:val="right"/>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2035</w:t>
            </w:r>
          </w:p>
        </w:tc>
        <w:tc>
          <w:tcPr>
            <w:tcW w:w="1110" w:type="pct"/>
            <w:vAlign w:val="center"/>
            <w:hideMark/>
          </w:tcPr>
          <w:p w14:paraId="3C607023" w14:textId="77777777" w:rsidR="00B77C3C" w:rsidRPr="007C60D4" w:rsidRDefault="00B77C3C"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-339 450</w:t>
            </w:r>
          </w:p>
        </w:tc>
        <w:tc>
          <w:tcPr>
            <w:tcW w:w="1037" w:type="pct"/>
            <w:vAlign w:val="center"/>
            <w:hideMark/>
          </w:tcPr>
          <w:p w14:paraId="5ABABFC9" w14:textId="77777777" w:rsidR="00B77C3C" w:rsidRPr="007C60D4" w:rsidRDefault="00B77C3C"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78 340</w:t>
            </w:r>
          </w:p>
        </w:tc>
        <w:tc>
          <w:tcPr>
            <w:tcW w:w="1158" w:type="pct"/>
            <w:vAlign w:val="center"/>
            <w:hideMark/>
          </w:tcPr>
          <w:p w14:paraId="495C7063" w14:textId="77777777" w:rsidR="00B77C3C" w:rsidRPr="007C60D4" w:rsidRDefault="00B77C3C"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7F7F7F" w:themeColor="text1" w:themeTint="80"/>
                <w:sz w:val="20"/>
                <w:szCs w:val="20"/>
                <w:lang w:eastAsia="fr-FR"/>
              </w:rPr>
            </w:pPr>
            <w:r w:rsidRPr="007C60D4">
              <w:rPr>
                <w:rFonts w:asciiTheme="minorHAnsi" w:eastAsia="Times New Roman" w:hAnsiTheme="minorHAnsi" w:cstheme="minorHAnsi"/>
                <w:color w:val="7F7F7F" w:themeColor="text1" w:themeTint="80"/>
                <w:sz w:val="20"/>
                <w:szCs w:val="20"/>
                <w:lang w:eastAsia="fr-FR"/>
              </w:rPr>
              <w:t>-261 110</w:t>
            </w:r>
          </w:p>
        </w:tc>
        <w:tc>
          <w:tcPr>
            <w:tcW w:w="1196" w:type="pct"/>
            <w:vMerge/>
            <w:vAlign w:val="center"/>
          </w:tcPr>
          <w:p w14:paraId="7A507528" w14:textId="6CBEDBC0" w:rsidR="00B77C3C" w:rsidRPr="007C60D4" w:rsidRDefault="00B77C3C" w:rsidP="00A40B21">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eastAsia="fr-FR"/>
              </w:rPr>
            </w:pPr>
          </w:p>
        </w:tc>
      </w:tr>
    </w:tbl>
    <w:p w14:paraId="0E5E30FA" w14:textId="209BE0CA" w:rsidR="006030EE" w:rsidRDefault="00A60248" w:rsidP="00DB4275">
      <w:pPr>
        <w:spacing w:before="240" w:after="0"/>
        <w:jc w:val="both"/>
      </w:pPr>
      <w:r w:rsidRPr="00A60248">
        <w:t>La figure ci-dessous présente l’évolution de la ligne de base du secteur des forêts sur la période 2026</w:t>
      </w:r>
      <w:r w:rsidR="000E6FB3">
        <w:t>-</w:t>
      </w:r>
      <w:r w:rsidRPr="00A60248">
        <w:t>2035. Cette trajectoire correspond à l’évolution projetée des émissions nettes de CO₂, retenues comme référence pour le secteur.</w:t>
      </w:r>
    </w:p>
    <w:p w14:paraId="6C49F94A" w14:textId="77777777" w:rsidR="00A60248" w:rsidRDefault="005559ED" w:rsidP="00A60248">
      <w:pPr>
        <w:keepNext/>
        <w:spacing w:before="240" w:after="0"/>
        <w:jc w:val="both"/>
      </w:pPr>
      <w:r>
        <w:rPr>
          <w:noProof/>
        </w:rPr>
        <w:drawing>
          <wp:inline distT="0" distB="0" distL="0" distR="0" wp14:anchorId="37F33C8B" wp14:editId="2378A696">
            <wp:extent cx="5980430" cy="2407285"/>
            <wp:effectExtent l="0" t="0" r="1270" b="12065"/>
            <wp:docPr id="1149536585" name="Graphique 1">
              <a:extLst xmlns:a="http://schemas.openxmlformats.org/drawingml/2006/main">
                <a:ext uri="{FF2B5EF4-FFF2-40B4-BE49-F238E27FC236}">
                  <a16:creationId xmlns:a16="http://schemas.microsoft.com/office/drawing/2014/main" id="{BAA18CCD-72A2-4B40-9B0A-A5C931D1F8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1BB2688" w14:textId="38AC4655" w:rsidR="005559ED" w:rsidRPr="00516590" w:rsidRDefault="00A60248" w:rsidP="00443A9C">
      <w:pPr>
        <w:pStyle w:val="Lgende"/>
        <w:spacing w:before="240"/>
        <w:jc w:val="center"/>
        <w:rPr>
          <w:sz w:val="22"/>
          <w:szCs w:val="22"/>
        </w:rPr>
      </w:pPr>
      <w:bookmarkStart w:id="67" w:name="_Toc234853919"/>
      <w:r w:rsidRPr="00516590">
        <w:rPr>
          <w:sz w:val="22"/>
          <w:szCs w:val="22"/>
        </w:rPr>
        <w:t xml:space="preserve">Figure </w:t>
      </w:r>
      <w:r w:rsidRPr="00516590">
        <w:rPr>
          <w:sz w:val="22"/>
          <w:szCs w:val="22"/>
        </w:rPr>
        <w:fldChar w:fldCharType="begin"/>
      </w:r>
      <w:r>
        <w:instrText xml:space="preserve"> SEQ Figure \* ARABIC </w:instrText>
      </w:r>
      <w:r w:rsidRPr="00516590">
        <w:rPr>
          <w:sz w:val="22"/>
          <w:szCs w:val="22"/>
        </w:rPr>
        <w:fldChar w:fldCharType="separate"/>
      </w:r>
      <w:r w:rsidR="004D5580">
        <w:rPr>
          <w:noProof/>
        </w:rPr>
        <w:t>9</w:t>
      </w:r>
      <w:r w:rsidRPr="00516590">
        <w:rPr>
          <w:sz w:val="22"/>
          <w:szCs w:val="22"/>
        </w:rPr>
        <w:fldChar w:fldCharType="end"/>
      </w:r>
      <w:r w:rsidRPr="00516590">
        <w:rPr>
          <w:sz w:val="22"/>
          <w:szCs w:val="22"/>
        </w:rPr>
        <w:t> :</w:t>
      </w:r>
      <w:r w:rsidR="00516590" w:rsidRPr="00516590">
        <w:rPr>
          <w:sz w:val="22"/>
          <w:szCs w:val="22"/>
        </w:rPr>
        <w:t xml:space="preserve"> Ligne de base du secteur des forêts sur la période 2026</w:t>
      </w:r>
      <w:r w:rsidR="000E6FB3">
        <w:rPr>
          <w:sz w:val="22"/>
          <w:szCs w:val="22"/>
        </w:rPr>
        <w:t>-</w:t>
      </w:r>
      <w:r w:rsidR="00516590" w:rsidRPr="00516590">
        <w:rPr>
          <w:sz w:val="22"/>
          <w:szCs w:val="22"/>
        </w:rPr>
        <w:t>2035</w:t>
      </w:r>
      <w:bookmarkEnd w:id="67"/>
    </w:p>
    <w:p w14:paraId="14038C80" w14:textId="04BA1D7B" w:rsidR="001F64BE" w:rsidRDefault="001F64BE" w:rsidP="002C3767">
      <w:pPr>
        <w:pStyle w:val="Titre3"/>
        <w:numPr>
          <w:ilvl w:val="2"/>
          <w:numId w:val="21"/>
        </w:numPr>
      </w:pPr>
      <w:bookmarkStart w:id="68" w:name="_Toc234853878"/>
      <w:r w:rsidRPr="001F64BE">
        <w:t>Scénarios d'atténuation</w:t>
      </w:r>
      <w:bookmarkEnd w:id="68"/>
    </w:p>
    <w:p w14:paraId="757F9838" w14:textId="77777777" w:rsidR="007E1E8E" w:rsidRDefault="007E1E8E" w:rsidP="007E1E8E">
      <w:pPr>
        <w:spacing w:before="240"/>
        <w:jc w:val="both"/>
      </w:pPr>
      <w:r w:rsidRPr="007E1E8E">
        <w:t xml:space="preserve">Les impacts d’atténuation des mesures du secteur des forêts ont été estimés à l’aide de l’outil </w:t>
      </w:r>
      <w:r w:rsidRPr="007E1E8E">
        <w:rPr>
          <w:b/>
          <w:bCs/>
        </w:rPr>
        <w:t>EX-ACT</w:t>
      </w:r>
      <w:r w:rsidRPr="007E1E8E">
        <w:t xml:space="preserve"> de la FAO, dans sa version de référence </w:t>
      </w:r>
      <w:r w:rsidRPr="007E1E8E">
        <w:rPr>
          <w:b/>
          <w:bCs/>
        </w:rPr>
        <w:t>EX-ACT v.9</w:t>
      </w:r>
      <w:r w:rsidRPr="007E1E8E">
        <w:t>. Cet outil permet d’évaluer les effets des projets agricoles, forestiers et d’utilisation des terres sur les émissions de GES et les variations de stocks de carbone. Il est adapté aux interventions du secteur AFOLU, notamment les actions de reboisement, de restauration des terres, d’agroforesterie et de gestion durable des ressources naturelles.</w:t>
      </w:r>
    </w:p>
    <w:p w14:paraId="5D9CDEBA" w14:textId="77777777" w:rsidR="009B1965" w:rsidRDefault="009B1965" w:rsidP="009B1965">
      <w:pPr>
        <w:spacing w:before="240"/>
        <w:jc w:val="both"/>
      </w:pPr>
      <w:r w:rsidRPr="009B1965">
        <w:t xml:space="preserve">Les résultats sont présentés en séquestration annuelle, exprimée en </w:t>
      </w:r>
      <w:r w:rsidRPr="009B1965">
        <w:rPr>
          <w:b/>
          <w:bCs/>
        </w:rPr>
        <w:t>ktCO₂e/an</w:t>
      </w:r>
      <w:r w:rsidRPr="009B1965">
        <w:t>, pour chaque mesure retenue dans le portefeuille forestier. Les valeurs négatives correspondent à des absorptions additionnelles de CO₂ par rapport à la ligne de base.</w:t>
      </w:r>
    </w:p>
    <w:p w14:paraId="536F6B5B" w14:textId="05324635" w:rsidR="005029F8" w:rsidRPr="00CD68E6" w:rsidRDefault="005029F8" w:rsidP="00CE061C">
      <w:pPr>
        <w:pStyle w:val="Lgende"/>
        <w:keepNext/>
        <w:spacing w:after="0"/>
        <w:rPr>
          <w:i w:val="0"/>
          <w:iCs w:val="0"/>
          <w:sz w:val="20"/>
          <w:szCs w:val="20"/>
        </w:rPr>
      </w:pPr>
      <w:bookmarkStart w:id="69" w:name="_Toc234853950"/>
      <w:r w:rsidRPr="00CD68E6">
        <w:rPr>
          <w:i w:val="0"/>
          <w:iCs w:val="0"/>
          <w:sz w:val="20"/>
          <w:szCs w:val="20"/>
        </w:rPr>
        <w:t xml:space="preserve">Tableau </w:t>
      </w:r>
      <w:r w:rsidRPr="00CD68E6">
        <w:rPr>
          <w:i w:val="0"/>
          <w:iCs w:val="0"/>
          <w:sz w:val="20"/>
          <w:szCs w:val="20"/>
        </w:rPr>
        <w:fldChar w:fldCharType="begin"/>
      </w:r>
      <w:r w:rsidRPr="00CD68E6">
        <w:rPr>
          <w:i w:val="0"/>
          <w:iCs w:val="0"/>
          <w:sz w:val="20"/>
          <w:szCs w:val="20"/>
        </w:rPr>
        <w:instrText xml:space="preserve"> SEQ Tableau \* ARABIC </w:instrText>
      </w:r>
      <w:r w:rsidRPr="00CD68E6">
        <w:rPr>
          <w:i w:val="0"/>
          <w:iCs w:val="0"/>
          <w:sz w:val="20"/>
          <w:szCs w:val="20"/>
        </w:rPr>
        <w:fldChar w:fldCharType="separate"/>
      </w:r>
      <w:r w:rsidR="0018772E">
        <w:rPr>
          <w:i w:val="0"/>
          <w:iCs w:val="0"/>
          <w:noProof/>
          <w:sz w:val="20"/>
          <w:szCs w:val="20"/>
        </w:rPr>
        <w:t>26</w:t>
      </w:r>
      <w:r w:rsidRPr="00CD68E6">
        <w:rPr>
          <w:i w:val="0"/>
          <w:iCs w:val="0"/>
          <w:sz w:val="20"/>
          <w:szCs w:val="20"/>
        </w:rPr>
        <w:fldChar w:fldCharType="end"/>
      </w:r>
      <w:r w:rsidRPr="00CD68E6">
        <w:rPr>
          <w:i w:val="0"/>
          <w:iCs w:val="0"/>
          <w:sz w:val="20"/>
          <w:szCs w:val="20"/>
        </w:rPr>
        <w:t xml:space="preserve"> : </w:t>
      </w:r>
      <w:r w:rsidR="00CE061C" w:rsidRPr="00CD68E6">
        <w:rPr>
          <w:i w:val="0"/>
          <w:iCs w:val="0"/>
          <w:sz w:val="20"/>
          <w:szCs w:val="20"/>
        </w:rPr>
        <w:t>Séquestration annuelle estimée par mesure du secteur des forêts</w:t>
      </w:r>
      <w:r w:rsidR="002C40D3" w:rsidRPr="00CD68E6">
        <w:rPr>
          <w:i w:val="0"/>
          <w:iCs w:val="0"/>
          <w:sz w:val="20"/>
          <w:szCs w:val="20"/>
        </w:rPr>
        <w:t xml:space="preserve"> en KtCO</w:t>
      </w:r>
      <w:r w:rsidR="002C40D3" w:rsidRPr="00CD68E6">
        <w:rPr>
          <w:i w:val="0"/>
          <w:iCs w:val="0"/>
          <w:sz w:val="20"/>
          <w:szCs w:val="20"/>
          <w:vertAlign w:val="subscript"/>
        </w:rPr>
        <w:t>2</w:t>
      </w:r>
      <w:r w:rsidR="002C40D3" w:rsidRPr="00CD68E6">
        <w:rPr>
          <w:i w:val="0"/>
          <w:iCs w:val="0"/>
          <w:sz w:val="20"/>
          <w:szCs w:val="20"/>
        </w:rPr>
        <w:t>eq</w:t>
      </w:r>
      <w:r w:rsidR="00CE061C" w:rsidRPr="00CD68E6">
        <w:rPr>
          <w:i w:val="0"/>
          <w:iCs w:val="0"/>
          <w:sz w:val="20"/>
          <w:szCs w:val="20"/>
        </w:rPr>
        <w:t>, 2026</w:t>
      </w:r>
      <w:r w:rsidR="000E6FB3" w:rsidRPr="00CD68E6">
        <w:rPr>
          <w:i w:val="0"/>
          <w:iCs w:val="0"/>
          <w:sz w:val="20"/>
          <w:szCs w:val="20"/>
        </w:rPr>
        <w:t>-</w:t>
      </w:r>
      <w:r w:rsidR="00CE061C" w:rsidRPr="00CD68E6">
        <w:rPr>
          <w:i w:val="0"/>
          <w:iCs w:val="0"/>
          <w:sz w:val="20"/>
          <w:szCs w:val="20"/>
        </w:rPr>
        <w:t>2035</w:t>
      </w:r>
      <w:bookmarkEnd w:id="69"/>
    </w:p>
    <w:tbl>
      <w:tblPr>
        <w:tblStyle w:val="Tableausimple2"/>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276"/>
        <w:gridCol w:w="744"/>
        <w:gridCol w:w="745"/>
        <w:gridCol w:w="745"/>
        <w:gridCol w:w="746"/>
        <w:gridCol w:w="745"/>
        <w:gridCol w:w="745"/>
        <w:gridCol w:w="830"/>
        <w:gridCol w:w="830"/>
        <w:gridCol w:w="830"/>
        <w:gridCol w:w="830"/>
      </w:tblGrid>
      <w:tr w:rsidR="00851511" w:rsidRPr="00BF11CB" w14:paraId="02BB7468" w14:textId="77777777" w:rsidTr="0008510B">
        <w:trPr>
          <w:cnfStyle w:val="100000000000" w:firstRow="1" w:lastRow="0" w:firstColumn="0" w:lastColumn="0" w:oddVBand="0" w:evenVBand="0" w:oddHBand="0" w:evenHBand="0" w:firstRowFirstColumn="0" w:firstRowLastColumn="0" w:lastRowFirstColumn="0" w:lastRowLastColumn="0"/>
          <w:trHeight w:val="567"/>
          <w:tblHeader/>
        </w:trPr>
        <w:tc>
          <w:tcPr>
            <w:cnfStyle w:val="001000000000" w:firstRow="0" w:lastRow="0" w:firstColumn="1" w:lastColumn="0" w:oddVBand="0" w:evenVBand="0" w:oddHBand="0" w:evenHBand="0" w:firstRowFirstColumn="0" w:firstRowLastColumn="0" w:lastRowFirstColumn="0" w:lastRowLastColumn="0"/>
            <w:tcW w:w="566" w:type="dxa"/>
            <w:shd w:val="clear" w:color="auto" w:fill="1F4E79" w:themeFill="accent1" w:themeFillShade="80"/>
            <w:vAlign w:val="center"/>
            <w:hideMark/>
          </w:tcPr>
          <w:p w14:paraId="1E5A6DC8" w14:textId="63944C3C" w:rsidR="00851511" w:rsidRPr="00BF11CB" w:rsidRDefault="00851511" w:rsidP="00F02087">
            <w:pPr>
              <w:spacing w:line="259" w:lineRule="auto"/>
              <w:rPr>
                <w:rFonts w:asciiTheme="minorHAnsi" w:hAnsiTheme="minorHAnsi" w:cstheme="minorHAnsi"/>
                <w:color w:val="FFFFFF" w:themeColor="background1"/>
                <w:sz w:val="18"/>
                <w:szCs w:val="18"/>
              </w:rPr>
            </w:pPr>
            <w:r w:rsidRPr="00BF11CB">
              <w:rPr>
                <w:rFonts w:asciiTheme="minorHAnsi" w:hAnsiTheme="minorHAnsi" w:cstheme="minorHAnsi"/>
                <w:color w:val="FFFFFF" w:themeColor="background1"/>
                <w:sz w:val="18"/>
                <w:szCs w:val="18"/>
              </w:rPr>
              <w:t xml:space="preserve">N° </w:t>
            </w:r>
          </w:p>
        </w:tc>
        <w:tc>
          <w:tcPr>
            <w:tcW w:w="2276" w:type="dxa"/>
            <w:shd w:val="clear" w:color="auto" w:fill="1F4E79" w:themeFill="accent1" w:themeFillShade="80"/>
            <w:vAlign w:val="center"/>
            <w:hideMark/>
          </w:tcPr>
          <w:p w14:paraId="0E325072" w14:textId="41463187" w:rsidR="00851511" w:rsidRPr="00BF11CB" w:rsidRDefault="00851511" w:rsidP="00F02087">
            <w:pPr>
              <w:spacing w:line="259"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BF11CB">
              <w:rPr>
                <w:rFonts w:asciiTheme="minorHAnsi" w:hAnsiTheme="minorHAnsi" w:cstheme="minorHAnsi"/>
                <w:color w:val="FFFFFF" w:themeColor="background1"/>
                <w:sz w:val="18"/>
                <w:szCs w:val="18"/>
              </w:rPr>
              <w:t>Mesure</w:t>
            </w:r>
            <w:r w:rsidR="00861017" w:rsidRPr="00BF11CB">
              <w:rPr>
                <w:rFonts w:asciiTheme="minorHAnsi" w:hAnsiTheme="minorHAnsi" w:cstheme="minorHAnsi"/>
                <w:color w:val="FFFFFF" w:themeColor="background1"/>
                <w:sz w:val="18"/>
                <w:szCs w:val="18"/>
              </w:rPr>
              <w:t>s</w:t>
            </w:r>
          </w:p>
        </w:tc>
        <w:tc>
          <w:tcPr>
            <w:tcW w:w="744" w:type="dxa"/>
            <w:shd w:val="clear" w:color="auto" w:fill="1F4E79" w:themeFill="accent1" w:themeFillShade="80"/>
            <w:vAlign w:val="center"/>
            <w:hideMark/>
          </w:tcPr>
          <w:p w14:paraId="3B44D97D" w14:textId="77777777" w:rsidR="00851511" w:rsidRPr="00BF11CB" w:rsidRDefault="00851511" w:rsidP="00CE061C">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BF11CB">
              <w:rPr>
                <w:rFonts w:asciiTheme="minorHAnsi" w:hAnsiTheme="minorHAnsi" w:cstheme="minorHAnsi"/>
                <w:color w:val="FFFFFF" w:themeColor="background1"/>
                <w:sz w:val="18"/>
                <w:szCs w:val="18"/>
              </w:rPr>
              <w:t>2026</w:t>
            </w:r>
          </w:p>
        </w:tc>
        <w:tc>
          <w:tcPr>
            <w:tcW w:w="745" w:type="dxa"/>
            <w:shd w:val="clear" w:color="auto" w:fill="1F4E79" w:themeFill="accent1" w:themeFillShade="80"/>
            <w:vAlign w:val="center"/>
            <w:hideMark/>
          </w:tcPr>
          <w:p w14:paraId="5B587377" w14:textId="77777777" w:rsidR="00851511" w:rsidRPr="00BF11CB" w:rsidRDefault="00851511" w:rsidP="00CE061C">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BF11CB">
              <w:rPr>
                <w:rFonts w:asciiTheme="minorHAnsi" w:hAnsiTheme="minorHAnsi" w:cstheme="minorHAnsi"/>
                <w:color w:val="FFFFFF" w:themeColor="background1"/>
                <w:sz w:val="18"/>
                <w:szCs w:val="18"/>
              </w:rPr>
              <w:t>2027</w:t>
            </w:r>
          </w:p>
        </w:tc>
        <w:tc>
          <w:tcPr>
            <w:tcW w:w="745" w:type="dxa"/>
            <w:shd w:val="clear" w:color="auto" w:fill="1F4E79" w:themeFill="accent1" w:themeFillShade="80"/>
            <w:vAlign w:val="center"/>
            <w:hideMark/>
          </w:tcPr>
          <w:p w14:paraId="6B527B03" w14:textId="77777777" w:rsidR="00851511" w:rsidRPr="00BF11CB" w:rsidRDefault="00851511" w:rsidP="00CE061C">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BF11CB">
              <w:rPr>
                <w:rFonts w:asciiTheme="minorHAnsi" w:hAnsiTheme="minorHAnsi" w:cstheme="minorHAnsi"/>
                <w:color w:val="FFFFFF" w:themeColor="background1"/>
                <w:sz w:val="18"/>
                <w:szCs w:val="18"/>
              </w:rPr>
              <w:t>2028</w:t>
            </w:r>
          </w:p>
        </w:tc>
        <w:tc>
          <w:tcPr>
            <w:tcW w:w="746" w:type="dxa"/>
            <w:shd w:val="clear" w:color="auto" w:fill="1F4E79" w:themeFill="accent1" w:themeFillShade="80"/>
            <w:vAlign w:val="center"/>
            <w:hideMark/>
          </w:tcPr>
          <w:p w14:paraId="564619AD" w14:textId="77777777" w:rsidR="00851511" w:rsidRPr="00BF11CB" w:rsidRDefault="00851511" w:rsidP="00CE061C">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BF11CB">
              <w:rPr>
                <w:rFonts w:asciiTheme="minorHAnsi" w:hAnsiTheme="minorHAnsi" w:cstheme="minorHAnsi"/>
                <w:color w:val="FFFFFF" w:themeColor="background1"/>
                <w:sz w:val="18"/>
                <w:szCs w:val="18"/>
              </w:rPr>
              <w:t>2029</w:t>
            </w:r>
          </w:p>
        </w:tc>
        <w:tc>
          <w:tcPr>
            <w:tcW w:w="745" w:type="dxa"/>
            <w:shd w:val="clear" w:color="auto" w:fill="1F4E79" w:themeFill="accent1" w:themeFillShade="80"/>
            <w:vAlign w:val="center"/>
            <w:hideMark/>
          </w:tcPr>
          <w:p w14:paraId="5A53D7CA" w14:textId="77777777" w:rsidR="00851511" w:rsidRPr="00BF11CB" w:rsidRDefault="00851511" w:rsidP="00CE061C">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BF11CB">
              <w:rPr>
                <w:rFonts w:asciiTheme="minorHAnsi" w:hAnsiTheme="minorHAnsi" w:cstheme="minorHAnsi"/>
                <w:color w:val="FFFFFF" w:themeColor="background1"/>
                <w:sz w:val="18"/>
                <w:szCs w:val="18"/>
              </w:rPr>
              <w:t>2030</w:t>
            </w:r>
          </w:p>
        </w:tc>
        <w:tc>
          <w:tcPr>
            <w:tcW w:w="745" w:type="dxa"/>
            <w:shd w:val="clear" w:color="auto" w:fill="1F4E79" w:themeFill="accent1" w:themeFillShade="80"/>
            <w:vAlign w:val="center"/>
            <w:hideMark/>
          </w:tcPr>
          <w:p w14:paraId="5D8A4755" w14:textId="77777777" w:rsidR="00851511" w:rsidRPr="00BF11CB" w:rsidRDefault="00851511" w:rsidP="00CE061C">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BF11CB">
              <w:rPr>
                <w:rFonts w:asciiTheme="minorHAnsi" w:hAnsiTheme="minorHAnsi" w:cstheme="minorHAnsi"/>
                <w:color w:val="FFFFFF" w:themeColor="background1"/>
                <w:sz w:val="18"/>
                <w:szCs w:val="18"/>
              </w:rPr>
              <w:t>2031</w:t>
            </w:r>
          </w:p>
        </w:tc>
        <w:tc>
          <w:tcPr>
            <w:tcW w:w="830" w:type="dxa"/>
            <w:shd w:val="clear" w:color="auto" w:fill="1F4E79" w:themeFill="accent1" w:themeFillShade="80"/>
            <w:vAlign w:val="center"/>
            <w:hideMark/>
          </w:tcPr>
          <w:p w14:paraId="1CDF77C0" w14:textId="77777777" w:rsidR="00851511" w:rsidRPr="00BF11CB" w:rsidRDefault="00851511" w:rsidP="00CE061C">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BF11CB">
              <w:rPr>
                <w:rFonts w:asciiTheme="minorHAnsi" w:hAnsiTheme="minorHAnsi" w:cstheme="minorHAnsi"/>
                <w:color w:val="FFFFFF" w:themeColor="background1"/>
                <w:sz w:val="18"/>
                <w:szCs w:val="18"/>
              </w:rPr>
              <w:t>2032</w:t>
            </w:r>
          </w:p>
        </w:tc>
        <w:tc>
          <w:tcPr>
            <w:tcW w:w="830" w:type="dxa"/>
            <w:shd w:val="clear" w:color="auto" w:fill="1F4E79" w:themeFill="accent1" w:themeFillShade="80"/>
            <w:vAlign w:val="center"/>
            <w:hideMark/>
          </w:tcPr>
          <w:p w14:paraId="4401BB7E" w14:textId="77777777" w:rsidR="00851511" w:rsidRPr="00BF11CB" w:rsidRDefault="00851511" w:rsidP="00CE061C">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BF11CB">
              <w:rPr>
                <w:rFonts w:asciiTheme="minorHAnsi" w:hAnsiTheme="minorHAnsi" w:cstheme="minorHAnsi"/>
                <w:color w:val="FFFFFF" w:themeColor="background1"/>
                <w:sz w:val="18"/>
                <w:szCs w:val="18"/>
              </w:rPr>
              <w:t>2033</w:t>
            </w:r>
          </w:p>
        </w:tc>
        <w:tc>
          <w:tcPr>
            <w:tcW w:w="830" w:type="dxa"/>
            <w:shd w:val="clear" w:color="auto" w:fill="1F4E79" w:themeFill="accent1" w:themeFillShade="80"/>
            <w:vAlign w:val="center"/>
            <w:hideMark/>
          </w:tcPr>
          <w:p w14:paraId="1182BA33" w14:textId="77777777" w:rsidR="00851511" w:rsidRPr="00BF11CB" w:rsidRDefault="00851511" w:rsidP="00CE061C">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BF11CB">
              <w:rPr>
                <w:rFonts w:asciiTheme="minorHAnsi" w:hAnsiTheme="minorHAnsi" w:cstheme="minorHAnsi"/>
                <w:color w:val="FFFFFF" w:themeColor="background1"/>
                <w:sz w:val="18"/>
                <w:szCs w:val="18"/>
              </w:rPr>
              <w:t>2034</w:t>
            </w:r>
          </w:p>
        </w:tc>
        <w:tc>
          <w:tcPr>
            <w:tcW w:w="830" w:type="dxa"/>
            <w:shd w:val="clear" w:color="auto" w:fill="1F4E79" w:themeFill="accent1" w:themeFillShade="80"/>
            <w:vAlign w:val="center"/>
            <w:hideMark/>
          </w:tcPr>
          <w:p w14:paraId="5F2DFFCE" w14:textId="77777777" w:rsidR="00851511" w:rsidRPr="00BF11CB" w:rsidRDefault="00851511" w:rsidP="00CE061C">
            <w:pPr>
              <w:spacing w:line="259"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18"/>
                <w:szCs w:val="18"/>
              </w:rPr>
            </w:pPr>
            <w:r w:rsidRPr="00BF11CB">
              <w:rPr>
                <w:rFonts w:asciiTheme="minorHAnsi" w:hAnsiTheme="minorHAnsi" w:cstheme="minorHAnsi"/>
                <w:color w:val="FFFFFF" w:themeColor="background1"/>
                <w:sz w:val="18"/>
                <w:szCs w:val="18"/>
              </w:rPr>
              <w:t>2035</w:t>
            </w:r>
          </w:p>
        </w:tc>
      </w:tr>
      <w:tr w:rsidR="00851511" w:rsidRPr="00BF11CB" w14:paraId="143BCBA7" w14:textId="77777777" w:rsidTr="00C15AF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6" w:type="dxa"/>
            <w:shd w:val="clear" w:color="auto" w:fill="F2F2F2" w:themeFill="background1" w:themeFillShade="F2"/>
            <w:vAlign w:val="center"/>
            <w:hideMark/>
          </w:tcPr>
          <w:p w14:paraId="6C6D62D7" w14:textId="77777777" w:rsidR="00851511" w:rsidRPr="00BF11CB" w:rsidRDefault="00851511" w:rsidP="00F02087">
            <w:pPr>
              <w:spacing w:line="259" w:lineRule="auto"/>
              <w:rPr>
                <w:rFonts w:asciiTheme="minorHAnsi" w:hAnsiTheme="minorHAnsi" w:cstheme="minorHAnsi"/>
                <w:sz w:val="18"/>
                <w:szCs w:val="18"/>
              </w:rPr>
            </w:pPr>
            <w:r w:rsidRPr="00BF11CB">
              <w:rPr>
                <w:rFonts w:asciiTheme="minorHAnsi" w:hAnsiTheme="minorHAnsi" w:cstheme="minorHAnsi"/>
                <w:sz w:val="18"/>
                <w:szCs w:val="18"/>
              </w:rPr>
              <w:t>1</w:t>
            </w:r>
          </w:p>
        </w:tc>
        <w:tc>
          <w:tcPr>
            <w:tcW w:w="2276" w:type="dxa"/>
            <w:shd w:val="clear" w:color="auto" w:fill="F2F2F2" w:themeFill="background1" w:themeFillShade="F2"/>
            <w:vAlign w:val="center"/>
            <w:hideMark/>
          </w:tcPr>
          <w:p w14:paraId="3B75C0A1" w14:textId="77777777" w:rsidR="00851511" w:rsidRPr="00BF11CB" w:rsidRDefault="00851511" w:rsidP="00F02087">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F11CB">
              <w:rPr>
                <w:rFonts w:asciiTheme="minorHAnsi" w:hAnsiTheme="minorHAnsi" w:cstheme="minorHAnsi"/>
                <w:sz w:val="18"/>
                <w:szCs w:val="18"/>
              </w:rPr>
              <w:t>Programme d’amélioration de la couverture végétale et des écosystèmes agroforestiers</w:t>
            </w:r>
          </w:p>
        </w:tc>
        <w:tc>
          <w:tcPr>
            <w:tcW w:w="744" w:type="dxa"/>
            <w:vAlign w:val="center"/>
          </w:tcPr>
          <w:p w14:paraId="2F6BA7E5" w14:textId="4D1AFB43" w:rsidR="00851511" w:rsidRPr="009C571C" w:rsidRDefault="00F7332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-2</w:t>
            </w:r>
            <w:r w:rsidR="00DD7C34">
              <w:rPr>
                <w:sz w:val="16"/>
                <w:szCs w:val="16"/>
              </w:rPr>
              <w:t xml:space="preserve"> </w:t>
            </w:r>
            <w:r w:rsidRPr="00F73329">
              <w:rPr>
                <w:sz w:val="16"/>
                <w:szCs w:val="16"/>
              </w:rPr>
              <w:t>610</w:t>
            </w:r>
          </w:p>
        </w:tc>
        <w:tc>
          <w:tcPr>
            <w:tcW w:w="745" w:type="dxa"/>
            <w:vAlign w:val="center"/>
          </w:tcPr>
          <w:p w14:paraId="5014DA00" w14:textId="11282F7E" w:rsidR="00851511" w:rsidRPr="009C571C" w:rsidRDefault="00F7332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-5</w:t>
            </w:r>
            <w:r w:rsidR="00DD7C34">
              <w:rPr>
                <w:sz w:val="16"/>
                <w:szCs w:val="16"/>
              </w:rPr>
              <w:t xml:space="preserve"> </w:t>
            </w:r>
            <w:r w:rsidRPr="00F73329">
              <w:rPr>
                <w:sz w:val="16"/>
                <w:szCs w:val="16"/>
              </w:rPr>
              <w:t>058</w:t>
            </w:r>
          </w:p>
        </w:tc>
        <w:tc>
          <w:tcPr>
            <w:tcW w:w="745" w:type="dxa"/>
            <w:vAlign w:val="center"/>
          </w:tcPr>
          <w:p w14:paraId="4AFC1BB9" w14:textId="5A15AF1C" w:rsidR="00851511" w:rsidRPr="009C571C" w:rsidRDefault="00F7332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-7</w:t>
            </w:r>
            <w:r w:rsidR="00DD7C34">
              <w:rPr>
                <w:sz w:val="16"/>
                <w:szCs w:val="16"/>
              </w:rPr>
              <w:t xml:space="preserve"> </w:t>
            </w:r>
            <w:r w:rsidRPr="00F73329">
              <w:rPr>
                <w:sz w:val="16"/>
                <w:szCs w:val="16"/>
              </w:rPr>
              <w:t>505</w:t>
            </w:r>
          </w:p>
        </w:tc>
        <w:tc>
          <w:tcPr>
            <w:tcW w:w="746" w:type="dxa"/>
            <w:vAlign w:val="center"/>
          </w:tcPr>
          <w:p w14:paraId="44C06D5C" w14:textId="4908E7B0" w:rsidR="00851511" w:rsidRPr="009C571C" w:rsidRDefault="00F7332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-9</w:t>
            </w:r>
            <w:r w:rsidR="00DD7C34">
              <w:rPr>
                <w:sz w:val="16"/>
                <w:szCs w:val="16"/>
              </w:rPr>
              <w:t xml:space="preserve"> </w:t>
            </w:r>
            <w:r w:rsidRPr="00F73329">
              <w:rPr>
                <w:sz w:val="16"/>
                <w:szCs w:val="16"/>
              </w:rPr>
              <w:t>919</w:t>
            </w:r>
          </w:p>
        </w:tc>
        <w:tc>
          <w:tcPr>
            <w:tcW w:w="745" w:type="dxa"/>
            <w:vAlign w:val="center"/>
          </w:tcPr>
          <w:p w14:paraId="25304481" w14:textId="106860F3" w:rsidR="00851511" w:rsidRPr="009C571C" w:rsidRDefault="00F7332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-10</w:t>
            </w:r>
            <w:r w:rsidR="00DD7C34">
              <w:rPr>
                <w:sz w:val="16"/>
                <w:szCs w:val="16"/>
              </w:rPr>
              <w:t xml:space="preserve"> </w:t>
            </w:r>
            <w:r w:rsidRPr="00F73329">
              <w:rPr>
                <w:sz w:val="16"/>
                <w:szCs w:val="16"/>
              </w:rPr>
              <w:t>431</w:t>
            </w:r>
          </w:p>
        </w:tc>
        <w:tc>
          <w:tcPr>
            <w:tcW w:w="745" w:type="dxa"/>
            <w:vAlign w:val="center"/>
          </w:tcPr>
          <w:p w14:paraId="47C0D9C9" w14:textId="565F2F94" w:rsidR="00851511" w:rsidRPr="009C571C" w:rsidRDefault="00851511"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9C571C">
              <w:rPr>
                <w:sz w:val="16"/>
                <w:szCs w:val="16"/>
              </w:rPr>
              <w:t>-10</w:t>
            </w:r>
            <w:r w:rsidR="009C571C">
              <w:rPr>
                <w:sz w:val="16"/>
                <w:szCs w:val="16"/>
              </w:rPr>
              <w:t xml:space="preserve"> </w:t>
            </w:r>
            <w:r w:rsidR="00F73329" w:rsidRPr="00F73329">
              <w:rPr>
                <w:sz w:val="16"/>
                <w:szCs w:val="16"/>
              </w:rPr>
              <w:t>942</w:t>
            </w:r>
          </w:p>
        </w:tc>
        <w:tc>
          <w:tcPr>
            <w:tcW w:w="830" w:type="dxa"/>
            <w:vAlign w:val="center"/>
          </w:tcPr>
          <w:p w14:paraId="4C6FD474" w14:textId="5305AA95" w:rsidR="00851511" w:rsidRPr="009C571C"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9C571C">
              <w:rPr>
                <w:sz w:val="16"/>
                <w:szCs w:val="16"/>
              </w:rPr>
              <w:t>-11</w:t>
            </w:r>
            <w:r w:rsidR="009C571C">
              <w:rPr>
                <w:sz w:val="16"/>
                <w:szCs w:val="16"/>
              </w:rPr>
              <w:t xml:space="preserve"> </w:t>
            </w:r>
            <w:r w:rsidR="00F73329" w:rsidRPr="00F73329">
              <w:rPr>
                <w:sz w:val="16"/>
                <w:szCs w:val="16"/>
              </w:rPr>
              <w:t>453</w:t>
            </w:r>
          </w:p>
        </w:tc>
        <w:tc>
          <w:tcPr>
            <w:tcW w:w="830" w:type="dxa"/>
            <w:vAlign w:val="center"/>
          </w:tcPr>
          <w:p w14:paraId="79363736" w14:textId="62E3D70A" w:rsidR="00851511" w:rsidRPr="009C571C" w:rsidRDefault="00851511"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9C571C">
              <w:rPr>
                <w:sz w:val="16"/>
                <w:szCs w:val="16"/>
              </w:rPr>
              <w:t>-11</w:t>
            </w:r>
            <w:r w:rsidR="009C571C">
              <w:rPr>
                <w:sz w:val="16"/>
                <w:szCs w:val="16"/>
              </w:rPr>
              <w:t xml:space="preserve"> </w:t>
            </w:r>
            <w:r w:rsidR="00F73329" w:rsidRPr="00F73329">
              <w:rPr>
                <w:sz w:val="16"/>
                <w:szCs w:val="16"/>
              </w:rPr>
              <w:t>965</w:t>
            </w:r>
          </w:p>
        </w:tc>
        <w:tc>
          <w:tcPr>
            <w:tcW w:w="830" w:type="dxa"/>
            <w:vAlign w:val="center"/>
          </w:tcPr>
          <w:p w14:paraId="2FF100FD" w14:textId="59209E77" w:rsidR="00851511" w:rsidRPr="009C571C"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9C571C">
              <w:rPr>
                <w:sz w:val="16"/>
                <w:szCs w:val="16"/>
              </w:rPr>
              <w:t>-12</w:t>
            </w:r>
            <w:r w:rsidR="00DD7C34">
              <w:rPr>
                <w:sz w:val="16"/>
                <w:szCs w:val="16"/>
              </w:rPr>
              <w:t xml:space="preserve"> </w:t>
            </w:r>
            <w:r w:rsidR="00F73329" w:rsidRPr="00F73329">
              <w:rPr>
                <w:sz w:val="16"/>
                <w:szCs w:val="16"/>
              </w:rPr>
              <w:t>476</w:t>
            </w:r>
          </w:p>
        </w:tc>
        <w:tc>
          <w:tcPr>
            <w:tcW w:w="830" w:type="dxa"/>
            <w:vAlign w:val="center"/>
          </w:tcPr>
          <w:p w14:paraId="4BBFB2D1" w14:textId="775C8395" w:rsidR="00851511" w:rsidRPr="009C571C" w:rsidRDefault="00851511"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9C571C">
              <w:rPr>
                <w:sz w:val="16"/>
                <w:szCs w:val="16"/>
              </w:rPr>
              <w:t>-12</w:t>
            </w:r>
            <w:r w:rsidR="009C571C">
              <w:rPr>
                <w:sz w:val="16"/>
                <w:szCs w:val="16"/>
              </w:rPr>
              <w:t xml:space="preserve"> </w:t>
            </w:r>
            <w:r w:rsidR="00F73329" w:rsidRPr="00F73329">
              <w:rPr>
                <w:sz w:val="16"/>
                <w:szCs w:val="16"/>
              </w:rPr>
              <w:t>826</w:t>
            </w:r>
          </w:p>
        </w:tc>
      </w:tr>
      <w:tr w:rsidR="00851511" w:rsidRPr="00BF11CB" w14:paraId="1468920A" w14:textId="77777777" w:rsidTr="00C15AF0">
        <w:trPr>
          <w:trHeight w:val="567"/>
        </w:trPr>
        <w:tc>
          <w:tcPr>
            <w:cnfStyle w:val="001000000000" w:firstRow="0" w:lastRow="0" w:firstColumn="1" w:lastColumn="0" w:oddVBand="0" w:evenVBand="0" w:oddHBand="0" w:evenHBand="0" w:firstRowFirstColumn="0" w:firstRowLastColumn="0" w:lastRowFirstColumn="0" w:lastRowLastColumn="0"/>
            <w:tcW w:w="566" w:type="dxa"/>
            <w:shd w:val="clear" w:color="auto" w:fill="F2F2F2" w:themeFill="background1" w:themeFillShade="F2"/>
            <w:vAlign w:val="center"/>
            <w:hideMark/>
          </w:tcPr>
          <w:p w14:paraId="55008355" w14:textId="77777777" w:rsidR="00851511" w:rsidRPr="00BF11CB" w:rsidRDefault="00851511" w:rsidP="00F02087">
            <w:pPr>
              <w:spacing w:line="259" w:lineRule="auto"/>
              <w:rPr>
                <w:rFonts w:asciiTheme="minorHAnsi" w:hAnsiTheme="minorHAnsi" w:cstheme="minorHAnsi"/>
                <w:sz w:val="18"/>
                <w:szCs w:val="18"/>
              </w:rPr>
            </w:pPr>
            <w:r w:rsidRPr="00BF11CB">
              <w:rPr>
                <w:rFonts w:asciiTheme="minorHAnsi" w:hAnsiTheme="minorHAnsi" w:cstheme="minorHAnsi"/>
                <w:sz w:val="18"/>
                <w:szCs w:val="18"/>
              </w:rPr>
              <w:lastRenderedPageBreak/>
              <w:t>2</w:t>
            </w:r>
          </w:p>
        </w:tc>
        <w:tc>
          <w:tcPr>
            <w:tcW w:w="2276" w:type="dxa"/>
            <w:shd w:val="clear" w:color="auto" w:fill="F2F2F2" w:themeFill="background1" w:themeFillShade="F2"/>
            <w:vAlign w:val="center"/>
            <w:hideMark/>
          </w:tcPr>
          <w:p w14:paraId="0FBB4087" w14:textId="77777777" w:rsidR="00851511" w:rsidRPr="00BF11CB" w:rsidRDefault="00851511" w:rsidP="00F02087">
            <w:p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F11CB">
              <w:rPr>
                <w:rFonts w:asciiTheme="minorHAnsi" w:hAnsiTheme="minorHAnsi" w:cstheme="minorHAnsi"/>
                <w:sz w:val="18"/>
                <w:szCs w:val="18"/>
              </w:rPr>
              <w:t>Programme de développement et de valorisation des PFNL et résilience des communautés</w:t>
            </w:r>
          </w:p>
        </w:tc>
        <w:tc>
          <w:tcPr>
            <w:tcW w:w="744" w:type="dxa"/>
            <w:vAlign w:val="center"/>
          </w:tcPr>
          <w:p w14:paraId="1DA73D0F" w14:textId="771729BE"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-2</w:t>
            </w:r>
            <w:r w:rsidR="00DD7C34">
              <w:rPr>
                <w:sz w:val="16"/>
                <w:szCs w:val="16"/>
              </w:rPr>
              <w:t xml:space="preserve"> </w:t>
            </w:r>
            <w:r w:rsidRPr="00F73329">
              <w:rPr>
                <w:sz w:val="16"/>
                <w:szCs w:val="16"/>
              </w:rPr>
              <w:t>088</w:t>
            </w:r>
          </w:p>
        </w:tc>
        <w:tc>
          <w:tcPr>
            <w:tcW w:w="745" w:type="dxa"/>
            <w:vAlign w:val="center"/>
          </w:tcPr>
          <w:p w14:paraId="33DE1CE6" w14:textId="52430C3C"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-3</w:t>
            </w:r>
            <w:r w:rsidR="00DD7C34">
              <w:rPr>
                <w:sz w:val="16"/>
                <w:szCs w:val="16"/>
              </w:rPr>
              <w:t xml:space="preserve"> </w:t>
            </w:r>
            <w:r w:rsidRPr="00F73329">
              <w:rPr>
                <w:sz w:val="16"/>
                <w:szCs w:val="16"/>
              </w:rPr>
              <w:t>724</w:t>
            </w:r>
          </w:p>
        </w:tc>
        <w:tc>
          <w:tcPr>
            <w:tcW w:w="745" w:type="dxa"/>
            <w:vAlign w:val="center"/>
          </w:tcPr>
          <w:p w14:paraId="6B078316" w14:textId="39DAED42"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-5</w:t>
            </w:r>
            <w:r w:rsidR="00DD7C34">
              <w:rPr>
                <w:sz w:val="16"/>
                <w:szCs w:val="16"/>
              </w:rPr>
              <w:t xml:space="preserve"> </w:t>
            </w:r>
            <w:r w:rsidRPr="00F73329">
              <w:rPr>
                <w:sz w:val="16"/>
                <w:szCs w:val="16"/>
              </w:rPr>
              <w:t>360</w:t>
            </w:r>
          </w:p>
        </w:tc>
        <w:tc>
          <w:tcPr>
            <w:tcW w:w="746" w:type="dxa"/>
            <w:vAlign w:val="center"/>
          </w:tcPr>
          <w:p w14:paraId="1A3CD38A" w14:textId="34009A19"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-6</w:t>
            </w:r>
            <w:r w:rsidR="00DD7C34">
              <w:rPr>
                <w:sz w:val="16"/>
                <w:szCs w:val="16"/>
              </w:rPr>
              <w:t xml:space="preserve"> </w:t>
            </w:r>
            <w:r w:rsidRPr="00F73329">
              <w:rPr>
                <w:sz w:val="16"/>
                <w:szCs w:val="16"/>
              </w:rPr>
              <w:t>997</w:t>
            </w:r>
          </w:p>
        </w:tc>
        <w:tc>
          <w:tcPr>
            <w:tcW w:w="745" w:type="dxa"/>
            <w:vAlign w:val="center"/>
          </w:tcPr>
          <w:p w14:paraId="2A8C0204" w14:textId="118DE172"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-8</w:t>
            </w:r>
            <w:r w:rsidR="00DD7C34">
              <w:rPr>
                <w:sz w:val="16"/>
                <w:szCs w:val="16"/>
              </w:rPr>
              <w:t xml:space="preserve"> </w:t>
            </w:r>
            <w:r w:rsidRPr="00F73329">
              <w:rPr>
                <w:sz w:val="16"/>
                <w:szCs w:val="16"/>
              </w:rPr>
              <w:t>633</w:t>
            </w:r>
          </w:p>
        </w:tc>
        <w:tc>
          <w:tcPr>
            <w:tcW w:w="745" w:type="dxa"/>
            <w:vAlign w:val="center"/>
          </w:tcPr>
          <w:p w14:paraId="583625B9" w14:textId="48F97911"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-10</w:t>
            </w:r>
            <w:r w:rsidR="00DD7C34">
              <w:rPr>
                <w:sz w:val="16"/>
                <w:szCs w:val="16"/>
              </w:rPr>
              <w:t xml:space="preserve"> </w:t>
            </w:r>
            <w:r w:rsidRPr="00F73329">
              <w:rPr>
                <w:sz w:val="16"/>
                <w:szCs w:val="16"/>
              </w:rPr>
              <w:t>269</w:t>
            </w:r>
          </w:p>
        </w:tc>
        <w:tc>
          <w:tcPr>
            <w:tcW w:w="830" w:type="dxa"/>
            <w:vAlign w:val="center"/>
          </w:tcPr>
          <w:p w14:paraId="305214FB" w14:textId="7A157916"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-11</w:t>
            </w:r>
            <w:r w:rsidR="00DD7C34">
              <w:rPr>
                <w:sz w:val="16"/>
                <w:szCs w:val="16"/>
              </w:rPr>
              <w:t xml:space="preserve"> </w:t>
            </w:r>
            <w:r w:rsidRPr="00F73329">
              <w:rPr>
                <w:sz w:val="16"/>
                <w:szCs w:val="16"/>
              </w:rPr>
              <w:t>905</w:t>
            </w:r>
          </w:p>
        </w:tc>
        <w:tc>
          <w:tcPr>
            <w:tcW w:w="830" w:type="dxa"/>
            <w:vAlign w:val="center"/>
          </w:tcPr>
          <w:p w14:paraId="57FBB4CD" w14:textId="5836A460"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-13</w:t>
            </w:r>
            <w:r w:rsidR="00DD7C34">
              <w:rPr>
                <w:sz w:val="16"/>
                <w:szCs w:val="16"/>
              </w:rPr>
              <w:t xml:space="preserve"> </w:t>
            </w:r>
            <w:r w:rsidRPr="00F73329">
              <w:rPr>
                <w:sz w:val="16"/>
                <w:szCs w:val="16"/>
              </w:rPr>
              <w:t>542</w:t>
            </w:r>
          </w:p>
        </w:tc>
        <w:tc>
          <w:tcPr>
            <w:tcW w:w="830" w:type="dxa"/>
            <w:vAlign w:val="center"/>
          </w:tcPr>
          <w:p w14:paraId="6E541195" w14:textId="7565A8D9"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-15</w:t>
            </w:r>
            <w:r w:rsidR="00DD7C34">
              <w:rPr>
                <w:sz w:val="16"/>
                <w:szCs w:val="16"/>
              </w:rPr>
              <w:t xml:space="preserve"> </w:t>
            </w:r>
            <w:r w:rsidRPr="00F73329">
              <w:rPr>
                <w:sz w:val="16"/>
                <w:szCs w:val="16"/>
              </w:rPr>
              <w:t>178</w:t>
            </w:r>
          </w:p>
        </w:tc>
        <w:tc>
          <w:tcPr>
            <w:tcW w:w="830" w:type="dxa"/>
            <w:vAlign w:val="center"/>
          </w:tcPr>
          <w:p w14:paraId="2A337DA9" w14:textId="4BCA1FA3"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-16</w:t>
            </w:r>
            <w:r w:rsidR="00DD7C34">
              <w:rPr>
                <w:sz w:val="16"/>
                <w:szCs w:val="16"/>
              </w:rPr>
              <w:t xml:space="preserve"> </w:t>
            </w:r>
            <w:r w:rsidRPr="00F73329">
              <w:rPr>
                <w:sz w:val="16"/>
                <w:szCs w:val="16"/>
              </w:rPr>
              <w:t>363</w:t>
            </w:r>
          </w:p>
        </w:tc>
      </w:tr>
      <w:tr w:rsidR="00851511" w:rsidRPr="00BF11CB" w14:paraId="70EFE13D" w14:textId="77777777" w:rsidTr="00C15AF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6" w:type="dxa"/>
            <w:shd w:val="clear" w:color="auto" w:fill="F2F2F2" w:themeFill="background1" w:themeFillShade="F2"/>
            <w:vAlign w:val="center"/>
            <w:hideMark/>
          </w:tcPr>
          <w:p w14:paraId="0AB754B7" w14:textId="77777777" w:rsidR="00851511" w:rsidRPr="00BF11CB" w:rsidRDefault="00851511" w:rsidP="00F02087">
            <w:pPr>
              <w:spacing w:line="259" w:lineRule="auto"/>
              <w:rPr>
                <w:rFonts w:asciiTheme="minorHAnsi" w:hAnsiTheme="minorHAnsi" w:cstheme="minorHAnsi"/>
                <w:sz w:val="18"/>
                <w:szCs w:val="18"/>
              </w:rPr>
            </w:pPr>
            <w:r w:rsidRPr="00BF11CB">
              <w:rPr>
                <w:rFonts w:asciiTheme="minorHAnsi" w:hAnsiTheme="minorHAnsi" w:cstheme="minorHAnsi"/>
                <w:sz w:val="18"/>
                <w:szCs w:val="18"/>
              </w:rPr>
              <w:t>4</w:t>
            </w:r>
          </w:p>
        </w:tc>
        <w:tc>
          <w:tcPr>
            <w:tcW w:w="2276" w:type="dxa"/>
            <w:shd w:val="clear" w:color="auto" w:fill="F2F2F2" w:themeFill="background1" w:themeFillShade="F2"/>
            <w:vAlign w:val="center"/>
            <w:hideMark/>
          </w:tcPr>
          <w:p w14:paraId="3639A41B" w14:textId="77777777" w:rsidR="00851511" w:rsidRPr="00BF11CB" w:rsidRDefault="00851511" w:rsidP="00F02087">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F11CB">
              <w:rPr>
                <w:rFonts w:asciiTheme="minorHAnsi" w:hAnsiTheme="minorHAnsi" w:cstheme="minorHAnsi"/>
                <w:sz w:val="18"/>
                <w:szCs w:val="18"/>
              </w:rPr>
              <w:t>Appui international à la promotion et à la valorisation de la filière gomme arabique</w:t>
            </w:r>
          </w:p>
        </w:tc>
        <w:tc>
          <w:tcPr>
            <w:tcW w:w="744" w:type="dxa"/>
            <w:vAlign w:val="center"/>
          </w:tcPr>
          <w:p w14:paraId="5C597F6A" w14:textId="266E07CF" w:rsidR="00851511" w:rsidRPr="00F73329" w:rsidRDefault="00F7332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-763</w:t>
            </w:r>
          </w:p>
        </w:tc>
        <w:tc>
          <w:tcPr>
            <w:tcW w:w="745" w:type="dxa"/>
            <w:vAlign w:val="center"/>
          </w:tcPr>
          <w:p w14:paraId="7079FD04" w14:textId="5D0F1D5E" w:rsidR="00851511" w:rsidRPr="00F73329" w:rsidRDefault="00F7332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w:t>
            </w:r>
            <w:r w:rsidR="00DD7C34">
              <w:rPr>
                <w:sz w:val="16"/>
                <w:szCs w:val="16"/>
              </w:rPr>
              <w:t xml:space="preserve"> </w:t>
            </w:r>
            <w:r w:rsidRPr="00F73329">
              <w:rPr>
                <w:sz w:val="16"/>
                <w:szCs w:val="16"/>
              </w:rPr>
              <w:t>362</w:t>
            </w:r>
          </w:p>
        </w:tc>
        <w:tc>
          <w:tcPr>
            <w:tcW w:w="745" w:type="dxa"/>
            <w:vAlign w:val="center"/>
          </w:tcPr>
          <w:p w14:paraId="12EC77CB" w14:textId="50EA2601"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w:t>
            </w:r>
            <w:r w:rsidR="00DD7C34">
              <w:rPr>
                <w:sz w:val="16"/>
                <w:szCs w:val="16"/>
              </w:rPr>
              <w:t xml:space="preserve"> </w:t>
            </w:r>
            <w:r w:rsidR="00F73329" w:rsidRPr="00F73329">
              <w:rPr>
                <w:sz w:val="16"/>
                <w:szCs w:val="16"/>
              </w:rPr>
              <w:t>960</w:t>
            </w:r>
          </w:p>
        </w:tc>
        <w:tc>
          <w:tcPr>
            <w:tcW w:w="746" w:type="dxa"/>
            <w:vAlign w:val="center"/>
          </w:tcPr>
          <w:p w14:paraId="14BC6B9C" w14:textId="1B0725D6"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-2</w:t>
            </w:r>
            <w:r w:rsidR="00DD7C34">
              <w:rPr>
                <w:sz w:val="16"/>
                <w:szCs w:val="16"/>
              </w:rPr>
              <w:t xml:space="preserve"> </w:t>
            </w:r>
            <w:r w:rsidR="00F73329" w:rsidRPr="00F73329">
              <w:rPr>
                <w:sz w:val="16"/>
                <w:szCs w:val="16"/>
              </w:rPr>
              <w:t>559</w:t>
            </w:r>
          </w:p>
        </w:tc>
        <w:tc>
          <w:tcPr>
            <w:tcW w:w="745" w:type="dxa"/>
            <w:vAlign w:val="center"/>
          </w:tcPr>
          <w:p w14:paraId="1B78F061" w14:textId="397B3468" w:rsidR="00851511" w:rsidRPr="00F73329" w:rsidRDefault="00F7332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-3</w:t>
            </w:r>
            <w:r w:rsidR="00DD7C34">
              <w:rPr>
                <w:sz w:val="16"/>
                <w:szCs w:val="16"/>
              </w:rPr>
              <w:t xml:space="preserve"> </w:t>
            </w:r>
            <w:r w:rsidRPr="00F73329">
              <w:rPr>
                <w:sz w:val="16"/>
                <w:szCs w:val="16"/>
              </w:rPr>
              <w:t>157</w:t>
            </w:r>
          </w:p>
        </w:tc>
        <w:tc>
          <w:tcPr>
            <w:tcW w:w="745" w:type="dxa"/>
            <w:vAlign w:val="center"/>
          </w:tcPr>
          <w:p w14:paraId="09AA6F44" w14:textId="0C1EF9F6"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-3</w:t>
            </w:r>
            <w:r w:rsidR="00DD7C34">
              <w:rPr>
                <w:sz w:val="16"/>
                <w:szCs w:val="16"/>
              </w:rPr>
              <w:t xml:space="preserve"> </w:t>
            </w:r>
            <w:r w:rsidR="00F73329" w:rsidRPr="00F73329">
              <w:rPr>
                <w:sz w:val="16"/>
                <w:szCs w:val="16"/>
              </w:rPr>
              <w:t>756</w:t>
            </w:r>
          </w:p>
        </w:tc>
        <w:tc>
          <w:tcPr>
            <w:tcW w:w="830" w:type="dxa"/>
            <w:vAlign w:val="center"/>
          </w:tcPr>
          <w:p w14:paraId="6A7B35C1" w14:textId="7F8FCE54" w:rsidR="00851511" w:rsidRPr="00F73329" w:rsidRDefault="00F7332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-4</w:t>
            </w:r>
            <w:r w:rsidR="00DD7C34">
              <w:rPr>
                <w:sz w:val="16"/>
                <w:szCs w:val="16"/>
              </w:rPr>
              <w:t xml:space="preserve"> </w:t>
            </w:r>
            <w:r w:rsidRPr="00F73329">
              <w:rPr>
                <w:sz w:val="16"/>
                <w:szCs w:val="16"/>
              </w:rPr>
              <w:t>355</w:t>
            </w:r>
          </w:p>
        </w:tc>
        <w:tc>
          <w:tcPr>
            <w:tcW w:w="830" w:type="dxa"/>
            <w:vAlign w:val="center"/>
          </w:tcPr>
          <w:p w14:paraId="13CA13D8" w14:textId="44662436"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-4</w:t>
            </w:r>
            <w:r w:rsidR="00DD7C34">
              <w:rPr>
                <w:sz w:val="16"/>
                <w:szCs w:val="16"/>
              </w:rPr>
              <w:t xml:space="preserve"> </w:t>
            </w:r>
            <w:r w:rsidR="00F73329" w:rsidRPr="00F73329">
              <w:rPr>
                <w:sz w:val="16"/>
                <w:szCs w:val="16"/>
              </w:rPr>
              <w:t>953</w:t>
            </w:r>
          </w:p>
        </w:tc>
        <w:tc>
          <w:tcPr>
            <w:tcW w:w="830" w:type="dxa"/>
            <w:vAlign w:val="center"/>
          </w:tcPr>
          <w:p w14:paraId="4A67FA11" w14:textId="074BBF69"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-5</w:t>
            </w:r>
            <w:r w:rsidR="00DD7C34">
              <w:rPr>
                <w:sz w:val="16"/>
                <w:szCs w:val="16"/>
              </w:rPr>
              <w:t xml:space="preserve"> </w:t>
            </w:r>
            <w:r w:rsidR="00F73329" w:rsidRPr="00F73329">
              <w:rPr>
                <w:sz w:val="16"/>
                <w:szCs w:val="16"/>
              </w:rPr>
              <w:t>986</w:t>
            </w:r>
          </w:p>
        </w:tc>
        <w:tc>
          <w:tcPr>
            <w:tcW w:w="830" w:type="dxa"/>
            <w:vAlign w:val="center"/>
          </w:tcPr>
          <w:p w14:paraId="11F14BA6" w14:textId="55A84156" w:rsidR="00851511" w:rsidRPr="00F73329" w:rsidRDefault="00F7332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-5</w:t>
            </w:r>
            <w:r w:rsidR="00DD7C34">
              <w:rPr>
                <w:sz w:val="16"/>
                <w:szCs w:val="16"/>
              </w:rPr>
              <w:t xml:space="preserve"> </w:t>
            </w:r>
            <w:r w:rsidRPr="00F73329">
              <w:rPr>
                <w:sz w:val="16"/>
                <w:szCs w:val="16"/>
              </w:rPr>
              <w:t>986</w:t>
            </w:r>
          </w:p>
        </w:tc>
      </w:tr>
      <w:tr w:rsidR="00851511" w:rsidRPr="00BF11CB" w14:paraId="764BF898" w14:textId="77777777" w:rsidTr="00C15AF0">
        <w:trPr>
          <w:trHeight w:val="567"/>
        </w:trPr>
        <w:tc>
          <w:tcPr>
            <w:cnfStyle w:val="001000000000" w:firstRow="0" w:lastRow="0" w:firstColumn="1" w:lastColumn="0" w:oddVBand="0" w:evenVBand="0" w:oddHBand="0" w:evenHBand="0" w:firstRowFirstColumn="0" w:firstRowLastColumn="0" w:lastRowFirstColumn="0" w:lastRowLastColumn="0"/>
            <w:tcW w:w="566" w:type="dxa"/>
            <w:shd w:val="clear" w:color="auto" w:fill="F2F2F2" w:themeFill="background1" w:themeFillShade="F2"/>
            <w:vAlign w:val="center"/>
            <w:hideMark/>
          </w:tcPr>
          <w:p w14:paraId="3DA0DB5E" w14:textId="77777777" w:rsidR="00851511" w:rsidRPr="00BF11CB" w:rsidRDefault="00851511" w:rsidP="00F02087">
            <w:pPr>
              <w:spacing w:line="259" w:lineRule="auto"/>
              <w:rPr>
                <w:rFonts w:asciiTheme="minorHAnsi" w:hAnsiTheme="minorHAnsi" w:cstheme="minorHAnsi"/>
                <w:sz w:val="18"/>
                <w:szCs w:val="18"/>
              </w:rPr>
            </w:pPr>
            <w:r w:rsidRPr="00BF11CB">
              <w:rPr>
                <w:rFonts w:asciiTheme="minorHAnsi" w:hAnsiTheme="minorHAnsi" w:cstheme="minorHAnsi"/>
                <w:sz w:val="18"/>
                <w:szCs w:val="18"/>
              </w:rPr>
              <w:t>5</w:t>
            </w:r>
          </w:p>
        </w:tc>
        <w:tc>
          <w:tcPr>
            <w:tcW w:w="2276" w:type="dxa"/>
            <w:shd w:val="clear" w:color="auto" w:fill="F2F2F2" w:themeFill="background1" w:themeFillShade="F2"/>
            <w:vAlign w:val="center"/>
            <w:hideMark/>
          </w:tcPr>
          <w:p w14:paraId="5F0C88E0" w14:textId="77777777" w:rsidR="00851511" w:rsidRPr="00BF11CB" w:rsidRDefault="00851511" w:rsidP="00F02087">
            <w:p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F11CB">
              <w:rPr>
                <w:rFonts w:asciiTheme="minorHAnsi" w:hAnsiTheme="minorHAnsi" w:cstheme="minorHAnsi"/>
                <w:sz w:val="18"/>
                <w:szCs w:val="18"/>
              </w:rPr>
              <w:t>Programme de reboisement intensif et restauration du couvert végétal</w:t>
            </w:r>
          </w:p>
        </w:tc>
        <w:tc>
          <w:tcPr>
            <w:tcW w:w="744" w:type="dxa"/>
            <w:vAlign w:val="center"/>
          </w:tcPr>
          <w:p w14:paraId="7EEBF082" w14:textId="3F2D96AE"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-27</w:t>
            </w:r>
            <w:r w:rsidR="00DD7C34">
              <w:rPr>
                <w:sz w:val="16"/>
                <w:szCs w:val="16"/>
              </w:rPr>
              <w:t xml:space="preserve"> </w:t>
            </w:r>
            <w:r w:rsidRPr="00F73329">
              <w:rPr>
                <w:sz w:val="16"/>
                <w:szCs w:val="16"/>
              </w:rPr>
              <w:t>685</w:t>
            </w:r>
          </w:p>
        </w:tc>
        <w:tc>
          <w:tcPr>
            <w:tcW w:w="745" w:type="dxa"/>
            <w:vAlign w:val="center"/>
          </w:tcPr>
          <w:p w14:paraId="3C76A416" w14:textId="69268335"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-28</w:t>
            </w:r>
            <w:r w:rsidR="00DD7C34">
              <w:rPr>
                <w:sz w:val="16"/>
                <w:szCs w:val="16"/>
              </w:rPr>
              <w:t xml:space="preserve"> </w:t>
            </w:r>
            <w:r w:rsidRPr="00F73329">
              <w:rPr>
                <w:sz w:val="16"/>
                <w:szCs w:val="16"/>
              </w:rPr>
              <w:t>103</w:t>
            </w:r>
          </w:p>
        </w:tc>
        <w:tc>
          <w:tcPr>
            <w:tcW w:w="745" w:type="dxa"/>
            <w:vAlign w:val="center"/>
          </w:tcPr>
          <w:p w14:paraId="2E81B962" w14:textId="451568F9"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-28</w:t>
            </w:r>
            <w:r w:rsidR="00DD7C34">
              <w:rPr>
                <w:sz w:val="16"/>
                <w:szCs w:val="16"/>
              </w:rPr>
              <w:t xml:space="preserve"> </w:t>
            </w:r>
            <w:r w:rsidRPr="00F73329">
              <w:rPr>
                <w:sz w:val="16"/>
                <w:szCs w:val="16"/>
              </w:rPr>
              <w:t>521</w:t>
            </w:r>
          </w:p>
        </w:tc>
        <w:tc>
          <w:tcPr>
            <w:tcW w:w="746" w:type="dxa"/>
            <w:vAlign w:val="center"/>
          </w:tcPr>
          <w:p w14:paraId="41B1B2D4" w14:textId="1360510F"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-28</w:t>
            </w:r>
            <w:r w:rsidR="00DD7C34">
              <w:rPr>
                <w:sz w:val="16"/>
                <w:szCs w:val="16"/>
              </w:rPr>
              <w:t xml:space="preserve"> </w:t>
            </w:r>
            <w:r w:rsidRPr="00F73329">
              <w:rPr>
                <w:sz w:val="16"/>
                <w:szCs w:val="16"/>
              </w:rPr>
              <w:t>939</w:t>
            </w:r>
          </w:p>
        </w:tc>
        <w:tc>
          <w:tcPr>
            <w:tcW w:w="745" w:type="dxa"/>
            <w:vAlign w:val="center"/>
          </w:tcPr>
          <w:p w14:paraId="59263AC4" w14:textId="69F3CD63"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-29</w:t>
            </w:r>
            <w:r w:rsidR="00DD7C34">
              <w:rPr>
                <w:sz w:val="16"/>
                <w:szCs w:val="16"/>
              </w:rPr>
              <w:t xml:space="preserve"> </w:t>
            </w:r>
            <w:r w:rsidRPr="00F73329">
              <w:rPr>
                <w:sz w:val="16"/>
                <w:szCs w:val="16"/>
              </w:rPr>
              <w:t>357</w:t>
            </w:r>
          </w:p>
        </w:tc>
        <w:tc>
          <w:tcPr>
            <w:tcW w:w="745" w:type="dxa"/>
            <w:vAlign w:val="center"/>
          </w:tcPr>
          <w:p w14:paraId="2AA9638C" w14:textId="351294D1"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-29</w:t>
            </w:r>
            <w:r w:rsidR="00DD7C34">
              <w:rPr>
                <w:sz w:val="16"/>
                <w:szCs w:val="16"/>
              </w:rPr>
              <w:t xml:space="preserve"> </w:t>
            </w:r>
            <w:r w:rsidRPr="00F73329">
              <w:rPr>
                <w:sz w:val="16"/>
                <w:szCs w:val="16"/>
              </w:rPr>
              <w:t>775</w:t>
            </w:r>
          </w:p>
        </w:tc>
        <w:tc>
          <w:tcPr>
            <w:tcW w:w="830" w:type="dxa"/>
            <w:vAlign w:val="center"/>
          </w:tcPr>
          <w:p w14:paraId="3F5CAC61" w14:textId="53A66F96"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-30</w:t>
            </w:r>
            <w:r w:rsidR="00DD7C34">
              <w:rPr>
                <w:sz w:val="16"/>
                <w:szCs w:val="16"/>
              </w:rPr>
              <w:t xml:space="preserve"> </w:t>
            </w:r>
            <w:r w:rsidRPr="00F73329">
              <w:rPr>
                <w:sz w:val="16"/>
                <w:szCs w:val="16"/>
              </w:rPr>
              <w:t>193</w:t>
            </w:r>
          </w:p>
        </w:tc>
        <w:tc>
          <w:tcPr>
            <w:tcW w:w="830" w:type="dxa"/>
            <w:vAlign w:val="center"/>
          </w:tcPr>
          <w:p w14:paraId="614DD9C1" w14:textId="15BC25E5"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-30</w:t>
            </w:r>
            <w:r w:rsidR="00DD7C34">
              <w:rPr>
                <w:sz w:val="16"/>
                <w:szCs w:val="16"/>
              </w:rPr>
              <w:t xml:space="preserve"> </w:t>
            </w:r>
            <w:r w:rsidRPr="00F73329">
              <w:rPr>
                <w:sz w:val="16"/>
                <w:szCs w:val="16"/>
              </w:rPr>
              <w:t>611</w:t>
            </w:r>
          </w:p>
        </w:tc>
        <w:tc>
          <w:tcPr>
            <w:tcW w:w="830" w:type="dxa"/>
            <w:vAlign w:val="center"/>
          </w:tcPr>
          <w:p w14:paraId="02A7BD20" w14:textId="0CA88716"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-31</w:t>
            </w:r>
            <w:r w:rsidR="00DD7C34">
              <w:rPr>
                <w:sz w:val="16"/>
                <w:szCs w:val="16"/>
              </w:rPr>
              <w:t xml:space="preserve"> </w:t>
            </w:r>
            <w:r w:rsidRPr="00F73329">
              <w:rPr>
                <w:sz w:val="16"/>
                <w:szCs w:val="16"/>
              </w:rPr>
              <w:t>029</w:t>
            </w:r>
          </w:p>
        </w:tc>
        <w:tc>
          <w:tcPr>
            <w:tcW w:w="830" w:type="dxa"/>
            <w:vAlign w:val="center"/>
          </w:tcPr>
          <w:p w14:paraId="780F1956" w14:textId="62EE0479" w:rsidR="00851511" w:rsidRPr="00F73329" w:rsidRDefault="00F73329" w:rsidP="00F02087">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F73329">
              <w:rPr>
                <w:sz w:val="16"/>
                <w:szCs w:val="16"/>
              </w:rPr>
              <w:t>-31</w:t>
            </w:r>
            <w:r w:rsidR="00DD7C34">
              <w:rPr>
                <w:sz w:val="16"/>
                <w:szCs w:val="16"/>
              </w:rPr>
              <w:t xml:space="preserve"> </w:t>
            </w:r>
            <w:r w:rsidRPr="00F73329">
              <w:rPr>
                <w:sz w:val="16"/>
                <w:szCs w:val="16"/>
              </w:rPr>
              <w:t>971</w:t>
            </w:r>
          </w:p>
        </w:tc>
      </w:tr>
      <w:tr w:rsidR="00851511" w:rsidRPr="00BF11CB" w14:paraId="6C8746D8" w14:textId="77777777" w:rsidTr="00C15AF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6" w:type="dxa"/>
            <w:shd w:val="clear" w:color="auto" w:fill="F2F2F2" w:themeFill="background1" w:themeFillShade="F2"/>
            <w:vAlign w:val="center"/>
            <w:hideMark/>
          </w:tcPr>
          <w:p w14:paraId="5B8CD5D4" w14:textId="77777777" w:rsidR="00851511" w:rsidRPr="00BF11CB" w:rsidRDefault="00851511" w:rsidP="00F02087">
            <w:pPr>
              <w:spacing w:line="259" w:lineRule="auto"/>
              <w:rPr>
                <w:rFonts w:asciiTheme="minorHAnsi" w:hAnsiTheme="minorHAnsi" w:cstheme="minorHAnsi"/>
                <w:sz w:val="18"/>
                <w:szCs w:val="18"/>
              </w:rPr>
            </w:pPr>
            <w:r w:rsidRPr="00BF11CB">
              <w:rPr>
                <w:rFonts w:asciiTheme="minorHAnsi" w:hAnsiTheme="minorHAnsi" w:cstheme="minorHAnsi"/>
                <w:sz w:val="18"/>
                <w:szCs w:val="18"/>
              </w:rPr>
              <w:t>6</w:t>
            </w:r>
          </w:p>
        </w:tc>
        <w:tc>
          <w:tcPr>
            <w:tcW w:w="2276" w:type="dxa"/>
            <w:shd w:val="clear" w:color="auto" w:fill="F2F2F2" w:themeFill="background1" w:themeFillShade="F2"/>
            <w:vAlign w:val="center"/>
            <w:hideMark/>
          </w:tcPr>
          <w:p w14:paraId="44F41489" w14:textId="0E08E2C8" w:rsidR="00851511" w:rsidRPr="00BF11CB" w:rsidRDefault="00851511" w:rsidP="00F02087">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BF11CB">
              <w:rPr>
                <w:rFonts w:asciiTheme="minorHAnsi" w:hAnsiTheme="minorHAnsi" w:cstheme="minorHAnsi"/>
                <w:sz w:val="18"/>
                <w:szCs w:val="18"/>
              </w:rPr>
              <w:t xml:space="preserve">PRTD </w:t>
            </w:r>
            <w:r w:rsidR="000E6FB3" w:rsidRPr="00BF11CB">
              <w:rPr>
                <w:rFonts w:asciiTheme="minorHAnsi" w:hAnsiTheme="minorHAnsi" w:cstheme="minorHAnsi"/>
                <w:sz w:val="18"/>
                <w:szCs w:val="18"/>
              </w:rPr>
              <w:t>-</w:t>
            </w:r>
            <w:r w:rsidRPr="00BF11CB">
              <w:rPr>
                <w:rFonts w:asciiTheme="minorHAnsi" w:hAnsiTheme="minorHAnsi" w:cstheme="minorHAnsi"/>
                <w:sz w:val="18"/>
                <w:szCs w:val="18"/>
              </w:rPr>
              <w:t xml:space="preserve"> Projet de Résilience des Terres et du Développement</w:t>
            </w:r>
          </w:p>
        </w:tc>
        <w:tc>
          <w:tcPr>
            <w:tcW w:w="744" w:type="dxa"/>
            <w:vAlign w:val="center"/>
          </w:tcPr>
          <w:p w14:paraId="62C4A289" w14:textId="3225E584"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-136</w:t>
            </w:r>
          </w:p>
        </w:tc>
        <w:tc>
          <w:tcPr>
            <w:tcW w:w="745" w:type="dxa"/>
            <w:vAlign w:val="center"/>
          </w:tcPr>
          <w:p w14:paraId="2C9C48A6" w14:textId="72E2C42E"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-147</w:t>
            </w:r>
          </w:p>
        </w:tc>
        <w:tc>
          <w:tcPr>
            <w:tcW w:w="745" w:type="dxa"/>
            <w:vAlign w:val="center"/>
          </w:tcPr>
          <w:p w14:paraId="029BCAD8" w14:textId="008D00A4"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-154</w:t>
            </w:r>
          </w:p>
        </w:tc>
        <w:tc>
          <w:tcPr>
            <w:tcW w:w="746" w:type="dxa"/>
            <w:vAlign w:val="center"/>
          </w:tcPr>
          <w:p w14:paraId="2DC17F56" w14:textId="3C5E44A8"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-158</w:t>
            </w:r>
          </w:p>
        </w:tc>
        <w:tc>
          <w:tcPr>
            <w:tcW w:w="745" w:type="dxa"/>
            <w:vAlign w:val="center"/>
          </w:tcPr>
          <w:p w14:paraId="733EC8EE" w14:textId="077CB9E7"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-161</w:t>
            </w:r>
          </w:p>
        </w:tc>
        <w:tc>
          <w:tcPr>
            <w:tcW w:w="745" w:type="dxa"/>
            <w:vAlign w:val="center"/>
          </w:tcPr>
          <w:p w14:paraId="4AAF3644" w14:textId="56F47BD4"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-162</w:t>
            </w:r>
          </w:p>
        </w:tc>
        <w:tc>
          <w:tcPr>
            <w:tcW w:w="830" w:type="dxa"/>
            <w:vAlign w:val="center"/>
          </w:tcPr>
          <w:p w14:paraId="3EC1A672" w14:textId="7C3F5498"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-163</w:t>
            </w:r>
          </w:p>
        </w:tc>
        <w:tc>
          <w:tcPr>
            <w:tcW w:w="830" w:type="dxa"/>
            <w:vAlign w:val="center"/>
          </w:tcPr>
          <w:p w14:paraId="261B31CA" w14:textId="249D5098"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-163</w:t>
            </w:r>
          </w:p>
        </w:tc>
        <w:tc>
          <w:tcPr>
            <w:tcW w:w="830" w:type="dxa"/>
            <w:vAlign w:val="center"/>
          </w:tcPr>
          <w:p w14:paraId="7C51EC12" w14:textId="422996FC"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-164</w:t>
            </w:r>
          </w:p>
        </w:tc>
        <w:tc>
          <w:tcPr>
            <w:tcW w:w="830" w:type="dxa"/>
            <w:vAlign w:val="center"/>
          </w:tcPr>
          <w:p w14:paraId="6DDA58A3" w14:textId="50920B20" w:rsidR="00851511" w:rsidRPr="00F73329" w:rsidRDefault="00DC7249" w:rsidP="00F02087">
            <w:pPr>
              <w:spacing w:line="259"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F73329">
              <w:rPr>
                <w:sz w:val="16"/>
                <w:szCs w:val="16"/>
              </w:rPr>
              <w:t>-164</w:t>
            </w:r>
          </w:p>
        </w:tc>
      </w:tr>
      <w:tr w:rsidR="00CE061C" w:rsidRPr="00BF11CB" w14:paraId="4F3DA44A" w14:textId="77777777" w:rsidTr="00BF25FE">
        <w:trPr>
          <w:trHeight w:val="567"/>
        </w:trPr>
        <w:tc>
          <w:tcPr>
            <w:cnfStyle w:val="001000000000" w:firstRow="0" w:lastRow="0" w:firstColumn="1" w:lastColumn="0" w:oddVBand="0" w:evenVBand="0" w:oddHBand="0" w:evenHBand="0" w:firstRowFirstColumn="0" w:firstRowLastColumn="0" w:lastRowFirstColumn="0" w:lastRowLastColumn="0"/>
            <w:tcW w:w="2842" w:type="dxa"/>
            <w:gridSpan w:val="2"/>
            <w:shd w:val="clear" w:color="auto" w:fill="F2F2F2" w:themeFill="background1" w:themeFillShade="F2"/>
            <w:vAlign w:val="center"/>
            <w:hideMark/>
          </w:tcPr>
          <w:p w14:paraId="03A24972" w14:textId="77777777" w:rsidR="00CE061C" w:rsidRPr="00BF11CB" w:rsidRDefault="00CE061C" w:rsidP="00F02087">
            <w:pPr>
              <w:spacing w:line="259" w:lineRule="auto"/>
              <w:rPr>
                <w:rFonts w:asciiTheme="minorHAnsi" w:hAnsiTheme="minorHAnsi" w:cstheme="minorHAnsi"/>
                <w:sz w:val="18"/>
                <w:szCs w:val="18"/>
              </w:rPr>
            </w:pPr>
            <w:r w:rsidRPr="00BF11CB">
              <w:rPr>
                <w:rFonts w:asciiTheme="minorHAnsi" w:hAnsiTheme="minorHAnsi" w:cstheme="minorHAnsi"/>
                <w:sz w:val="18"/>
                <w:szCs w:val="18"/>
              </w:rPr>
              <w:t>Séquestration totale secteur forêt</w:t>
            </w:r>
          </w:p>
        </w:tc>
        <w:tc>
          <w:tcPr>
            <w:tcW w:w="744" w:type="dxa"/>
            <w:vAlign w:val="center"/>
          </w:tcPr>
          <w:p w14:paraId="03E845BA" w14:textId="11D4FC5B" w:rsidR="00CE061C" w:rsidRPr="00BF25FE" w:rsidRDefault="00BF25FE" w:rsidP="00F02087">
            <w:pPr>
              <w:spacing w:line="259" w:lineRule="auto"/>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BF25FE">
              <w:rPr>
                <w:b/>
                <w:bCs/>
                <w:sz w:val="16"/>
                <w:szCs w:val="16"/>
              </w:rPr>
              <w:t>-33</w:t>
            </w:r>
            <w:r>
              <w:rPr>
                <w:b/>
                <w:bCs/>
                <w:sz w:val="16"/>
                <w:szCs w:val="16"/>
              </w:rPr>
              <w:t xml:space="preserve"> </w:t>
            </w:r>
            <w:r w:rsidRPr="00BF25FE">
              <w:rPr>
                <w:b/>
                <w:bCs/>
                <w:sz w:val="16"/>
                <w:szCs w:val="16"/>
              </w:rPr>
              <w:t>282</w:t>
            </w:r>
          </w:p>
        </w:tc>
        <w:tc>
          <w:tcPr>
            <w:tcW w:w="745" w:type="dxa"/>
            <w:vAlign w:val="center"/>
          </w:tcPr>
          <w:p w14:paraId="00C7A39A" w14:textId="1E189AD1" w:rsidR="00CE061C" w:rsidRPr="00BF25FE" w:rsidRDefault="00BF25FE" w:rsidP="00F02087">
            <w:pPr>
              <w:spacing w:line="259" w:lineRule="auto"/>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BF25FE">
              <w:rPr>
                <w:b/>
                <w:bCs/>
                <w:sz w:val="16"/>
                <w:szCs w:val="16"/>
              </w:rPr>
              <w:t>-38</w:t>
            </w:r>
            <w:r>
              <w:rPr>
                <w:b/>
                <w:bCs/>
                <w:sz w:val="16"/>
                <w:szCs w:val="16"/>
              </w:rPr>
              <w:t xml:space="preserve"> </w:t>
            </w:r>
            <w:r w:rsidRPr="00BF25FE">
              <w:rPr>
                <w:b/>
                <w:bCs/>
                <w:sz w:val="16"/>
                <w:szCs w:val="16"/>
              </w:rPr>
              <w:t>393</w:t>
            </w:r>
          </w:p>
        </w:tc>
        <w:tc>
          <w:tcPr>
            <w:tcW w:w="745" w:type="dxa"/>
            <w:vAlign w:val="center"/>
          </w:tcPr>
          <w:p w14:paraId="05DBF2D0" w14:textId="347ED4B8" w:rsidR="00CE061C" w:rsidRPr="00BF25FE" w:rsidRDefault="00BF25FE" w:rsidP="00F02087">
            <w:pPr>
              <w:spacing w:line="259" w:lineRule="auto"/>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BF25FE">
              <w:rPr>
                <w:b/>
                <w:bCs/>
                <w:sz w:val="16"/>
                <w:szCs w:val="16"/>
              </w:rPr>
              <w:t>-43</w:t>
            </w:r>
            <w:r>
              <w:rPr>
                <w:b/>
                <w:bCs/>
                <w:sz w:val="16"/>
                <w:szCs w:val="16"/>
              </w:rPr>
              <w:t xml:space="preserve"> </w:t>
            </w:r>
            <w:r w:rsidRPr="00BF25FE">
              <w:rPr>
                <w:b/>
                <w:bCs/>
                <w:sz w:val="16"/>
                <w:szCs w:val="16"/>
              </w:rPr>
              <w:t>500</w:t>
            </w:r>
          </w:p>
        </w:tc>
        <w:tc>
          <w:tcPr>
            <w:tcW w:w="746" w:type="dxa"/>
            <w:vAlign w:val="center"/>
          </w:tcPr>
          <w:p w14:paraId="61FEBAF3" w14:textId="7E30642B" w:rsidR="00CE061C" w:rsidRPr="00BF25FE" w:rsidRDefault="00BF25FE" w:rsidP="00F02087">
            <w:pPr>
              <w:spacing w:line="259" w:lineRule="auto"/>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BF25FE">
              <w:rPr>
                <w:b/>
                <w:bCs/>
                <w:sz w:val="16"/>
                <w:szCs w:val="16"/>
              </w:rPr>
              <w:t>-48</w:t>
            </w:r>
            <w:r>
              <w:rPr>
                <w:b/>
                <w:bCs/>
                <w:sz w:val="16"/>
                <w:szCs w:val="16"/>
              </w:rPr>
              <w:t xml:space="preserve"> </w:t>
            </w:r>
            <w:r w:rsidRPr="00BF25FE">
              <w:rPr>
                <w:b/>
                <w:bCs/>
                <w:sz w:val="16"/>
                <w:szCs w:val="16"/>
              </w:rPr>
              <w:t>572</w:t>
            </w:r>
          </w:p>
        </w:tc>
        <w:tc>
          <w:tcPr>
            <w:tcW w:w="745" w:type="dxa"/>
            <w:vAlign w:val="center"/>
          </w:tcPr>
          <w:p w14:paraId="0456FA1E" w14:textId="3A629491" w:rsidR="00CE061C" w:rsidRPr="00BF25FE" w:rsidRDefault="00BF25FE" w:rsidP="00F02087">
            <w:pPr>
              <w:spacing w:line="259" w:lineRule="auto"/>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BF25FE">
              <w:rPr>
                <w:b/>
                <w:bCs/>
                <w:sz w:val="16"/>
                <w:szCs w:val="16"/>
              </w:rPr>
              <w:t>-51</w:t>
            </w:r>
            <w:r>
              <w:rPr>
                <w:b/>
                <w:bCs/>
                <w:sz w:val="16"/>
                <w:szCs w:val="16"/>
              </w:rPr>
              <w:t xml:space="preserve"> </w:t>
            </w:r>
            <w:r w:rsidRPr="00BF25FE">
              <w:rPr>
                <w:b/>
                <w:bCs/>
                <w:sz w:val="16"/>
                <w:szCs w:val="16"/>
              </w:rPr>
              <w:t>738</w:t>
            </w:r>
          </w:p>
        </w:tc>
        <w:tc>
          <w:tcPr>
            <w:tcW w:w="745" w:type="dxa"/>
            <w:vAlign w:val="center"/>
          </w:tcPr>
          <w:p w14:paraId="17C61277" w14:textId="22F975A3" w:rsidR="00CE061C" w:rsidRPr="00BF25FE" w:rsidRDefault="00BF25FE" w:rsidP="00F02087">
            <w:pPr>
              <w:spacing w:line="259" w:lineRule="auto"/>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BF25FE">
              <w:rPr>
                <w:b/>
                <w:bCs/>
                <w:sz w:val="16"/>
                <w:szCs w:val="16"/>
              </w:rPr>
              <w:t>-54</w:t>
            </w:r>
            <w:r>
              <w:rPr>
                <w:b/>
                <w:bCs/>
                <w:sz w:val="16"/>
                <w:szCs w:val="16"/>
              </w:rPr>
              <w:t xml:space="preserve"> </w:t>
            </w:r>
            <w:r w:rsidRPr="00BF25FE">
              <w:rPr>
                <w:b/>
                <w:bCs/>
                <w:sz w:val="16"/>
                <w:szCs w:val="16"/>
              </w:rPr>
              <w:t>904</w:t>
            </w:r>
          </w:p>
        </w:tc>
        <w:tc>
          <w:tcPr>
            <w:tcW w:w="830" w:type="dxa"/>
            <w:vAlign w:val="center"/>
          </w:tcPr>
          <w:p w14:paraId="24BF103C" w14:textId="68793FC3" w:rsidR="00CE061C" w:rsidRPr="00BF25FE" w:rsidRDefault="00BF25FE" w:rsidP="00F02087">
            <w:pPr>
              <w:spacing w:line="259" w:lineRule="auto"/>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BF25FE">
              <w:rPr>
                <w:b/>
                <w:bCs/>
                <w:sz w:val="16"/>
                <w:szCs w:val="16"/>
              </w:rPr>
              <w:t>-58</w:t>
            </w:r>
            <w:r>
              <w:rPr>
                <w:b/>
                <w:bCs/>
                <w:sz w:val="16"/>
                <w:szCs w:val="16"/>
              </w:rPr>
              <w:t xml:space="preserve"> </w:t>
            </w:r>
            <w:r w:rsidRPr="00BF25FE">
              <w:rPr>
                <w:b/>
                <w:bCs/>
                <w:sz w:val="16"/>
                <w:szCs w:val="16"/>
              </w:rPr>
              <w:t>069</w:t>
            </w:r>
          </w:p>
        </w:tc>
        <w:tc>
          <w:tcPr>
            <w:tcW w:w="830" w:type="dxa"/>
            <w:vAlign w:val="center"/>
          </w:tcPr>
          <w:p w14:paraId="50DE9FB1" w14:textId="45F30D50" w:rsidR="00CE061C" w:rsidRPr="00BF25FE" w:rsidRDefault="00BF25FE" w:rsidP="00F02087">
            <w:pPr>
              <w:spacing w:line="259" w:lineRule="auto"/>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BF25FE">
              <w:rPr>
                <w:b/>
                <w:bCs/>
                <w:sz w:val="16"/>
                <w:szCs w:val="16"/>
              </w:rPr>
              <w:t>-61</w:t>
            </w:r>
            <w:r>
              <w:rPr>
                <w:b/>
                <w:bCs/>
                <w:sz w:val="16"/>
                <w:szCs w:val="16"/>
              </w:rPr>
              <w:t xml:space="preserve"> </w:t>
            </w:r>
            <w:r w:rsidRPr="00BF25FE">
              <w:rPr>
                <w:b/>
                <w:bCs/>
                <w:sz w:val="16"/>
                <w:szCs w:val="16"/>
              </w:rPr>
              <w:t>234</w:t>
            </w:r>
          </w:p>
        </w:tc>
        <w:tc>
          <w:tcPr>
            <w:tcW w:w="830" w:type="dxa"/>
            <w:vAlign w:val="center"/>
          </w:tcPr>
          <w:p w14:paraId="07A13799" w14:textId="2FFA7E87" w:rsidR="00CE061C" w:rsidRPr="00BF25FE" w:rsidRDefault="00BF25FE" w:rsidP="00F02087">
            <w:pPr>
              <w:spacing w:line="259" w:lineRule="auto"/>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BF25FE">
              <w:rPr>
                <w:b/>
                <w:bCs/>
                <w:sz w:val="16"/>
                <w:szCs w:val="16"/>
              </w:rPr>
              <w:t>-64</w:t>
            </w:r>
            <w:r>
              <w:rPr>
                <w:b/>
                <w:bCs/>
                <w:sz w:val="16"/>
                <w:szCs w:val="16"/>
              </w:rPr>
              <w:t xml:space="preserve"> </w:t>
            </w:r>
            <w:r w:rsidRPr="00BF25FE">
              <w:rPr>
                <w:b/>
                <w:bCs/>
                <w:sz w:val="16"/>
                <w:szCs w:val="16"/>
              </w:rPr>
              <w:t>832</w:t>
            </w:r>
          </w:p>
        </w:tc>
        <w:tc>
          <w:tcPr>
            <w:tcW w:w="830" w:type="dxa"/>
            <w:vAlign w:val="center"/>
          </w:tcPr>
          <w:p w14:paraId="4EDEAA72" w14:textId="7737D750" w:rsidR="00CE061C" w:rsidRPr="00BF25FE" w:rsidRDefault="00BF25FE" w:rsidP="00F02087">
            <w:pPr>
              <w:spacing w:line="259" w:lineRule="auto"/>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BF25FE">
              <w:rPr>
                <w:b/>
                <w:bCs/>
                <w:sz w:val="16"/>
                <w:szCs w:val="16"/>
              </w:rPr>
              <w:t>-67</w:t>
            </w:r>
            <w:r>
              <w:rPr>
                <w:b/>
                <w:bCs/>
                <w:sz w:val="16"/>
                <w:szCs w:val="16"/>
              </w:rPr>
              <w:t xml:space="preserve"> </w:t>
            </w:r>
            <w:r w:rsidRPr="00BF25FE">
              <w:rPr>
                <w:b/>
                <w:bCs/>
                <w:sz w:val="16"/>
                <w:szCs w:val="16"/>
              </w:rPr>
              <w:t>309</w:t>
            </w:r>
          </w:p>
        </w:tc>
      </w:tr>
    </w:tbl>
    <w:p w14:paraId="52107704" w14:textId="1A6FEF16" w:rsidR="00BF25FE" w:rsidRDefault="00D7036E" w:rsidP="00A041A7">
      <w:pPr>
        <w:spacing w:before="240" w:after="0"/>
        <w:jc w:val="both"/>
      </w:pPr>
      <w:r>
        <w:t>Les estimations montrent une augmentation progressive de la séquestration annuelle sur la période 2026</w:t>
      </w:r>
      <w:r w:rsidR="00F056C0">
        <w:t>-</w:t>
      </w:r>
      <w:r>
        <w:t xml:space="preserve">2035. La séquestration totale du portefeuille passe d’environ </w:t>
      </w:r>
      <w:r w:rsidR="00BF25FE" w:rsidRPr="00BF25FE">
        <w:t>-33 282</w:t>
      </w:r>
      <w:r w:rsidR="00BF25FE">
        <w:t xml:space="preserve"> </w:t>
      </w:r>
      <w:r>
        <w:t xml:space="preserve">ktCO₂e/an en 2026 à </w:t>
      </w:r>
      <w:r w:rsidR="00BF25FE" w:rsidRPr="00BF25FE">
        <w:t>-67 309</w:t>
      </w:r>
      <w:r w:rsidR="00BF25FE">
        <w:t xml:space="preserve"> </w:t>
      </w:r>
      <w:r>
        <w:t xml:space="preserve">ktCO₂e/an en 2035. Les principales contributions proviennent du </w:t>
      </w:r>
      <w:r w:rsidR="00BF25FE" w:rsidRPr="00BF25FE">
        <w:t>Programme de reboisement intensif et restauration du couvert végétal</w:t>
      </w:r>
      <w:r w:rsidR="00BF25FE">
        <w:t xml:space="preserve"> et du </w:t>
      </w:r>
      <w:r w:rsidR="00BF25FE" w:rsidRPr="00BF25FE">
        <w:t>Programme de développement et de valorisation des PFNL et résilience des communautés</w:t>
      </w:r>
      <w:r w:rsidR="00BF25FE">
        <w:t>.</w:t>
      </w:r>
    </w:p>
    <w:p w14:paraId="6E013EDC" w14:textId="305F89FB" w:rsidR="00F056C0" w:rsidRDefault="00F056C0" w:rsidP="00A041A7">
      <w:pPr>
        <w:spacing w:before="240" w:after="0"/>
        <w:jc w:val="both"/>
      </w:pPr>
      <w:r w:rsidRPr="00F056C0">
        <w:t>Sur la base de la ligne de base déjà établie et des impacts d’atténuation estimés par mesure à l’aide de l’outil EX-ACT, une ligne d’atténuation a été construite pour le secteur des forêts. Cette ligne d’atténuation correspond à la trajectoire projetée des émissions nettes du secteur après prise en compte des gains de séquestration générés par les mesures retenues dans le portefeuille de la CDN 3.0.</w:t>
      </w:r>
    </w:p>
    <w:p w14:paraId="1F6D92CA" w14:textId="170906D7" w:rsidR="00A041A7" w:rsidRDefault="00A041A7" w:rsidP="00CD68E6">
      <w:pPr>
        <w:spacing w:before="240" w:after="240"/>
        <w:jc w:val="both"/>
      </w:pPr>
      <w:r w:rsidRPr="00A041A7">
        <w:t>Elle permet de comparer, année par année, la situation de référence du secteur avec la situation attendue en cas de mise en œuvre des mesures d’atténuation. L’écart entre la ligne de base et la ligne d’atténuation représente donc l’effet additionnel du portefeuille forestier sur la séquestration nette de CO₂.</w:t>
      </w:r>
    </w:p>
    <w:p w14:paraId="75D53EF5" w14:textId="1C581EF8" w:rsidR="00A041A7" w:rsidRPr="00CD68E6" w:rsidRDefault="00A041A7" w:rsidP="00CD68E6">
      <w:pPr>
        <w:pStyle w:val="Lgende"/>
        <w:keepNext/>
        <w:spacing w:after="0"/>
        <w:rPr>
          <w:sz w:val="20"/>
          <w:szCs w:val="20"/>
        </w:rPr>
      </w:pPr>
      <w:bookmarkStart w:id="70" w:name="_Toc234853951"/>
      <w:r w:rsidRPr="00CD68E6">
        <w:rPr>
          <w:sz w:val="20"/>
          <w:szCs w:val="20"/>
        </w:rPr>
        <w:t xml:space="preserve">Tableau </w:t>
      </w:r>
      <w:r w:rsidRPr="00CD68E6">
        <w:rPr>
          <w:sz w:val="20"/>
          <w:szCs w:val="20"/>
        </w:rPr>
        <w:fldChar w:fldCharType="begin"/>
      </w:r>
      <w:r w:rsidRPr="00CD68E6">
        <w:rPr>
          <w:sz w:val="20"/>
          <w:szCs w:val="20"/>
        </w:rPr>
        <w:instrText xml:space="preserve"> SEQ Tableau \* ARABIC </w:instrText>
      </w:r>
      <w:r w:rsidRPr="00CD68E6">
        <w:rPr>
          <w:sz w:val="20"/>
          <w:szCs w:val="20"/>
        </w:rPr>
        <w:fldChar w:fldCharType="separate"/>
      </w:r>
      <w:r w:rsidR="0018772E">
        <w:rPr>
          <w:noProof/>
          <w:sz w:val="20"/>
          <w:szCs w:val="20"/>
        </w:rPr>
        <w:t>27</w:t>
      </w:r>
      <w:r w:rsidRPr="00CD68E6">
        <w:rPr>
          <w:sz w:val="20"/>
          <w:szCs w:val="20"/>
        </w:rPr>
        <w:fldChar w:fldCharType="end"/>
      </w:r>
      <w:r w:rsidRPr="00CD68E6">
        <w:rPr>
          <w:sz w:val="20"/>
          <w:szCs w:val="20"/>
        </w:rPr>
        <w:t xml:space="preserve"> : </w:t>
      </w:r>
      <w:r w:rsidR="00E92D5B" w:rsidRPr="00CD68E6">
        <w:rPr>
          <w:sz w:val="20"/>
          <w:szCs w:val="20"/>
        </w:rPr>
        <w:t>Trajectoires de référence et d’atténuation du secteur des forêts sur la période 2026</w:t>
      </w:r>
      <w:r w:rsidR="000E6FB3" w:rsidRPr="00CD68E6">
        <w:rPr>
          <w:sz w:val="20"/>
          <w:szCs w:val="20"/>
        </w:rPr>
        <w:t>-</w:t>
      </w:r>
      <w:r w:rsidR="00E92D5B" w:rsidRPr="00CD68E6">
        <w:rPr>
          <w:sz w:val="20"/>
          <w:szCs w:val="20"/>
        </w:rPr>
        <w:t>2035, en ktCO₂e</w:t>
      </w:r>
      <w:bookmarkEnd w:id="70"/>
    </w:p>
    <w:tbl>
      <w:tblPr>
        <w:tblStyle w:val="Tableausimple2"/>
        <w:tblW w:w="572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951"/>
        <w:gridCol w:w="951"/>
        <w:gridCol w:w="951"/>
        <w:gridCol w:w="951"/>
        <w:gridCol w:w="951"/>
        <w:gridCol w:w="951"/>
        <w:gridCol w:w="950"/>
        <w:gridCol w:w="950"/>
        <w:gridCol w:w="950"/>
        <w:gridCol w:w="950"/>
      </w:tblGrid>
      <w:tr w:rsidR="00A221CA" w:rsidRPr="00BB364F" w14:paraId="2D6214E8" w14:textId="77777777" w:rsidTr="00BB364F">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588" w:type="pct"/>
            <w:shd w:val="clear" w:color="auto" w:fill="1F4E79" w:themeFill="accent1" w:themeFillShade="80"/>
            <w:vAlign w:val="center"/>
            <w:hideMark/>
          </w:tcPr>
          <w:p w14:paraId="4BE89260" w14:textId="77777777" w:rsidR="00A221CA" w:rsidRPr="00BB364F" w:rsidRDefault="00A221CA" w:rsidP="008F328C">
            <w:pPr>
              <w:jc w:val="center"/>
              <w:rPr>
                <w:rFonts w:asciiTheme="minorHAnsi" w:eastAsia="Times New Roman" w:hAnsiTheme="minorHAnsi" w:cstheme="minorHAnsi"/>
                <w:color w:val="FFFFFF" w:themeColor="background1"/>
                <w:sz w:val="18"/>
                <w:szCs w:val="18"/>
                <w:lang w:eastAsia="fr-FR"/>
              </w:rPr>
            </w:pPr>
            <w:r w:rsidRPr="00BB364F">
              <w:rPr>
                <w:rFonts w:asciiTheme="minorHAnsi" w:eastAsia="Times New Roman" w:hAnsiTheme="minorHAnsi" w:cstheme="minorHAnsi"/>
                <w:color w:val="FFFFFF" w:themeColor="background1"/>
                <w:sz w:val="18"/>
                <w:szCs w:val="18"/>
                <w:lang w:eastAsia="fr-FR"/>
              </w:rPr>
              <w:t>Trajectoire</w:t>
            </w:r>
          </w:p>
        </w:tc>
        <w:tc>
          <w:tcPr>
            <w:tcW w:w="441" w:type="pct"/>
            <w:shd w:val="clear" w:color="auto" w:fill="1F4E79" w:themeFill="accent1" w:themeFillShade="80"/>
            <w:vAlign w:val="center"/>
            <w:hideMark/>
          </w:tcPr>
          <w:p w14:paraId="34445121" w14:textId="77777777" w:rsidR="00A221CA" w:rsidRPr="00BB364F" w:rsidRDefault="00A221CA" w:rsidP="008F328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18"/>
                <w:szCs w:val="18"/>
                <w:lang w:eastAsia="fr-FR"/>
              </w:rPr>
            </w:pPr>
            <w:r w:rsidRPr="00BB364F">
              <w:rPr>
                <w:rFonts w:asciiTheme="minorHAnsi" w:eastAsia="Times New Roman" w:hAnsiTheme="minorHAnsi" w:cstheme="minorHAnsi"/>
                <w:color w:val="FFFFFF" w:themeColor="background1"/>
                <w:sz w:val="18"/>
                <w:szCs w:val="18"/>
                <w:lang w:eastAsia="fr-FR"/>
              </w:rPr>
              <w:t>2026</w:t>
            </w:r>
          </w:p>
        </w:tc>
        <w:tc>
          <w:tcPr>
            <w:tcW w:w="441" w:type="pct"/>
            <w:shd w:val="clear" w:color="auto" w:fill="1F4E79" w:themeFill="accent1" w:themeFillShade="80"/>
            <w:vAlign w:val="center"/>
            <w:hideMark/>
          </w:tcPr>
          <w:p w14:paraId="3BE93A2D" w14:textId="77777777" w:rsidR="00A221CA" w:rsidRPr="00BB364F" w:rsidRDefault="00A221CA" w:rsidP="008F328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18"/>
                <w:szCs w:val="18"/>
                <w:lang w:eastAsia="fr-FR"/>
              </w:rPr>
            </w:pPr>
            <w:r w:rsidRPr="00BB364F">
              <w:rPr>
                <w:rFonts w:asciiTheme="minorHAnsi" w:eastAsia="Times New Roman" w:hAnsiTheme="minorHAnsi" w:cstheme="minorHAnsi"/>
                <w:color w:val="FFFFFF" w:themeColor="background1"/>
                <w:sz w:val="18"/>
                <w:szCs w:val="18"/>
                <w:lang w:eastAsia="fr-FR"/>
              </w:rPr>
              <w:t>2027</w:t>
            </w:r>
          </w:p>
        </w:tc>
        <w:tc>
          <w:tcPr>
            <w:tcW w:w="441" w:type="pct"/>
            <w:shd w:val="clear" w:color="auto" w:fill="1F4E79" w:themeFill="accent1" w:themeFillShade="80"/>
            <w:vAlign w:val="center"/>
            <w:hideMark/>
          </w:tcPr>
          <w:p w14:paraId="7D69AC5B" w14:textId="77777777" w:rsidR="00A221CA" w:rsidRPr="00BB364F" w:rsidRDefault="00A221CA" w:rsidP="008F328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18"/>
                <w:szCs w:val="18"/>
                <w:lang w:eastAsia="fr-FR"/>
              </w:rPr>
            </w:pPr>
            <w:r w:rsidRPr="00BB364F">
              <w:rPr>
                <w:rFonts w:asciiTheme="minorHAnsi" w:eastAsia="Times New Roman" w:hAnsiTheme="minorHAnsi" w:cstheme="minorHAnsi"/>
                <w:color w:val="FFFFFF" w:themeColor="background1"/>
                <w:sz w:val="18"/>
                <w:szCs w:val="18"/>
                <w:lang w:eastAsia="fr-FR"/>
              </w:rPr>
              <w:t>2028</w:t>
            </w:r>
          </w:p>
        </w:tc>
        <w:tc>
          <w:tcPr>
            <w:tcW w:w="441" w:type="pct"/>
            <w:shd w:val="clear" w:color="auto" w:fill="1F4E79" w:themeFill="accent1" w:themeFillShade="80"/>
            <w:vAlign w:val="center"/>
            <w:hideMark/>
          </w:tcPr>
          <w:p w14:paraId="5A06215C" w14:textId="77777777" w:rsidR="00A221CA" w:rsidRPr="00BB364F" w:rsidRDefault="00A221CA" w:rsidP="008F328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18"/>
                <w:szCs w:val="18"/>
                <w:lang w:eastAsia="fr-FR"/>
              </w:rPr>
            </w:pPr>
            <w:r w:rsidRPr="00BB364F">
              <w:rPr>
                <w:rFonts w:asciiTheme="minorHAnsi" w:eastAsia="Times New Roman" w:hAnsiTheme="minorHAnsi" w:cstheme="minorHAnsi"/>
                <w:color w:val="FFFFFF" w:themeColor="background1"/>
                <w:sz w:val="18"/>
                <w:szCs w:val="18"/>
                <w:lang w:eastAsia="fr-FR"/>
              </w:rPr>
              <w:t>2029</w:t>
            </w:r>
          </w:p>
        </w:tc>
        <w:tc>
          <w:tcPr>
            <w:tcW w:w="441" w:type="pct"/>
            <w:shd w:val="clear" w:color="auto" w:fill="1F4E79" w:themeFill="accent1" w:themeFillShade="80"/>
            <w:vAlign w:val="center"/>
            <w:hideMark/>
          </w:tcPr>
          <w:p w14:paraId="383A9B77" w14:textId="77777777" w:rsidR="00A221CA" w:rsidRPr="00BB364F" w:rsidRDefault="00A221CA" w:rsidP="008F328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18"/>
                <w:szCs w:val="18"/>
                <w:lang w:eastAsia="fr-FR"/>
              </w:rPr>
            </w:pPr>
            <w:r w:rsidRPr="00BB364F">
              <w:rPr>
                <w:rFonts w:asciiTheme="minorHAnsi" w:eastAsia="Times New Roman" w:hAnsiTheme="minorHAnsi" w:cstheme="minorHAnsi"/>
                <w:color w:val="FFFFFF" w:themeColor="background1"/>
                <w:sz w:val="18"/>
                <w:szCs w:val="18"/>
                <w:lang w:eastAsia="fr-FR"/>
              </w:rPr>
              <w:t>2030</w:t>
            </w:r>
          </w:p>
        </w:tc>
        <w:tc>
          <w:tcPr>
            <w:tcW w:w="441" w:type="pct"/>
            <w:shd w:val="clear" w:color="auto" w:fill="1F4E79" w:themeFill="accent1" w:themeFillShade="80"/>
            <w:vAlign w:val="center"/>
            <w:hideMark/>
          </w:tcPr>
          <w:p w14:paraId="3B6B044A" w14:textId="77777777" w:rsidR="00A221CA" w:rsidRPr="00BB364F" w:rsidRDefault="00A221CA" w:rsidP="008F328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18"/>
                <w:szCs w:val="18"/>
                <w:lang w:eastAsia="fr-FR"/>
              </w:rPr>
            </w:pPr>
            <w:r w:rsidRPr="00BB364F">
              <w:rPr>
                <w:rFonts w:asciiTheme="minorHAnsi" w:eastAsia="Times New Roman" w:hAnsiTheme="minorHAnsi" w:cstheme="minorHAnsi"/>
                <w:color w:val="FFFFFF" w:themeColor="background1"/>
                <w:sz w:val="18"/>
                <w:szCs w:val="18"/>
                <w:lang w:eastAsia="fr-FR"/>
              </w:rPr>
              <w:t>2031</w:t>
            </w:r>
          </w:p>
        </w:tc>
        <w:tc>
          <w:tcPr>
            <w:tcW w:w="441" w:type="pct"/>
            <w:shd w:val="clear" w:color="auto" w:fill="1F4E79" w:themeFill="accent1" w:themeFillShade="80"/>
            <w:vAlign w:val="center"/>
            <w:hideMark/>
          </w:tcPr>
          <w:p w14:paraId="13905F7B" w14:textId="77777777" w:rsidR="00A221CA" w:rsidRPr="00BB364F" w:rsidRDefault="00A221CA" w:rsidP="008F328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18"/>
                <w:szCs w:val="18"/>
                <w:lang w:eastAsia="fr-FR"/>
              </w:rPr>
            </w:pPr>
            <w:r w:rsidRPr="00BB364F">
              <w:rPr>
                <w:rFonts w:asciiTheme="minorHAnsi" w:eastAsia="Times New Roman" w:hAnsiTheme="minorHAnsi" w:cstheme="minorHAnsi"/>
                <w:color w:val="FFFFFF" w:themeColor="background1"/>
                <w:sz w:val="18"/>
                <w:szCs w:val="18"/>
                <w:lang w:eastAsia="fr-FR"/>
              </w:rPr>
              <w:t>2032</w:t>
            </w:r>
          </w:p>
        </w:tc>
        <w:tc>
          <w:tcPr>
            <w:tcW w:w="441" w:type="pct"/>
            <w:shd w:val="clear" w:color="auto" w:fill="1F4E79" w:themeFill="accent1" w:themeFillShade="80"/>
            <w:vAlign w:val="center"/>
            <w:hideMark/>
          </w:tcPr>
          <w:p w14:paraId="24ABA7EF" w14:textId="77777777" w:rsidR="00A221CA" w:rsidRPr="00BB364F" w:rsidRDefault="00A221CA" w:rsidP="008F328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18"/>
                <w:szCs w:val="18"/>
                <w:lang w:eastAsia="fr-FR"/>
              </w:rPr>
            </w:pPr>
            <w:r w:rsidRPr="00BB364F">
              <w:rPr>
                <w:rFonts w:asciiTheme="minorHAnsi" w:eastAsia="Times New Roman" w:hAnsiTheme="minorHAnsi" w:cstheme="minorHAnsi"/>
                <w:color w:val="FFFFFF" w:themeColor="background1"/>
                <w:sz w:val="18"/>
                <w:szCs w:val="18"/>
                <w:lang w:eastAsia="fr-FR"/>
              </w:rPr>
              <w:t>2033</w:t>
            </w:r>
          </w:p>
        </w:tc>
        <w:tc>
          <w:tcPr>
            <w:tcW w:w="441" w:type="pct"/>
            <w:shd w:val="clear" w:color="auto" w:fill="1F4E79" w:themeFill="accent1" w:themeFillShade="80"/>
            <w:vAlign w:val="center"/>
            <w:hideMark/>
          </w:tcPr>
          <w:p w14:paraId="685642C7" w14:textId="77777777" w:rsidR="00A221CA" w:rsidRPr="00BB364F" w:rsidRDefault="00A221CA" w:rsidP="008F328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18"/>
                <w:szCs w:val="18"/>
                <w:lang w:eastAsia="fr-FR"/>
              </w:rPr>
            </w:pPr>
            <w:r w:rsidRPr="00BB364F">
              <w:rPr>
                <w:rFonts w:asciiTheme="minorHAnsi" w:eastAsia="Times New Roman" w:hAnsiTheme="minorHAnsi" w:cstheme="minorHAnsi"/>
                <w:color w:val="FFFFFF" w:themeColor="background1"/>
                <w:sz w:val="18"/>
                <w:szCs w:val="18"/>
                <w:lang w:eastAsia="fr-FR"/>
              </w:rPr>
              <w:t>2034</w:t>
            </w:r>
          </w:p>
        </w:tc>
        <w:tc>
          <w:tcPr>
            <w:tcW w:w="441" w:type="pct"/>
            <w:shd w:val="clear" w:color="auto" w:fill="1F4E79" w:themeFill="accent1" w:themeFillShade="80"/>
            <w:vAlign w:val="center"/>
            <w:hideMark/>
          </w:tcPr>
          <w:p w14:paraId="504CCD05" w14:textId="77777777" w:rsidR="00A221CA" w:rsidRPr="00BB364F" w:rsidRDefault="00A221CA" w:rsidP="008F328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themeColor="background1"/>
                <w:sz w:val="18"/>
                <w:szCs w:val="18"/>
                <w:lang w:eastAsia="fr-FR"/>
              </w:rPr>
            </w:pPr>
            <w:r w:rsidRPr="00BB364F">
              <w:rPr>
                <w:rFonts w:asciiTheme="minorHAnsi" w:eastAsia="Times New Roman" w:hAnsiTheme="minorHAnsi" w:cstheme="minorHAnsi"/>
                <w:color w:val="FFFFFF" w:themeColor="background1"/>
                <w:sz w:val="18"/>
                <w:szCs w:val="18"/>
                <w:lang w:eastAsia="fr-FR"/>
              </w:rPr>
              <w:t>2035</w:t>
            </w:r>
          </w:p>
        </w:tc>
      </w:tr>
      <w:tr w:rsidR="00A221CA" w:rsidRPr="00BB364F" w14:paraId="1C5ECE31" w14:textId="77777777" w:rsidTr="00BB36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shd w:val="clear" w:color="auto" w:fill="D0CECE" w:themeFill="background2" w:themeFillShade="E6"/>
            <w:vAlign w:val="center"/>
            <w:hideMark/>
          </w:tcPr>
          <w:p w14:paraId="26C8C4D3" w14:textId="77777777" w:rsidR="00A221CA" w:rsidRPr="00BB364F" w:rsidRDefault="00A221CA" w:rsidP="008F328C">
            <w:pPr>
              <w:rPr>
                <w:rFonts w:asciiTheme="minorHAnsi" w:eastAsia="Times New Roman" w:hAnsiTheme="minorHAnsi" w:cstheme="minorHAnsi"/>
                <w:sz w:val="18"/>
                <w:szCs w:val="18"/>
                <w:lang w:eastAsia="fr-FR"/>
              </w:rPr>
            </w:pPr>
            <w:r w:rsidRPr="00BB364F">
              <w:rPr>
                <w:rFonts w:asciiTheme="minorHAnsi" w:eastAsia="Times New Roman" w:hAnsiTheme="minorHAnsi" w:cstheme="minorHAnsi"/>
                <w:sz w:val="18"/>
                <w:szCs w:val="18"/>
                <w:lang w:eastAsia="fr-FR"/>
              </w:rPr>
              <w:t>Ligne de base (ktCO₂e)</w:t>
            </w:r>
          </w:p>
        </w:tc>
        <w:tc>
          <w:tcPr>
            <w:tcW w:w="441" w:type="pct"/>
            <w:vAlign w:val="center"/>
            <w:hideMark/>
          </w:tcPr>
          <w:p w14:paraId="7F33A37F" w14:textId="77777777" w:rsidR="00A221CA" w:rsidRPr="00BB364F" w:rsidRDefault="00A221CA" w:rsidP="008F328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fr-FR"/>
              </w:rPr>
            </w:pPr>
            <w:r w:rsidRPr="00BB364F">
              <w:rPr>
                <w:rFonts w:asciiTheme="minorHAnsi" w:eastAsia="Times New Roman" w:hAnsiTheme="minorHAnsi" w:cstheme="minorHAnsi"/>
                <w:sz w:val="18"/>
                <w:szCs w:val="18"/>
                <w:lang w:eastAsia="fr-FR"/>
              </w:rPr>
              <w:t>-258 086</w:t>
            </w:r>
          </w:p>
        </w:tc>
        <w:tc>
          <w:tcPr>
            <w:tcW w:w="441" w:type="pct"/>
            <w:vAlign w:val="center"/>
            <w:hideMark/>
          </w:tcPr>
          <w:p w14:paraId="7B143EF6" w14:textId="77777777" w:rsidR="00A221CA" w:rsidRPr="00BB364F" w:rsidRDefault="00A221CA" w:rsidP="008F328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fr-FR"/>
              </w:rPr>
            </w:pPr>
            <w:r w:rsidRPr="00BB364F">
              <w:rPr>
                <w:rFonts w:asciiTheme="minorHAnsi" w:eastAsia="Times New Roman" w:hAnsiTheme="minorHAnsi" w:cstheme="minorHAnsi"/>
                <w:sz w:val="18"/>
                <w:szCs w:val="18"/>
                <w:lang w:eastAsia="fr-FR"/>
              </w:rPr>
              <w:t>-258 422</w:t>
            </w:r>
          </w:p>
        </w:tc>
        <w:tc>
          <w:tcPr>
            <w:tcW w:w="441" w:type="pct"/>
            <w:vAlign w:val="center"/>
            <w:hideMark/>
          </w:tcPr>
          <w:p w14:paraId="52C05F13" w14:textId="77777777" w:rsidR="00A221CA" w:rsidRPr="00BB364F" w:rsidRDefault="00A221CA" w:rsidP="008F328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fr-FR"/>
              </w:rPr>
            </w:pPr>
            <w:r w:rsidRPr="00BB364F">
              <w:rPr>
                <w:rFonts w:asciiTheme="minorHAnsi" w:eastAsia="Times New Roman" w:hAnsiTheme="minorHAnsi" w:cstheme="minorHAnsi"/>
                <w:sz w:val="18"/>
                <w:szCs w:val="18"/>
                <w:lang w:eastAsia="fr-FR"/>
              </w:rPr>
              <w:t>-258 758</w:t>
            </w:r>
          </w:p>
        </w:tc>
        <w:tc>
          <w:tcPr>
            <w:tcW w:w="441" w:type="pct"/>
            <w:vAlign w:val="center"/>
            <w:hideMark/>
          </w:tcPr>
          <w:p w14:paraId="390C318C" w14:textId="77777777" w:rsidR="00A221CA" w:rsidRPr="00BB364F" w:rsidRDefault="00A221CA" w:rsidP="008F328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fr-FR"/>
              </w:rPr>
            </w:pPr>
            <w:r w:rsidRPr="00BB364F">
              <w:rPr>
                <w:rFonts w:asciiTheme="minorHAnsi" w:eastAsia="Times New Roman" w:hAnsiTheme="minorHAnsi" w:cstheme="minorHAnsi"/>
                <w:sz w:val="18"/>
                <w:szCs w:val="18"/>
                <w:lang w:eastAsia="fr-FR"/>
              </w:rPr>
              <w:t>-259 094</w:t>
            </w:r>
          </w:p>
        </w:tc>
        <w:tc>
          <w:tcPr>
            <w:tcW w:w="441" w:type="pct"/>
            <w:vAlign w:val="center"/>
            <w:hideMark/>
          </w:tcPr>
          <w:p w14:paraId="23D592F1" w14:textId="77777777" w:rsidR="00A221CA" w:rsidRPr="00BB364F" w:rsidRDefault="00A221CA" w:rsidP="008F328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fr-FR"/>
              </w:rPr>
            </w:pPr>
            <w:r w:rsidRPr="00BB364F">
              <w:rPr>
                <w:rFonts w:asciiTheme="minorHAnsi" w:eastAsia="Times New Roman" w:hAnsiTheme="minorHAnsi" w:cstheme="minorHAnsi"/>
                <w:sz w:val="18"/>
                <w:szCs w:val="18"/>
                <w:lang w:eastAsia="fr-FR"/>
              </w:rPr>
              <w:t>-259 430</w:t>
            </w:r>
          </w:p>
        </w:tc>
        <w:tc>
          <w:tcPr>
            <w:tcW w:w="441" w:type="pct"/>
            <w:vAlign w:val="center"/>
            <w:hideMark/>
          </w:tcPr>
          <w:p w14:paraId="5372DB2D" w14:textId="77777777" w:rsidR="00A221CA" w:rsidRPr="00BB364F" w:rsidRDefault="00A221CA" w:rsidP="008F328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fr-FR"/>
              </w:rPr>
            </w:pPr>
            <w:r w:rsidRPr="00BB364F">
              <w:rPr>
                <w:rFonts w:asciiTheme="minorHAnsi" w:eastAsia="Times New Roman" w:hAnsiTheme="minorHAnsi" w:cstheme="minorHAnsi"/>
                <w:sz w:val="18"/>
                <w:szCs w:val="18"/>
                <w:lang w:eastAsia="fr-FR"/>
              </w:rPr>
              <w:t>-259 766</w:t>
            </w:r>
          </w:p>
        </w:tc>
        <w:tc>
          <w:tcPr>
            <w:tcW w:w="441" w:type="pct"/>
            <w:vAlign w:val="center"/>
            <w:hideMark/>
          </w:tcPr>
          <w:p w14:paraId="784F2CF4" w14:textId="77777777" w:rsidR="00A221CA" w:rsidRPr="00BB364F" w:rsidRDefault="00A221CA" w:rsidP="008F328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fr-FR"/>
              </w:rPr>
            </w:pPr>
            <w:r w:rsidRPr="00BB364F">
              <w:rPr>
                <w:rFonts w:asciiTheme="minorHAnsi" w:eastAsia="Times New Roman" w:hAnsiTheme="minorHAnsi" w:cstheme="minorHAnsi"/>
                <w:sz w:val="18"/>
                <w:szCs w:val="18"/>
                <w:lang w:eastAsia="fr-FR"/>
              </w:rPr>
              <w:t>-260 102</w:t>
            </w:r>
          </w:p>
        </w:tc>
        <w:tc>
          <w:tcPr>
            <w:tcW w:w="441" w:type="pct"/>
            <w:vAlign w:val="center"/>
            <w:hideMark/>
          </w:tcPr>
          <w:p w14:paraId="107C8428" w14:textId="77777777" w:rsidR="00A221CA" w:rsidRPr="00BB364F" w:rsidRDefault="00A221CA" w:rsidP="008F328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fr-FR"/>
              </w:rPr>
            </w:pPr>
            <w:r w:rsidRPr="00BB364F">
              <w:rPr>
                <w:rFonts w:asciiTheme="minorHAnsi" w:eastAsia="Times New Roman" w:hAnsiTheme="minorHAnsi" w:cstheme="minorHAnsi"/>
                <w:sz w:val="18"/>
                <w:szCs w:val="18"/>
                <w:lang w:eastAsia="fr-FR"/>
              </w:rPr>
              <w:t>-260 438</w:t>
            </w:r>
          </w:p>
        </w:tc>
        <w:tc>
          <w:tcPr>
            <w:tcW w:w="441" w:type="pct"/>
            <w:vAlign w:val="center"/>
            <w:hideMark/>
          </w:tcPr>
          <w:p w14:paraId="13E69B38" w14:textId="77777777" w:rsidR="00A221CA" w:rsidRPr="00BB364F" w:rsidRDefault="00A221CA" w:rsidP="008F328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fr-FR"/>
              </w:rPr>
            </w:pPr>
            <w:r w:rsidRPr="00BB364F">
              <w:rPr>
                <w:rFonts w:asciiTheme="minorHAnsi" w:eastAsia="Times New Roman" w:hAnsiTheme="minorHAnsi" w:cstheme="minorHAnsi"/>
                <w:sz w:val="18"/>
                <w:szCs w:val="18"/>
                <w:lang w:eastAsia="fr-FR"/>
              </w:rPr>
              <w:t>-260 774</w:t>
            </w:r>
          </w:p>
        </w:tc>
        <w:tc>
          <w:tcPr>
            <w:tcW w:w="441" w:type="pct"/>
            <w:vAlign w:val="center"/>
            <w:hideMark/>
          </w:tcPr>
          <w:p w14:paraId="10DD7F06" w14:textId="77777777" w:rsidR="00A221CA" w:rsidRPr="00BB364F" w:rsidRDefault="00A221CA" w:rsidP="008F328C">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8"/>
                <w:szCs w:val="18"/>
                <w:lang w:eastAsia="fr-FR"/>
              </w:rPr>
            </w:pPr>
            <w:r w:rsidRPr="00BB364F">
              <w:rPr>
                <w:rFonts w:asciiTheme="minorHAnsi" w:eastAsia="Times New Roman" w:hAnsiTheme="minorHAnsi" w:cstheme="minorHAnsi"/>
                <w:sz w:val="18"/>
                <w:szCs w:val="18"/>
                <w:lang w:eastAsia="fr-FR"/>
              </w:rPr>
              <w:t>-261 110</w:t>
            </w:r>
          </w:p>
        </w:tc>
      </w:tr>
      <w:tr w:rsidR="00A221CA" w:rsidRPr="00BB364F" w14:paraId="57E6985C" w14:textId="77777777" w:rsidTr="00BB364F">
        <w:tc>
          <w:tcPr>
            <w:cnfStyle w:val="001000000000" w:firstRow="0" w:lastRow="0" w:firstColumn="1" w:lastColumn="0" w:oddVBand="0" w:evenVBand="0" w:oddHBand="0" w:evenHBand="0" w:firstRowFirstColumn="0" w:firstRowLastColumn="0" w:lastRowFirstColumn="0" w:lastRowLastColumn="0"/>
            <w:tcW w:w="588" w:type="pct"/>
            <w:shd w:val="clear" w:color="auto" w:fill="D0CECE" w:themeFill="background2" w:themeFillShade="E6"/>
            <w:vAlign w:val="center"/>
            <w:hideMark/>
          </w:tcPr>
          <w:p w14:paraId="7C18EC70" w14:textId="77777777" w:rsidR="00A221CA" w:rsidRPr="00BB364F" w:rsidRDefault="00A221CA" w:rsidP="008F328C">
            <w:pPr>
              <w:rPr>
                <w:rFonts w:asciiTheme="minorHAnsi" w:eastAsia="Times New Roman" w:hAnsiTheme="minorHAnsi" w:cstheme="minorHAnsi"/>
                <w:sz w:val="18"/>
                <w:szCs w:val="18"/>
                <w:lang w:eastAsia="fr-FR"/>
              </w:rPr>
            </w:pPr>
            <w:r w:rsidRPr="00BB364F">
              <w:rPr>
                <w:rFonts w:asciiTheme="minorHAnsi" w:eastAsia="Times New Roman" w:hAnsiTheme="minorHAnsi" w:cstheme="minorHAnsi"/>
                <w:sz w:val="18"/>
                <w:szCs w:val="18"/>
                <w:lang w:eastAsia="fr-FR"/>
              </w:rPr>
              <w:t>Ligne d’atténuation (ktCO₂e)</w:t>
            </w:r>
          </w:p>
        </w:tc>
        <w:tc>
          <w:tcPr>
            <w:tcW w:w="441" w:type="pct"/>
            <w:vAlign w:val="center"/>
            <w:hideMark/>
          </w:tcPr>
          <w:p w14:paraId="63337F32" w14:textId="3A627CD7" w:rsidR="00A221CA" w:rsidRPr="00BB364F" w:rsidRDefault="00C30DB3" w:rsidP="008F328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fr-FR"/>
              </w:rPr>
            </w:pPr>
            <w:r w:rsidRPr="00C30DB3">
              <w:rPr>
                <w:rFonts w:asciiTheme="minorHAnsi" w:eastAsia="Times New Roman" w:hAnsiTheme="minorHAnsi" w:cstheme="minorHAnsi"/>
                <w:sz w:val="18"/>
                <w:szCs w:val="18"/>
                <w:lang w:eastAsia="fr-FR"/>
              </w:rPr>
              <w:t>-291</w:t>
            </w:r>
            <w:r>
              <w:rPr>
                <w:rFonts w:asciiTheme="minorHAnsi" w:eastAsia="Times New Roman" w:hAnsiTheme="minorHAnsi" w:cstheme="minorHAnsi"/>
                <w:sz w:val="18"/>
                <w:szCs w:val="18"/>
                <w:lang w:eastAsia="fr-FR"/>
              </w:rPr>
              <w:t xml:space="preserve"> </w:t>
            </w:r>
            <w:r w:rsidRPr="00C30DB3">
              <w:rPr>
                <w:rFonts w:asciiTheme="minorHAnsi" w:eastAsia="Times New Roman" w:hAnsiTheme="minorHAnsi" w:cstheme="minorHAnsi"/>
                <w:sz w:val="18"/>
                <w:szCs w:val="18"/>
                <w:lang w:eastAsia="fr-FR"/>
              </w:rPr>
              <w:t>368</w:t>
            </w:r>
          </w:p>
        </w:tc>
        <w:tc>
          <w:tcPr>
            <w:tcW w:w="441" w:type="pct"/>
            <w:vAlign w:val="center"/>
            <w:hideMark/>
          </w:tcPr>
          <w:p w14:paraId="49A37A67" w14:textId="3CB3560D" w:rsidR="00A221CA" w:rsidRPr="00BB364F" w:rsidRDefault="00C30DB3" w:rsidP="008F328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fr-FR"/>
              </w:rPr>
            </w:pPr>
            <w:r w:rsidRPr="00C30DB3">
              <w:rPr>
                <w:rFonts w:asciiTheme="minorHAnsi" w:eastAsia="Times New Roman" w:hAnsiTheme="minorHAnsi" w:cstheme="minorHAnsi"/>
                <w:sz w:val="18"/>
                <w:szCs w:val="18"/>
                <w:lang w:eastAsia="fr-FR"/>
              </w:rPr>
              <w:t>-296</w:t>
            </w:r>
            <w:r>
              <w:rPr>
                <w:rFonts w:asciiTheme="minorHAnsi" w:eastAsia="Times New Roman" w:hAnsiTheme="minorHAnsi" w:cstheme="minorHAnsi"/>
                <w:sz w:val="18"/>
                <w:szCs w:val="18"/>
                <w:lang w:eastAsia="fr-FR"/>
              </w:rPr>
              <w:t xml:space="preserve"> </w:t>
            </w:r>
            <w:r w:rsidRPr="00C30DB3">
              <w:rPr>
                <w:rFonts w:asciiTheme="minorHAnsi" w:eastAsia="Times New Roman" w:hAnsiTheme="minorHAnsi" w:cstheme="minorHAnsi"/>
                <w:sz w:val="18"/>
                <w:szCs w:val="18"/>
                <w:lang w:eastAsia="fr-FR"/>
              </w:rPr>
              <w:t>815</w:t>
            </w:r>
          </w:p>
        </w:tc>
        <w:tc>
          <w:tcPr>
            <w:tcW w:w="441" w:type="pct"/>
            <w:vAlign w:val="center"/>
            <w:hideMark/>
          </w:tcPr>
          <w:p w14:paraId="1F9BA812" w14:textId="5A818EB5" w:rsidR="00A221CA" w:rsidRPr="00BB364F" w:rsidRDefault="00C30DB3" w:rsidP="008F328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fr-FR"/>
              </w:rPr>
            </w:pPr>
            <w:r w:rsidRPr="00C30DB3">
              <w:rPr>
                <w:rFonts w:asciiTheme="minorHAnsi" w:eastAsia="Times New Roman" w:hAnsiTheme="minorHAnsi" w:cstheme="minorHAnsi"/>
                <w:sz w:val="18"/>
                <w:szCs w:val="18"/>
                <w:lang w:eastAsia="fr-FR"/>
              </w:rPr>
              <w:t>-302</w:t>
            </w:r>
            <w:r>
              <w:rPr>
                <w:rFonts w:asciiTheme="minorHAnsi" w:eastAsia="Times New Roman" w:hAnsiTheme="minorHAnsi" w:cstheme="minorHAnsi"/>
                <w:sz w:val="18"/>
                <w:szCs w:val="18"/>
                <w:lang w:eastAsia="fr-FR"/>
              </w:rPr>
              <w:t xml:space="preserve"> </w:t>
            </w:r>
            <w:r w:rsidRPr="00C30DB3">
              <w:rPr>
                <w:rFonts w:asciiTheme="minorHAnsi" w:eastAsia="Times New Roman" w:hAnsiTheme="minorHAnsi" w:cstheme="minorHAnsi"/>
                <w:sz w:val="18"/>
                <w:szCs w:val="18"/>
                <w:lang w:eastAsia="fr-FR"/>
              </w:rPr>
              <w:t>258</w:t>
            </w:r>
          </w:p>
        </w:tc>
        <w:tc>
          <w:tcPr>
            <w:tcW w:w="441" w:type="pct"/>
            <w:vAlign w:val="center"/>
            <w:hideMark/>
          </w:tcPr>
          <w:p w14:paraId="318B8E89" w14:textId="127AA5DF" w:rsidR="00A221CA" w:rsidRPr="00BB364F" w:rsidRDefault="00C30DB3" w:rsidP="008F328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fr-FR"/>
              </w:rPr>
            </w:pPr>
            <w:r w:rsidRPr="00C30DB3">
              <w:rPr>
                <w:rFonts w:asciiTheme="minorHAnsi" w:eastAsia="Times New Roman" w:hAnsiTheme="minorHAnsi" w:cstheme="minorHAnsi"/>
                <w:sz w:val="18"/>
                <w:szCs w:val="18"/>
                <w:lang w:eastAsia="fr-FR"/>
              </w:rPr>
              <w:t>-307</w:t>
            </w:r>
            <w:r>
              <w:rPr>
                <w:rFonts w:asciiTheme="minorHAnsi" w:eastAsia="Times New Roman" w:hAnsiTheme="minorHAnsi" w:cstheme="minorHAnsi"/>
                <w:sz w:val="18"/>
                <w:szCs w:val="18"/>
                <w:lang w:eastAsia="fr-FR"/>
              </w:rPr>
              <w:t xml:space="preserve"> </w:t>
            </w:r>
            <w:r w:rsidRPr="00C30DB3">
              <w:rPr>
                <w:rFonts w:asciiTheme="minorHAnsi" w:eastAsia="Times New Roman" w:hAnsiTheme="minorHAnsi" w:cstheme="minorHAnsi"/>
                <w:sz w:val="18"/>
                <w:szCs w:val="18"/>
                <w:lang w:eastAsia="fr-FR"/>
              </w:rPr>
              <w:t>666</w:t>
            </w:r>
          </w:p>
        </w:tc>
        <w:tc>
          <w:tcPr>
            <w:tcW w:w="441" w:type="pct"/>
            <w:vAlign w:val="center"/>
            <w:hideMark/>
          </w:tcPr>
          <w:p w14:paraId="51E7E8FF" w14:textId="7EC6E52E" w:rsidR="00A221CA" w:rsidRPr="00BB364F" w:rsidRDefault="00C30DB3" w:rsidP="008F328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fr-FR"/>
              </w:rPr>
            </w:pPr>
            <w:r w:rsidRPr="00C30DB3">
              <w:rPr>
                <w:rFonts w:asciiTheme="minorHAnsi" w:eastAsia="Times New Roman" w:hAnsiTheme="minorHAnsi" w:cstheme="minorHAnsi"/>
                <w:sz w:val="18"/>
                <w:szCs w:val="18"/>
                <w:lang w:eastAsia="fr-FR"/>
              </w:rPr>
              <w:t>-311</w:t>
            </w:r>
            <w:r>
              <w:rPr>
                <w:rFonts w:asciiTheme="minorHAnsi" w:eastAsia="Times New Roman" w:hAnsiTheme="minorHAnsi" w:cstheme="minorHAnsi"/>
                <w:sz w:val="18"/>
                <w:szCs w:val="18"/>
                <w:lang w:eastAsia="fr-FR"/>
              </w:rPr>
              <w:t xml:space="preserve"> </w:t>
            </w:r>
            <w:r w:rsidRPr="00C30DB3">
              <w:rPr>
                <w:rFonts w:asciiTheme="minorHAnsi" w:eastAsia="Times New Roman" w:hAnsiTheme="minorHAnsi" w:cstheme="minorHAnsi"/>
                <w:sz w:val="18"/>
                <w:szCs w:val="18"/>
                <w:lang w:eastAsia="fr-FR"/>
              </w:rPr>
              <w:t>168</w:t>
            </w:r>
          </w:p>
        </w:tc>
        <w:tc>
          <w:tcPr>
            <w:tcW w:w="441" w:type="pct"/>
            <w:vAlign w:val="center"/>
            <w:hideMark/>
          </w:tcPr>
          <w:p w14:paraId="48E26690" w14:textId="1F715B4B" w:rsidR="00A221CA" w:rsidRPr="00BB364F" w:rsidRDefault="00C30DB3" w:rsidP="008F328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fr-FR"/>
              </w:rPr>
            </w:pPr>
            <w:r w:rsidRPr="00C30DB3">
              <w:rPr>
                <w:rFonts w:asciiTheme="minorHAnsi" w:eastAsia="Times New Roman" w:hAnsiTheme="minorHAnsi" w:cstheme="minorHAnsi"/>
                <w:sz w:val="18"/>
                <w:szCs w:val="18"/>
                <w:lang w:eastAsia="fr-FR"/>
              </w:rPr>
              <w:t>-314</w:t>
            </w:r>
            <w:r>
              <w:rPr>
                <w:rFonts w:asciiTheme="minorHAnsi" w:eastAsia="Times New Roman" w:hAnsiTheme="minorHAnsi" w:cstheme="minorHAnsi"/>
                <w:sz w:val="18"/>
                <w:szCs w:val="18"/>
                <w:lang w:eastAsia="fr-FR"/>
              </w:rPr>
              <w:t xml:space="preserve"> </w:t>
            </w:r>
            <w:r w:rsidRPr="00C30DB3">
              <w:rPr>
                <w:rFonts w:asciiTheme="minorHAnsi" w:eastAsia="Times New Roman" w:hAnsiTheme="minorHAnsi" w:cstheme="minorHAnsi"/>
                <w:sz w:val="18"/>
                <w:szCs w:val="18"/>
                <w:lang w:eastAsia="fr-FR"/>
              </w:rPr>
              <w:t>670</w:t>
            </w:r>
          </w:p>
        </w:tc>
        <w:tc>
          <w:tcPr>
            <w:tcW w:w="441" w:type="pct"/>
            <w:vAlign w:val="center"/>
            <w:hideMark/>
          </w:tcPr>
          <w:p w14:paraId="308579AE" w14:textId="49CEDE28" w:rsidR="00A221CA" w:rsidRPr="00BB364F" w:rsidRDefault="00C30DB3" w:rsidP="008F328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fr-FR"/>
              </w:rPr>
            </w:pPr>
            <w:r w:rsidRPr="00C30DB3">
              <w:rPr>
                <w:rFonts w:asciiTheme="minorHAnsi" w:eastAsia="Times New Roman" w:hAnsiTheme="minorHAnsi" w:cstheme="minorHAnsi"/>
                <w:sz w:val="18"/>
                <w:szCs w:val="18"/>
                <w:lang w:eastAsia="fr-FR"/>
              </w:rPr>
              <w:t>-318</w:t>
            </w:r>
            <w:r>
              <w:rPr>
                <w:rFonts w:asciiTheme="minorHAnsi" w:eastAsia="Times New Roman" w:hAnsiTheme="minorHAnsi" w:cstheme="minorHAnsi"/>
                <w:sz w:val="18"/>
                <w:szCs w:val="18"/>
                <w:lang w:eastAsia="fr-FR"/>
              </w:rPr>
              <w:t xml:space="preserve"> </w:t>
            </w:r>
            <w:r w:rsidRPr="00C30DB3">
              <w:rPr>
                <w:rFonts w:asciiTheme="minorHAnsi" w:eastAsia="Times New Roman" w:hAnsiTheme="minorHAnsi" w:cstheme="minorHAnsi"/>
                <w:sz w:val="18"/>
                <w:szCs w:val="18"/>
                <w:lang w:eastAsia="fr-FR"/>
              </w:rPr>
              <w:t>171</w:t>
            </w:r>
          </w:p>
        </w:tc>
        <w:tc>
          <w:tcPr>
            <w:tcW w:w="441" w:type="pct"/>
            <w:vAlign w:val="center"/>
            <w:hideMark/>
          </w:tcPr>
          <w:p w14:paraId="0B99DA1C" w14:textId="0E585D0A" w:rsidR="00A221CA" w:rsidRPr="00BB364F" w:rsidRDefault="00C30DB3" w:rsidP="008F328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fr-FR"/>
              </w:rPr>
            </w:pPr>
            <w:r w:rsidRPr="00C30DB3">
              <w:rPr>
                <w:rFonts w:asciiTheme="minorHAnsi" w:eastAsia="Times New Roman" w:hAnsiTheme="minorHAnsi" w:cstheme="minorHAnsi"/>
                <w:sz w:val="18"/>
                <w:szCs w:val="18"/>
                <w:lang w:eastAsia="fr-FR"/>
              </w:rPr>
              <w:t>-321</w:t>
            </w:r>
            <w:r>
              <w:rPr>
                <w:rFonts w:asciiTheme="minorHAnsi" w:eastAsia="Times New Roman" w:hAnsiTheme="minorHAnsi" w:cstheme="minorHAnsi"/>
                <w:sz w:val="18"/>
                <w:szCs w:val="18"/>
                <w:lang w:eastAsia="fr-FR"/>
              </w:rPr>
              <w:t xml:space="preserve"> </w:t>
            </w:r>
            <w:r w:rsidRPr="00C30DB3">
              <w:rPr>
                <w:rFonts w:asciiTheme="minorHAnsi" w:eastAsia="Times New Roman" w:hAnsiTheme="minorHAnsi" w:cstheme="minorHAnsi"/>
                <w:sz w:val="18"/>
                <w:szCs w:val="18"/>
                <w:lang w:eastAsia="fr-FR"/>
              </w:rPr>
              <w:t>672</w:t>
            </w:r>
          </w:p>
        </w:tc>
        <w:tc>
          <w:tcPr>
            <w:tcW w:w="441" w:type="pct"/>
            <w:vAlign w:val="center"/>
            <w:hideMark/>
          </w:tcPr>
          <w:p w14:paraId="28512C1B" w14:textId="6C73FFC0" w:rsidR="00A221CA" w:rsidRPr="00BB364F" w:rsidRDefault="00C30DB3" w:rsidP="008F328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fr-FR"/>
              </w:rPr>
            </w:pPr>
            <w:r w:rsidRPr="00C30DB3">
              <w:rPr>
                <w:rFonts w:asciiTheme="minorHAnsi" w:eastAsia="Times New Roman" w:hAnsiTheme="minorHAnsi" w:cstheme="minorHAnsi"/>
                <w:sz w:val="18"/>
                <w:szCs w:val="18"/>
                <w:lang w:eastAsia="fr-FR"/>
              </w:rPr>
              <w:t>-325</w:t>
            </w:r>
            <w:r>
              <w:rPr>
                <w:rFonts w:asciiTheme="minorHAnsi" w:eastAsia="Times New Roman" w:hAnsiTheme="minorHAnsi" w:cstheme="minorHAnsi"/>
                <w:sz w:val="18"/>
                <w:szCs w:val="18"/>
                <w:lang w:eastAsia="fr-FR"/>
              </w:rPr>
              <w:t xml:space="preserve"> </w:t>
            </w:r>
            <w:r w:rsidRPr="00C30DB3">
              <w:rPr>
                <w:rFonts w:asciiTheme="minorHAnsi" w:eastAsia="Times New Roman" w:hAnsiTheme="minorHAnsi" w:cstheme="minorHAnsi"/>
                <w:sz w:val="18"/>
                <w:szCs w:val="18"/>
                <w:lang w:eastAsia="fr-FR"/>
              </w:rPr>
              <w:t>606</w:t>
            </w:r>
          </w:p>
        </w:tc>
        <w:tc>
          <w:tcPr>
            <w:tcW w:w="441" w:type="pct"/>
            <w:vAlign w:val="center"/>
            <w:hideMark/>
          </w:tcPr>
          <w:p w14:paraId="4D15C9AC" w14:textId="335D5F27" w:rsidR="00A221CA" w:rsidRPr="00BB364F" w:rsidRDefault="00C30DB3" w:rsidP="008F328C">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8"/>
                <w:szCs w:val="18"/>
                <w:lang w:eastAsia="fr-FR"/>
              </w:rPr>
            </w:pPr>
            <w:r w:rsidRPr="00C30DB3">
              <w:rPr>
                <w:rFonts w:asciiTheme="minorHAnsi" w:eastAsia="Times New Roman" w:hAnsiTheme="minorHAnsi" w:cstheme="minorHAnsi"/>
                <w:sz w:val="18"/>
                <w:szCs w:val="18"/>
                <w:lang w:eastAsia="fr-FR"/>
              </w:rPr>
              <w:t>-328</w:t>
            </w:r>
            <w:r>
              <w:rPr>
                <w:rFonts w:asciiTheme="minorHAnsi" w:eastAsia="Times New Roman" w:hAnsiTheme="minorHAnsi" w:cstheme="minorHAnsi"/>
                <w:sz w:val="18"/>
                <w:szCs w:val="18"/>
                <w:lang w:eastAsia="fr-FR"/>
              </w:rPr>
              <w:t xml:space="preserve"> </w:t>
            </w:r>
            <w:r w:rsidRPr="00C30DB3">
              <w:rPr>
                <w:rFonts w:asciiTheme="minorHAnsi" w:eastAsia="Times New Roman" w:hAnsiTheme="minorHAnsi" w:cstheme="minorHAnsi"/>
                <w:sz w:val="18"/>
                <w:szCs w:val="18"/>
                <w:lang w:eastAsia="fr-FR"/>
              </w:rPr>
              <w:t>419</w:t>
            </w:r>
          </w:p>
        </w:tc>
      </w:tr>
    </w:tbl>
    <w:p w14:paraId="5FA97224" w14:textId="342D622C" w:rsidR="00213F05" w:rsidRDefault="00213F05" w:rsidP="00043876">
      <w:pPr>
        <w:spacing w:before="120" w:after="120"/>
        <w:jc w:val="both"/>
      </w:pPr>
      <w:r w:rsidRPr="00213F05">
        <w:t xml:space="preserve">L’écart entre les deux trajectoires est de </w:t>
      </w:r>
      <w:r>
        <w:t>-</w:t>
      </w:r>
      <w:r w:rsidRPr="00213F05">
        <w:rPr>
          <w:b/>
          <w:bCs/>
        </w:rPr>
        <w:t>37 041 ktCO₂e</w:t>
      </w:r>
      <w:r w:rsidRPr="00213F05">
        <w:t xml:space="preserve">, </w:t>
      </w:r>
      <w:r w:rsidR="00B938F7">
        <w:t>correspond à</w:t>
      </w:r>
      <w:r w:rsidRPr="00213F05">
        <w:t xml:space="preserve"> un </w:t>
      </w:r>
      <w:r w:rsidR="008023F7">
        <w:t>effort d’atténuation</w:t>
      </w:r>
      <w:r w:rsidRPr="00213F05">
        <w:t xml:space="preserve"> de </w:t>
      </w:r>
      <w:r w:rsidR="008023F7">
        <w:rPr>
          <w:b/>
          <w:bCs/>
        </w:rPr>
        <w:t>25</w:t>
      </w:r>
      <w:r w:rsidRPr="00213F05">
        <w:rPr>
          <w:b/>
          <w:bCs/>
        </w:rPr>
        <w:t>,</w:t>
      </w:r>
      <w:r w:rsidR="008023F7">
        <w:rPr>
          <w:b/>
          <w:bCs/>
        </w:rPr>
        <w:t>78</w:t>
      </w:r>
      <w:r w:rsidRPr="00213F05">
        <w:rPr>
          <w:b/>
          <w:bCs/>
        </w:rPr>
        <w:t xml:space="preserve"> %</w:t>
      </w:r>
      <w:r w:rsidRPr="00213F05">
        <w:t xml:space="preserve"> par rapport à la ligne de base.</w:t>
      </w:r>
      <w:r w:rsidR="006F5931">
        <w:t xml:space="preserve"> </w:t>
      </w:r>
      <w:r w:rsidRPr="00213F05">
        <w:t>Ce niveau d’amélioration correspond à l’</w:t>
      </w:r>
      <w:r w:rsidRPr="00213F05">
        <w:rPr>
          <w:b/>
          <w:bCs/>
        </w:rPr>
        <w:t>objectif sectoriel d’atténuation retenu pour le secteur des forêts à l’horizon 2035</w:t>
      </w:r>
      <w:r w:rsidRPr="00213F05">
        <w:t xml:space="preserve"> dans le cadre de la CDN 3.0.</w:t>
      </w:r>
    </w:p>
    <w:p w14:paraId="26835FD1" w14:textId="5FA7DA8E" w:rsidR="006F5931" w:rsidRDefault="00547375" w:rsidP="00043876">
      <w:pPr>
        <w:spacing w:before="120" w:after="120"/>
        <w:jc w:val="both"/>
      </w:pPr>
      <w:r w:rsidRPr="00547375">
        <w:t xml:space="preserve">La figure ci-dessous présente la </w:t>
      </w:r>
      <w:r>
        <w:t>représentation graphique d</w:t>
      </w:r>
      <w:r w:rsidRPr="00547375">
        <w:t xml:space="preserve">e la ligne de base et la ligne d’atténuation du secteur des forêts sur la période </w:t>
      </w:r>
      <w:r w:rsidRPr="00547375">
        <w:rPr>
          <w:b/>
          <w:bCs/>
        </w:rPr>
        <w:t>2026</w:t>
      </w:r>
      <w:r>
        <w:rPr>
          <w:b/>
          <w:bCs/>
        </w:rPr>
        <w:t xml:space="preserve">- </w:t>
      </w:r>
      <w:r w:rsidRPr="00547375">
        <w:rPr>
          <w:b/>
          <w:bCs/>
        </w:rPr>
        <w:t>2035</w:t>
      </w:r>
      <w:r w:rsidRPr="00547375">
        <w:t>.</w:t>
      </w:r>
    </w:p>
    <w:p w14:paraId="43250849" w14:textId="41437F68" w:rsidR="00014AC3" w:rsidRDefault="00284B3D" w:rsidP="00317AE3">
      <w:pPr>
        <w:keepNext/>
        <w:spacing w:before="240" w:after="0"/>
        <w:jc w:val="both"/>
      </w:pPr>
      <w:r>
        <w:rPr>
          <w:noProof/>
        </w:rPr>
        <w:lastRenderedPageBreak/>
        <w:drawing>
          <wp:inline distT="0" distB="0" distL="0" distR="0" wp14:anchorId="52298960" wp14:editId="10BFC0E5">
            <wp:extent cx="5890211" cy="3089634"/>
            <wp:effectExtent l="0" t="0" r="0" b="0"/>
            <wp:docPr id="3454563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9234" cy="3120594"/>
                    </a:xfrm>
                    <a:prstGeom prst="rect">
                      <a:avLst/>
                    </a:prstGeom>
                    <a:noFill/>
                  </pic:spPr>
                </pic:pic>
              </a:graphicData>
            </a:graphic>
          </wp:inline>
        </w:drawing>
      </w:r>
    </w:p>
    <w:p w14:paraId="7CAC96E1" w14:textId="0376AB75" w:rsidR="00F11C42" w:rsidRPr="00CE0DAB" w:rsidRDefault="00014AC3" w:rsidP="00CE0DAB">
      <w:pPr>
        <w:pStyle w:val="Lgende"/>
        <w:jc w:val="both"/>
        <w:rPr>
          <w:sz w:val="22"/>
          <w:szCs w:val="22"/>
        </w:rPr>
      </w:pPr>
      <w:bookmarkStart w:id="71" w:name="_Toc234853920"/>
      <w:r w:rsidRPr="00694AC4">
        <w:rPr>
          <w:sz w:val="22"/>
          <w:szCs w:val="22"/>
        </w:rPr>
        <w:t xml:space="preserve">Figure </w:t>
      </w:r>
      <w:r w:rsidRPr="00694AC4">
        <w:rPr>
          <w:sz w:val="22"/>
          <w:szCs w:val="22"/>
        </w:rPr>
        <w:fldChar w:fldCharType="begin"/>
      </w:r>
      <w:r w:rsidRPr="00694AC4">
        <w:rPr>
          <w:sz w:val="22"/>
          <w:szCs w:val="22"/>
        </w:rPr>
        <w:instrText xml:space="preserve"> SEQ Figure \* ARABIC </w:instrText>
      </w:r>
      <w:r w:rsidRPr="00694AC4">
        <w:rPr>
          <w:sz w:val="22"/>
          <w:szCs w:val="22"/>
        </w:rPr>
        <w:fldChar w:fldCharType="separate"/>
      </w:r>
      <w:r w:rsidR="004D5580">
        <w:rPr>
          <w:noProof/>
          <w:sz w:val="22"/>
          <w:szCs w:val="22"/>
        </w:rPr>
        <w:t>10</w:t>
      </w:r>
      <w:r w:rsidRPr="00694AC4">
        <w:rPr>
          <w:sz w:val="22"/>
          <w:szCs w:val="22"/>
        </w:rPr>
        <w:fldChar w:fldCharType="end"/>
      </w:r>
      <w:r w:rsidRPr="00694AC4">
        <w:rPr>
          <w:sz w:val="22"/>
          <w:szCs w:val="22"/>
        </w:rPr>
        <w:t xml:space="preserve"> : </w:t>
      </w:r>
      <w:r w:rsidR="00694AC4" w:rsidRPr="00694AC4">
        <w:rPr>
          <w:sz w:val="22"/>
          <w:szCs w:val="22"/>
        </w:rPr>
        <w:t>Comparaison entre la ligne de base et la ligne d’atténuation du secteur des forêts, 2026</w:t>
      </w:r>
      <w:r w:rsidR="00ED02B5">
        <w:rPr>
          <w:sz w:val="22"/>
          <w:szCs w:val="22"/>
        </w:rPr>
        <w:t>-</w:t>
      </w:r>
      <w:r w:rsidR="00694AC4" w:rsidRPr="00694AC4">
        <w:rPr>
          <w:sz w:val="22"/>
          <w:szCs w:val="22"/>
        </w:rPr>
        <w:t>2035</w:t>
      </w:r>
      <w:bookmarkEnd w:id="71"/>
    </w:p>
    <w:p w14:paraId="3CB37715" w14:textId="4BEC3E24" w:rsidR="001F64BE" w:rsidRDefault="001F64BE" w:rsidP="001F64BE">
      <w:pPr>
        <w:pStyle w:val="Titre2"/>
      </w:pPr>
      <w:bookmarkStart w:id="72" w:name="_Toc234853879"/>
      <w:r>
        <w:t>Secteur des déchets</w:t>
      </w:r>
      <w:bookmarkEnd w:id="72"/>
    </w:p>
    <w:p w14:paraId="6BA40C3B" w14:textId="77777777" w:rsidR="001F64BE" w:rsidRPr="00394BDD" w:rsidRDefault="001F64BE" w:rsidP="002C3767">
      <w:pPr>
        <w:pStyle w:val="Titre3"/>
        <w:numPr>
          <w:ilvl w:val="2"/>
          <w:numId w:val="21"/>
        </w:numPr>
        <w:rPr>
          <w:rStyle w:val="Titre3Car"/>
        </w:rPr>
      </w:pPr>
      <w:bookmarkStart w:id="73" w:name="_Toc234853880"/>
      <w:r w:rsidRPr="001F64BE">
        <w:rPr>
          <w:rStyle w:val="Titre3Car"/>
        </w:rPr>
        <w:t>Orientations</w:t>
      </w:r>
      <w:r w:rsidRPr="00394BDD">
        <w:rPr>
          <w:rStyle w:val="Titre3Car"/>
        </w:rPr>
        <w:t xml:space="preserve"> et mesures retenues des consultations</w:t>
      </w:r>
      <w:bookmarkEnd w:id="73"/>
    </w:p>
    <w:p w14:paraId="0F762614" w14:textId="1F01938D" w:rsidR="00394BDD" w:rsidRPr="00A37F85" w:rsidRDefault="00394BDD" w:rsidP="00394BDD">
      <w:pPr>
        <w:spacing w:before="240"/>
        <w:rPr>
          <w:b/>
          <w:bCs/>
          <w:u w:val="single"/>
        </w:rPr>
      </w:pPr>
      <w:r w:rsidRPr="00A37F85">
        <w:rPr>
          <w:b/>
          <w:bCs/>
          <w:u w:val="single"/>
        </w:rPr>
        <w:t xml:space="preserve">Orientation de structuration du portefeuille </w:t>
      </w:r>
      <w:r>
        <w:rPr>
          <w:b/>
          <w:bCs/>
          <w:u w:val="single"/>
        </w:rPr>
        <w:t xml:space="preserve">du secteur des déchets </w:t>
      </w:r>
      <w:r w:rsidRPr="00A37F85">
        <w:rPr>
          <w:b/>
          <w:bCs/>
          <w:u w:val="single"/>
        </w:rPr>
        <w:t>pour la CDN 3.0</w:t>
      </w:r>
    </w:p>
    <w:p w14:paraId="3F7AB80E" w14:textId="77777777" w:rsidR="00A703F7" w:rsidRPr="00A703F7" w:rsidRDefault="00A703F7" w:rsidP="00A703F7">
      <w:pPr>
        <w:spacing w:before="240"/>
        <w:jc w:val="both"/>
      </w:pPr>
      <w:r w:rsidRPr="00A703F7">
        <w:t>L’évaluation de la CDN 2.0 a montré que le suivi des mesures du secteur des déchets a été limité. Parmi les mesures inscrites, une seule a pu être documentée comme réalisée. Pour les autres mesures, les informations disponibles sont restées insuffisantes, notamment en raison de l’absence de porteurs clairement identifiés. Par ailleurs, les mesures inscrites dans la CDN 2.0 ne disposaient pas d’informations spécifiques sur les coûts, les périodes de mise en œuvre et les impacts d’atténuation attendus par mesure ; ces informations étaient présentées de manière globale à l’échelle du secteur.</w:t>
      </w:r>
    </w:p>
    <w:p w14:paraId="61F3D1BE" w14:textId="77777777" w:rsidR="00A703F7" w:rsidRPr="00A703F7" w:rsidRDefault="00A703F7" w:rsidP="00A703F7">
      <w:pPr>
        <w:spacing w:before="240"/>
        <w:jc w:val="both"/>
      </w:pPr>
      <w:r w:rsidRPr="00A703F7">
        <w:t>Cette situation s’explique en grande partie par le fait que plusieurs mesures avaient été inscrites sans porteur suffisamment identifié ou sans implication directe des structures responsables dans le suivi de la CDN. En conséquence, la collecte d’informations sur les coûts, les périodes de mise en œuvre, les impacts attendus et les résultats obtenus est restée limitée.</w:t>
      </w:r>
    </w:p>
    <w:p w14:paraId="61C24C00" w14:textId="77777777" w:rsidR="00A703F7" w:rsidRDefault="00A703F7" w:rsidP="00A703F7">
      <w:pPr>
        <w:spacing w:before="240"/>
        <w:jc w:val="both"/>
      </w:pPr>
      <w:r w:rsidRPr="00A703F7">
        <w:t>Sur cette base, l’orientation retenue pour la CDN 3.0 est de renforcer la traçabilité des mesures du secteur des déchets. Chaque mesure proposée devra être rattachée à un porteur clairement identifié, disposer d’un périmètre d’intervention précis et présenter des informations minimales sur le coût, la période de mise en œuvre, les activités prévues et les impacts attendus.</w:t>
      </w:r>
    </w:p>
    <w:p w14:paraId="664226C6" w14:textId="1242AEC8" w:rsidR="00920FE5" w:rsidRDefault="00953307" w:rsidP="00A703F7">
      <w:pPr>
        <w:spacing w:before="240"/>
        <w:jc w:val="both"/>
      </w:pPr>
      <w:r w:rsidRPr="00953307">
        <w:t xml:space="preserve">Une seconde orientation, </w:t>
      </w:r>
      <w:r>
        <w:t xml:space="preserve">mais </w:t>
      </w:r>
      <w:r w:rsidRPr="00953307">
        <w:t>transversale à l’ensemble des secteurs</w:t>
      </w:r>
      <w:r>
        <w:t xml:space="preserve"> de la CDN 2.0</w:t>
      </w:r>
      <w:r w:rsidRPr="00953307">
        <w:t xml:space="preserve">, concerne la conditionnalité des mesures. Dans la CDN 2.0, les mesures étaient principalement inscrites comme conditionnelles. Toutefois, au cours de la période de mise en œuvre de la CDN 2.0, certaines actions </w:t>
      </w:r>
      <w:r w:rsidRPr="00953307">
        <w:lastRenderedPageBreak/>
        <w:t>nationales ont été réalisées ou engagées dans</w:t>
      </w:r>
      <w:r>
        <w:t xml:space="preserve"> l</w:t>
      </w:r>
      <w:r w:rsidRPr="00953307">
        <w:t>e secteur</w:t>
      </w:r>
      <w:r>
        <w:t xml:space="preserve"> déchet</w:t>
      </w:r>
      <w:r w:rsidRPr="00953307">
        <w:t>, notamment en matière de gestion des déchets solides, d’assainissement liquide, de traitement des boues de vidange et de valorisation des déchets organiques.</w:t>
      </w:r>
      <w:r w:rsidR="00343A75">
        <w:t xml:space="preserve"> </w:t>
      </w:r>
      <w:r w:rsidR="00920FE5" w:rsidRPr="00920FE5">
        <w:t>Ces actions traduisent une contribution propre du pays et peuvent être considérées comme relevant de l’inconditionnel lorsqu’elles reposent sur des ressources nationales, des programmes publics ou des initiatives déjà engagées. Pour la CDN 3.0, il est donc recommandé de mieux distinguer les mesures relevant de l’effort national de celles nécessitant un appui financier additionnel.</w:t>
      </w:r>
      <w:r w:rsidR="0023054A">
        <w:t xml:space="preserve"> C</w:t>
      </w:r>
      <w:r w:rsidR="0023054A" w:rsidRPr="0023054A">
        <w:t>ette distinction permet de mieux valoriser les efforts déjà réalisés par le Mali et de renforcer l’image d’un pays engagé, capable de porter une partie de son ambition climatique sur ses propres ressources.</w:t>
      </w:r>
    </w:p>
    <w:p w14:paraId="188BD62B" w14:textId="4B4E6402" w:rsidR="001C4485" w:rsidRDefault="001C4485" w:rsidP="00A703F7">
      <w:pPr>
        <w:spacing w:before="240"/>
        <w:jc w:val="both"/>
      </w:pPr>
      <w:r>
        <w:t>L</w:t>
      </w:r>
      <w:r w:rsidRPr="001C4485">
        <w:t xml:space="preserve">es </w:t>
      </w:r>
      <w:r>
        <w:t xml:space="preserve">différentes </w:t>
      </w:r>
      <w:r w:rsidRPr="001C4485">
        <w:t>orientations</w:t>
      </w:r>
      <w:r>
        <w:t xml:space="preserve"> mentionnées ci-dessous constituent un repère pour </w:t>
      </w:r>
      <w:r w:rsidRPr="001C4485">
        <w:t>l’élaboration du portefeuille de projets de la CDN 3.0 pour le secteur des déchets.</w:t>
      </w:r>
    </w:p>
    <w:p w14:paraId="4916A368" w14:textId="4B762AC3" w:rsidR="00394BDD" w:rsidRPr="00B25A47" w:rsidRDefault="00394BDD" w:rsidP="00394BDD">
      <w:pPr>
        <w:rPr>
          <w:b/>
          <w:bCs/>
          <w:u w:val="single"/>
        </w:rPr>
      </w:pPr>
      <w:r w:rsidRPr="00B25A47">
        <w:rPr>
          <w:b/>
          <w:bCs/>
          <w:u w:val="single"/>
        </w:rPr>
        <w:t xml:space="preserve">Mesures d’atténuation identifiées pour le secteur des </w:t>
      </w:r>
      <w:r w:rsidR="00CD55DB">
        <w:rPr>
          <w:b/>
          <w:bCs/>
          <w:u w:val="single"/>
        </w:rPr>
        <w:t>déchets</w:t>
      </w:r>
      <w:r w:rsidR="001A7DFF">
        <w:rPr>
          <w:b/>
          <w:bCs/>
          <w:u w:val="single"/>
        </w:rPr>
        <w:t xml:space="preserve"> par les parties prenantes </w:t>
      </w:r>
    </w:p>
    <w:p w14:paraId="0B5AD3FA" w14:textId="77777777" w:rsidR="0037623A" w:rsidRPr="0037623A" w:rsidRDefault="0037623A" w:rsidP="0037623A">
      <w:pPr>
        <w:spacing w:before="240"/>
        <w:jc w:val="both"/>
      </w:pPr>
      <w:r w:rsidRPr="0037623A">
        <w:t>Les mesures d’atténuation identifiées pour le secteur des déchets proviennent de trois sources principales : les mesures initialement inscrites dans la CDN 2.0, les contributions issues des parties prenantes à travers les fiches de collecte, et les initiatives identifiées par le bureau d’étude sur la base des programmes en cours ou planifiés dans le secteur.</w:t>
      </w:r>
    </w:p>
    <w:p w14:paraId="1DB12FCF" w14:textId="65B6F2C4" w:rsidR="00BB7517" w:rsidRPr="007C58F5" w:rsidRDefault="0037623A" w:rsidP="007C58F5">
      <w:pPr>
        <w:spacing w:before="240"/>
        <w:jc w:val="both"/>
      </w:pPr>
      <w:r w:rsidRPr="0037623A">
        <w:t>Le tableau ci-dessous présente la liste brute des mesures recensées avant structuration. Il permet de conserver la traçabilité des propositions reçues, en distinguant leur source, leur porteur, leur niveau d’information disponible et leur statut de mise en œuvre. Cette liste constitue la base de travail pour la structuration du portefeuille déchets de la CDN 3.0, conformément aux orientations retenues, notamment le renforcement de la traçabilité des mesures et la clarification de leur conditionnalité.</w:t>
      </w:r>
    </w:p>
    <w:p w14:paraId="5A72136D" w14:textId="5D02F7BC" w:rsidR="007C58F5" w:rsidRDefault="007C58F5" w:rsidP="007C58F5">
      <w:pPr>
        <w:pStyle w:val="Lgende"/>
        <w:keepNext/>
      </w:pPr>
      <w:bookmarkStart w:id="74" w:name="_Toc234853952"/>
      <w:r>
        <w:t xml:space="preserve">Tableau </w:t>
      </w:r>
      <w:r>
        <w:fldChar w:fldCharType="begin"/>
      </w:r>
      <w:r>
        <w:instrText xml:space="preserve"> SEQ Tableau \* ARABIC </w:instrText>
      </w:r>
      <w:r>
        <w:fldChar w:fldCharType="separate"/>
      </w:r>
      <w:r w:rsidR="0018772E">
        <w:rPr>
          <w:noProof/>
        </w:rPr>
        <w:t>28</w:t>
      </w:r>
      <w:r>
        <w:fldChar w:fldCharType="end"/>
      </w:r>
      <w:r>
        <w:t xml:space="preserve"> :</w:t>
      </w:r>
      <w:r w:rsidRPr="00D2184D">
        <w:t xml:space="preserve"> Liste brute des mesures d’atténuation identifiées pour le secteur des déchets dans le cadre de la CDN 3.0</w:t>
      </w:r>
      <w:bookmarkEnd w:id="74"/>
    </w:p>
    <w:tbl>
      <w:tblPr>
        <w:tblStyle w:val="Deloi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270"/>
        <w:gridCol w:w="1855"/>
        <w:gridCol w:w="2184"/>
        <w:gridCol w:w="1572"/>
        <w:gridCol w:w="865"/>
        <w:gridCol w:w="818"/>
      </w:tblGrid>
      <w:tr w:rsidR="000C5134" w:rsidRPr="00154B29" w14:paraId="60C2DF66" w14:textId="77777777" w:rsidTr="00154B29">
        <w:trPr>
          <w:trHeight w:val="508"/>
          <w:tblHeader/>
        </w:trPr>
        <w:tc>
          <w:tcPr>
            <w:tcW w:w="0" w:type="auto"/>
            <w:shd w:val="clear" w:color="auto" w:fill="1F4E79" w:themeFill="accent1" w:themeFillShade="80"/>
            <w:vAlign w:val="center"/>
            <w:hideMark/>
          </w:tcPr>
          <w:p w14:paraId="5F6C7909" w14:textId="77777777" w:rsidR="0066626E" w:rsidRPr="00154B29" w:rsidRDefault="0066626E" w:rsidP="00CD68E6">
            <w:pPr>
              <w:spacing w:line="259" w:lineRule="auto"/>
              <w:jc w:val="center"/>
              <w:rPr>
                <w:rFonts w:hAnsiTheme="minorHAnsi" w:cstheme="minorHAnsi"/>
                <w:b/>
                <w:color w:val="FFFFFF" w:themeColor="background1"/>
                <w:sz w:val="20"/>
                <w:szCs w:val="20"/>
              </w:rPr>
            </w:pPr>
            <w:r w:rsidRPr="00154B29">
              <w:rPr>
                <w:rFonts w:hAnsiTheme="minorHAnsi" w:cstheme="minorHAnsi"/>
                <w:b/>
                <w:color w:val="FFFFFF" w:themeColor="background1"/>
                <w:sz w:val="20"/>
                <w:szCs w:val="20"/>
              </w:rPr>
              <w:t>Source</w:t>
            </w:r>
          </w:p>
        </w:tc>
        <w:tc>
          <w:tcPr>
            <w:tcW w:w="0" w:type="auto"/>
            <w:shd w:val="clear" w:color="auto" w:fill="1F4E79" w:themeFill="accent1" w:themeFillShade="80"/>
            <w:vAlign w:val="center"/>
            <w:hideMark/>
          </w:tcPr>
          <w:p w14:paraId="5F6C39F1" w14:textId="77777777" w:rsidR="0066626E" w:rsidRPr="00154B29" w:rsidRDefault="0066626E" w:rsidP="00CD68E6">
            <w:pPr>
              <w:spacing w:line="259" w:lineRule="auto"/>
              <w:jc w:val="center"/>
              <w:rPr>
                <w:rFonts w:hAnsiTheme="minorHAnsi" w:cstheme="minorHAnsi"/>
                <w:b/>
                <w:color w:val="FFFFFF" w:themeColor="background1"/>
                <w:sz w:val="20"/>
                <w:szCs w:val="20"/>
              </w:rPr>
            </w:pPr>
            <w:r w:rsidRPr="00154B29">
              <w:rPr>
                <w:rFonts w:hAnsiTheme="minorHAnsi" w:cstheme="minorHAnsi"/>
                <w:b/>
                <w:color w:val="FFFFFF" w:themeColor="background1"/>
                <w:sz w:val="20"/>
                <w:szCs w:val="20"/>
              </w:rPr>
              <w:t>Porteur</w:t>
            </w:r>
          </w:p>
        </w:tc>
        <w:tc>
          <w:tcPr>
            <w:tcW w:w="0" w:type="auto"/>
            <w:shd w:val="clear" w:color="auto" w:fill="1F4E79" w:themeFill="accent1" w:themeFillShade="80"/>
            <w:vAlign w:val="center"/>
            <w:hideMark/>
          </w:tcPr>
          <w:p w14:paraId="55F7AD10" w14:textId="77777777" w:rsidR="0066626E" w:rsidRPr="00154B29" w:rsidRDefault="0066626E" w:rsidP="00CD68E6">
            <w:pPr>
              <w:spacing w:line="259" w:lineRule="auto"/>
              <w:jc w:val="center"/>
              <w:rPr>
                <w:rFonts w:hAnsiTheme="minorHAnsi" w:cstheme="minorHAnsi"/>
                <w:b/>
                <w:color w:val="FFFFFF" w:themeColor="background1"/>
                <w:sz w:val="20"/>
                <w:szCs w:val="20"/>
              </w:rPr>
            </w:pPr>
            <w:r w:rsidRPr="00154B29">
              <w:rPr>
                <w:rFonts w:hAnsiTheme="minorHAnsi" w:cstheme="minorHAnsi"/>
                <w:b/>
                <w:color w:val="FFFFFF" w:themeColor="background1"/>
                <w:sz w:val="20"/>
                <w:szCs w:val="20"/>
              </w:rPr>
              <w:t>Mesure identifiée</w:t>
            </w:r>
          </w:p>
        </w:tc>
        <w:tc>
          <w:tcPr>
            <w:tcW w:w="0" w:type="auto"/>
            <w:shd w:val="clear" w:color="auto" w:fill="1F4E79" w:themeFill="accent1" w:themeFillShade="80"/>
            <w:vAlign w:val="center"/>
            <w:hideMark/>
          </w:tcPr>
          <w:p w14:paraId="19B728D7" w14:textId="77777777" w:rsidR="0066626E" w:rsidRPr="00154B29" w:rsidRDefault="0066626E" w:rsidP="00CD68E6">
            <w:pPr>
              <w:spacing w:line="259" w:lineRule="auto"/>
              <w:jc w:val="center"/>
              <w:rPr>
                <w:rFonts w:hAnsiTheme="minorHAnsi" w:cstheme="minorHAnsi"/>
                <w:b/>
                <w:color w:val="FFFFFF" w:themeColor="background1"/>
                <w:sz w:val="20"/>
                <w:szCs w:val="20"/>
              </w:rPr>
            </w:pPr>
            <w:r w:rsidRPr="00154B29">
              <w:rPr>
                <w:rFonts w:hAnsiTheme="minorHAnsi" w:cstheme="minorHAnsi"/>
                <w:b/>
                <w:color w:val="FFFFFF" w:themeColor="background1"/>
                <w:sz w:val="20"/>
                <w:szCs w:val="20"/>
              </w:rPr>
              <w:t>Description synthétique</w:t>
            </w:r>
          </w:p>
        </w:tc>
        <w:tc>
          <w:tcPr>
            <w:tcW w:w="0" w:type="auto"/>
            <w:shd w:val="clear" w:color="auto" w:fill="1F4E79" w:themeFill="accent1" w:themeFillShade="80"/>
            <w:vAlign w:val="center"/>
            <w:hideMark/>
          </w:tcPr>
          <w:p w14:paraId="22A67468" w14:textId="77777777" w:rsidR="0066626E" w:rsidRPr="00154B29" w:rsidRDefault="0066626E" w:rsidP="00CD68E6">
            <w:pPr>
              <w:spacing w:line="259" w:lineRule="auto"/>
              <w:jc w:val="center"/>
              <w:rPr>
                <w:rFonts w:hAnsiTheme="minorHAnsi" w:cstheme="minorHAnsi"/>
                <w:b/>
                <w:color w:val="FFFFFF" w:themeColor="background1"/>
                <w:sz w:val="20"/>
                <w:szCs w:val="20"/>
              </w:rPr>
            </w:pPr>
            <w:r w:rsidRPr="00154B29">
              <w:rPr>
                <w:rFonts w:hAnsiTheme="minorHAnsi" w:cstheme="minorHAnsi"/>
                <w:b/>
                <w:color w:val="FFFFFF" w:themeColor="background1"/>
                <w:sz w:val="20"/>
                <w:szCs w:val="20"/>
              </w:rPr>
              <w:t>Coût indiqué</w:t>
            </w:r>
          </w:p>
        </w:tc>
        <w:tc>
          <w:tcPr>
            <w:tcW w:w="0" w:type="auto"/>
            <w:shd w:val="clear" w:color="auto" w:fill="1F4E79" w:themeFill="accent1" w:themeFillShade="80"/>
            <w:vAlign w:val="center"/>
            <w:hideMark/>
          </w:tcPr>
          <w:p w14:paraId="66CC8B60" w14:textId="77777777" w:rsidR="0066626E" w:rsidRPr="00154B29" w:rsidRDefault="0066626E" w:rsidP="00CD68E6">
            <w:pPr>
              <w:spacing w:line="259" w:lineRule="auto"/>
              <w:jc w:val="center"/>
              <w:rPr>
                <w:rFonts w:hAnsiTheme="minorHAnsi" w:cstheme="minorHAnsi"/>
                <w:b/>
                <w:color w:val="FFFFFF" w:themeColor="background1"/>
                <w:sz w:val="20"/>
                <w:szCs w:val="20"/>
              </w:rPr>
            </w:pPr>
            <w:r w:rsidRPr="00154B29">
              <w:rPr>
                <w:rFonts w:hAnsiTheme="minorHAnsi" w:cstheme="minorHAnsi"/>
                <w:b/>
                <w:color w:val="FFFFFF" w:themeColor="background1"/>
                <w:sz w:val="20"/>
                <w:szCs w:val="20"/>
              </w:rPr>
              <w:t>Période</w:t>
            </w:r>
          </w:p>
        </w:tc>
        <w:tc>
          <w:tcPr>
            <w:tcW w:w="0" w:type="auto"/>
            <w:shd w:val="clear" w:color="auto" w:fill="1F4E79" w:themeFill="accent1" w:themeFillShade="80"/>
            <w:vAlign w:val="center"/>
            <w:hideMark/>
          </w:tcPr>
          <w:p w14:paraId="71D057BD" w14:textId="77777777" w:rsidR="0066626E" w:rsidRPr="00154B29" w:rsidRDefault="0066626E" w:rsidP="00CD68E6">
            <w:pPr>
              <w:spacing w:line="259" w:lineRule="auto"/>
              <w:jc w:val="center"/>
              <w:rPr>
                <w:rFonts w:hAnsiTheme="minorHAnsi" w:cstheme="minorHAnsi"/>
                <w:b/>
                <w:color w:val="FFFFFF" w:themeColor="background1"/>
                <w:sz w:val="20"/>
                <w:szCs w:val="20"/>
              </w:rPr>
            </w:pPr>
            <w:r w:rsidRPr="00154B29">
              <w:rPr>
                <w:rFonts w:hAnsiTheme="minorHAnsi" w:cstheme="minorHAnsi"/>
                <w:b/>
                <w:color w:val="FFFFFF" w:themeColor="background1"/>
                <w:sz w:val="20"/>
                <w:szCs w:val="20"/>
              </w:rPr>
              <w:t>Statut</w:t>
            </w:r>
          </w:p>
        </w:tc>
      </w:tr>
      <w:tr w:rsidR="0066626E" w:rsidRPr="00154B29" w14:paraId="67C6CB65" w14:textId="77777777" w:rsidTr="00CD68E6">
        <w:tc>
          <w:tcPr>
            <w:tcW w:w="0" w:type="auto"/>
            <w:vAlign w:val="center"/>
            <w:hideMark/>
          </w:tcPr>
          <w:p w14:paraId="5E50633C"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CDN 2.0</w:t>
            </w:r>
          </w:p>
        </w:tc>
        <w:tc>
          <w:tcPr>
            <w:tcW w:w="0" w:type="auto"/>
            <w:vAlign w:val="center"/>
            <w:hideMark/>
          </w:tcPr>
          <w:p w14:paraId="4CFBE590"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Société Katura</w:t>
            </w:r>
          </w:p>
        </w:tc>
        <w:tc>
          <w:tcPr>
            <w:tcW w:w="0" w:type="auto"/>
            <w:vAlign w:val="center"/>
            <w:hideMark/>
          </w:tcPr>
          <w:p w14:paraId="76A2AD4F" w14:textId="09B3B201"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b/>
                <w:sz w:val="20"/>
                <w:szCs w:val="20"/>
              </w:rPr>
              <w:t xml:space="preserve">Unité de transformation des déchets solides en énergie </w:t>
            </w:r>
            <w:r w:rsidR="00BB7517" w:rsidRPr="00154B29">
              <w:rPr>
                <w:rFonts w:hAnsiTheme="minorHAnsi" w:cstheme="minorHAnsi"/>
                <w:b/>
                <w:sz w:val="20"/>
                <w:szCs w:val="20"/>
              </w:rPr>
              <w:t>-</w:t>
            </w:r>
            <w:r w:rsidRPr="00154B29">
              <w:rPr>
                <w:rFonts w:hAnsiTheme="minorHAnsi" w:cstheme="minorHAnsi"/>
                <w:b/>
                <w:sz w:val="20"/>
                <w:szCs w:val="20"/>
              </w:rPr>
              <w:t xml:space="preserve"> site de Noumoubougou</w:t>
            </w:r>
          </w:p>
        </w:tc>
        <w:tc>
          <w:tcPr>
            <w:tcW w:w="0" w:type="auto"/>
            <w:vAlign w:val="center"/>
            <w:hideMark/>
          </w:tcPr>
          <w:p w14:paraId="59DFB465"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Projet de production d’énergie à partir des déchets solides.</w:t>
            </w:r>
          </w:p>
        </w:tc>
        <w:tc>
          <w:tcPr>
            <w:tcW w:w="0" w:type="auto"/>
            <w:vAlign w:val="center"/>
            <w:hideMark/>
          </w:tcPr>
          <w:p w14:paraId="76187AE7" w14:textId="2805C29F" w:rsidR="0066626E" w:rsidRPr="00154B29" w:rsidRDefault="00D04CEF" w:rsidP="00CD68E6">
            <w:pPr>
              <w:spacing w:line="259" w:lineRule="auto"/>
              <w:jc w:val="both"/>
              <w:rPr>
                <w:rFonts w:hAnsiTheme="minorHAnsi" w:cstheme="minorHAnsi"/>
                <w:sz w:val="20"/>
                <w:szCs w:val="20"/>
              </w:rPr>
            </w:pPr>
            <w:r w:rsidRPr="00154B29">
              <w:rPr>
                <w:rFonts w:hAnsiTheme="minorHAnsi" w:cstheme="minorHAnsi"/>
                <w:sz w:val="20"/>
                <w:szCs w:val="20"/>
              </w:rPr>
              <w:t>ND</w:t>
            </w:r>
          </w:p>
        </w:tc>
        <w:tc>
          <w:tcPr>
            <w:tcW w:w="0" w:type="auto"/>
            <w:vAlign w:val="center"/>
            <w:hideMark/>
          </w:tcPr>
          <w:p w14:paraId="242FE58F" w14:textId="1B259DB3" w:rsidR="0066626E" w:rsidRPr="00154B29" w:rsidRDefault="00D04CEF" w:rsidP="00CD68E6">
            <w:pPr>
              <w:spacing w:line="259" w:lineRule="auto"/>
              <w:jc w:val="both"/>
              <w:rPr>
                <w:rFonts w:hAnsiTheme="minorHAnsi" w:cstheme="minorHAnsi"/>
                <w:sz w:val="20"/>
                <w:szCs w:val="20"/>
              </w:rPr>
            </w:pPr>
            <w:r w:rsidRPr="00154B29">
              <w:rPr>
                <w:rFonts w:hAnsiTheme="minorHAnsi" w:cstheme="minorHAnsi"/>
                <w:sz w:val="20"/>
                <w:szCs w:val="20"/>
              </w:rPr>
              <w:t>ND</w:t>
            </w:r>
          </w:p>
        </w:tc>
        <w:tc>
          <w:tcPr>
            <w:tcW w:w="0" w:type="auto"/>
            <w:vAlign w:val="center"/>
            <w:hideMark/>
          </w:tcPr>
          <w:p w14:paraId="291D6560" w14:textId="623C9581" w:rsidR="0066626E" w:rsidRPr="00154B29" w:rsidRDefault="00D04CEF" w:rsidP="00CD68E6">
            <w:pPr>
              <w:spacing w:line="259" w:lineRule="auto"/>
              <w:jc w:val="both"/>
              <w:rPr>
                <w:rFonts w:hAnsiTheme="minorHAnsi" w:cstheme="minorHAnsi"/>
                <w:sz w:val="20"/>
                <w:szCs w:val="20"/>
              </w:rPr>
            </w:pPr>
            <w:r w:rsidRPr="00154B29">
              <w:rPr>
                <w:rFonts w:hAnsiTheme="minorHAnsi" w:cstheme="minorHAnsi"/>
                <w:sz w:val="20"/>
                <w:szCs w:val="20"/>
              </w:rPr>
              <w:t>En cours</w:t>
            </w:r>
          </w:p>
        </w:tc>
      </w:tr>
      <w:tr w:rsidR="0066626E" w:rsidRPr="00154B29" w14:paraId="14AA4316" w14:textId="77777777" w:rsidTr="00CD68E6">
        <w:tc>
          <w:tcPr>
            <w:tcW w:w="0" w:type="auto"/>
            <w:vAlign w:val="center"/>
            <w:hideMark/>
          </w:tcPr>
          <w:p w14:paraId="5314DAA2"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CDN 2.0</w:t>
            </w:r>
          </w:p>
        </w:tc>
        <w:tc>
          <w:tcPr>
            <w:tcW w:w="0" w:type="auto"/>
            <w:vAlign w:val="center"/>
            <w:hideMark/>
          </w:tcPr>
          <w:p w14:paraId="62145B4E"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Programme PRUBA / Ministère de l’Urbanisme</w:t>
            </w:r>
          </w:p>
        </w:tc>
        <w:tc>
          <w:tcPr>
            <w:tcW w:w="0" w:type="auto"/>
            <w:vAlign w:val="center"/>
            <w:hideMark/>
          </w:tcPr>
          <w:p w14:paraId="41FFB31A" w14:textId="6FD90664"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b/>
                <w:sz w:val="20"/>
                <w:szCs w:val="20"/>
              </w:rPr>
              <w:t xml:space="preserve">PRUBA </w:t>
            </w:r>
            <w:r w:rsidR="00BB7517" w:rsidRPr="00154B29">
              <w:rPr>
                <w:rFonts w:hAnsiTheme="minorHAnsi" w:cstheme="minorHAnsi"/>
                <w:b/>
                <w:sz w:val="20"/>
                <w:szCs w:val="20"/>
              </w:rPr>
              <w:t>-</w:t>
            </w:r>
            <w:r w:rsidRPr="00154B29">
              <w:rPr>
                <w:rFonts w:hAnsiTheme="minorHAnsi" w:cstheme="minorHAnsi"/>
                <w:b/>
                <w:sz w:val="20"/>
                <w:szCs w:val="20"/>
              </w:rPr>
              <w:t xml:space="preserve"> Projet de gestion des déchets solides urbains du Grand Bamako</w:t>
            </w:r>
          </w:p>
        </w:tc>
        <w:tc>
          <w:tcPr>
            <w:tcW w:w="0" w:type="auto"/>
            <w:vAlign w:val="center"/>
            <w:hideMark/>
          </w:tcPr>
          <w:p w14:paraId="0986B847"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 xml:space="preserve">Projet visant l’amélioration de la collecte, de l’évacuation et de la gestion des déchets solides urbains à Bamako. Il prévoit notamment le nettoyage de </w:t>
            </w:r>
            <w:r w:rsidRPr="00154B29">
              <w:rPr>
                <w:rFonts w:hAnsiTheme="minorHAnsi" w:cstheme="minorHAnsi"/>
                <w:b/>
                <w:sz w:val="20"/>
                <w:szCs w:val="20"/>
              </w:rPr>
              <w:t>38 dépôts anarchiques</w:t>
            </w:r>
            <w:r w:rsidRPr="00154B29">
              <w:rPr>
                <w:rFonts w:hAnsiTheme="minorHAnsi" w:cstheme="minorHAnsi"/>
                <w:sz w:val="20"/>
                <w:szCs w:val="20"/>
              </w:rPr>
              <w:t xml:space="preserve">, l’évacuation de plus de </w:t>
            </w:r>
            <w:r w:rsidRPr="00154B29">
              <w:rPr>
                <w:rFonts w:hAnsiTheme="minorHAnsi" w:cstheme="minorHAnsi"/>
                <w:b/>
                <w:sz w:val="20"/>
                <w:szCs w:val="20"/>
              </w:rPr>
              <w:t>120 000 m³ de déchets</w:t>
            </w:r>
            <w:r w:rsidRPr="00154B29">
              <w:rPr>
                <w:rFonts w:hAnsiTheme="minorHAnsi" w:cstheme="minorHAnsi"/>
                <w:sz w:val="20"/>
                <w:szCs w:val="20"/>
              </w:rPr>
              <w:t xml:space="preserve"> vers la décharge de Noumoubougou et le </w:t>
            </w:r>
            <w:r w:rsidRPr="00154B29">
              <w:rPr>
                <w:rFonts w:hAnsiTheme="minorHAnsi" w:cstheme="minorHAnsi"/>
                <w:sz w:val="20"/>
                <w:szCs w:val="20"/>
              </w:rPr>
              <w:lastRenderedPageBreak/>
              <w:t>renforcement des capacités de collecte.</w:t>
            </w:r>
          </w:p>
        </w:tc>
        <w:tc>
          <w:tcPr>
            <w:tcW w:w="0" w:type="auto"/>
            <w:vAlign w:val="center"/>
            <w:hideMark/>
          </w:tcPr>
          <w:p w14:paraId="10582861"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b/>
                <w:sz w:val="20"/>
                <w:szCs w:val="20"/>
              </w:rPr>
              <w:lastRenderedPageBreak/>
              <w:t>49 millions USD</w:t>
            </w:r>
          </w:p>
        </w:tc>
        <w:tc>
          <w:tcPr>
            <w:tcW w:w="0" w:type="auto"/>
            <w:vAlign w:val="center"/>
            <w:hideMark/>
          </w:tcPr>
          <w:p w14:paraId="2111C7A3" w14:textId="78C96B1C"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2023</w:t>
            </w:r>
            <w:r w:rsidR="000E6FB3" w:rsidRPr="00154B29">
              <w:rPr>
                <w:rFonts w:hAnsiTheme="minorHAnsi" w:cstheme="minorHAnsi"/>
                <w:sz w:val="20"/>
                <w:szCs w:val="20"/>
              </w:rPr>
              <w:t>-</w:t>
            </w:r>
            <w:r w:rsidRPr="00154B29">
              <w:rPr>
                <w:rFonts w:hAnsiTheme="minorHAnsi" w:cstheme="minorHAnsi"/>
                <w:sz w:val="20"/>
                <w:szCs w:val="20"/>
              </w:rPr>
              <w:t>2028</w:t>
            </w:r>
          </w:p>
        </w:tc>
        <w:tc>
          <w:tcPr>
            <w:tcW w:w="0" w:type="auto"/>
            <w:vAlign w:val="center"/>
            <w:hideMark/>
          </w:tcPr>
          <w:p w14:paraId="0F463D4C"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En cours</w:t>
            </w:r>
          </w:p>
        </w:tc>
      </w:tr>
      <w:tr w:rsidR="0066626E" w:rsidRPr="00154B29" w14:paraId="5BAEAE4F" w14:textId="77777777" w:rsidTr="00CD68E6">
        <w:tc>
          <w:tcPr>
            <w:tcW w:w="0" w:type="auto"/>
            <w:vAlign w:val="center"/>
            <w:hideMark/>
          </w:tcPr>
          <w:p w14:paraId="3A3BA7C6"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Cabinet</w:t>
            </w:r>
          </w:p>
        </w:tc>
        <w:tc>
          <w:tcPr>
            <w:tcW w:w="0" w:type="auto"/>
            <w:vAlign w:val="center"/>
            <w:hideMark/>
          </w:tcPr>
          <w:p w14:paraId="1DA03425"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Programme PRUBA / Ministère de l’Urbanisme</w:t>
            </w:r>
          </w:p>
        </w:tc>
        <w:tc>
          <w:tcPr>
            <w:tcW w:w="0" w:type="auto"/>
            <w:vAlign w:val="center"/>
            <w:hideMark/>
          </w:tcPr>
          <w:p w14:paraId="25FD216C" w14:textId="20F4B03E"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b/>
                <w:sz w:val="20"/>
                <w:szCs w:val="20"/>
              </w:rPr>
              <w:t xml:space="preserve">PRUBA </w:t>
            </w:r>
            <w:r w:rsidR="00BB7517" w:rsidRPr="00154B29">
              <w:rPr>
                <w:rFonts w:hAnsiTheme="minorHAnsi" w:cstheme="minorHAnsi"/>
                <w:b/>
                <w:sz w:val="20"/>
                <w:szCs w:val="20"/>
              </w:rPr>
              <w:t>-</w:t>
            </w:r>
            <w:r w:rsidRPr="00154B29">
              <w:rPr>
                <w:rFonts w:hAnsiTheme="minorHAnsi" w:cstheme="minorHAnsi"/>
                <w:b/>
                <w:sz w:val="20"/>
                <w:szCs w:val="20"/>
              </w:rPr>
              <w:t xml:space="preserve"> Réalisation de stations de traitement des boues de vidange et assainissement liquide</w:t>
            </w:r>
          </w:p>
        </w:tc>
        <w:tc>
          <w:tcPr>
            <w:tcW w:w="0" w:type="auto"/>
            <w:vAlign w:val="center"/>
            <w:hideMark/>
          </w:tcPr>
          <w:p w14:paraId="7AF7E5A0"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 xml:space="preserve">Projet portant sur la réalisation de deux stations de traitement des boues de vidange : une station à Tienfala d’une capacité de </w:t>
            </w:r>
            <w:r w:rsidRPr="00154B29">
              <w:rPr>
                <w:rFonts w:hAnsiTheme="minorHAnsi" w:cstheme="minorHAnsi"/>
                <w:b/>
                <w:sz w:val="20"/>
                <w:szCs w:val="20"/>
              </w:rPr>
              <w:t>450 m³/jour</w:t>
            </w:r>
            <w:r w:rsidRPr="00154B29">
              <w:rPr>
                <w:rFonts w:hAnsiTheme="minorHAnsi" w:cstheme="minorHAnsi"/>
                <w:sz w:val="20"/>
                <w:szCs w:val="20"/>
              </w:rPr>
              <w:t xml:space="preserve"> et une station dans la zone aéroportuaire de Bamako d’une capacité de </w:t>
            </w:r>
            <w:r w:rsidRPr="00154B29">
              <w:rPr>
                <w:rFonts w:hAnsiTheme="minorHAnsi" w:cstheme="minorHAnsi"/>
                <w:b/>
                <w:sz w:val="20"/>
                <w:szCs w:val="20"/>
              </w:rPr>
              <w:t>900 m³/jour</w:t>
            </w:r>
            <w:r w:rsidRPr="00154B29">
              <w:rPr>
                <w:rFonts w:hAnsiTheme="minorHAnsi" w:cstheme="minorHAnsi"/>
                <w:sz w:val="20"/>
                <w:szCs w:val="20"/>
              </w:rPr>
              <w:t xml:space="preserve">, soit une capacité totale prévue de </w:t>
            </w:r>
            <w:r w:rsidRPr="00154B29">
              <w:rPr>
                <w:rFonts w:hAnsiTheme="minorHAnsi" w:cstheme="minorHAnsi"/>
                <w:b/>
                <w:sz w:val="20"/>
                <w:szCs w:val="20"/>
              </w:rPr>
              <w:t>1 350 m³/jour</w:t>
            </w:r>
            <w:r w:rsidRPr="00154B29">
              <w:rPr>
                <w:rFonts w:hAnsiTheme="minorHAnsi" w:cstheme="minorHAnsi"/>
                <w:sz w:val="20"/>
                <w:szCs w:val="20"/>
              </w:rPr>
              <w:t>.</w:t>
            </w:r>
          </w:p>
        </w:tc>
        <w:tc>
          <w:tcPr>
            <w:tcW w:w="0" w:type="auto"/>
            <w:vAlign w:val="center"/>
            <w:hideMark/>
          </w:tcPr>
          <w:p w14:paraId="13313093"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 xml:space="preserve">Inclus dans la composante eau, assainissement et hygiène : </w:t>
            </w:r>
            <w:r w:rsidRPr="00154B29">
              <w:rPr>
                <w:rFonts w:hAnsiTheme="minorHAnsi" w:cstheme="minorHAnsi"/>
                <w:b/>
                <w:sz w:val="20"/>
                <w:szCs w:val="20"/>
              </w:rPr>
              <w:t>70 millions USD</w:t>
            </w:r>
          </w:p>
        </w:tc>
        <w:tc>
          <w:tcPr>
            <w:tcW w:w="0" w:type="auto"/>
            <w:vAlign w:val="center"/>
            <w:hideMark/>
          </w:tcPr>
          <w:p w14:paraId="61213E35" w14:textId="5CA284EE"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2023</w:t>
            </w:r>
            <w:r w:rsidR="000E6FB3" w:rsidRPr="00154B29">
              <w:rPr>
                <w:rFonts w:hAnsiTheme="minorHAnsi" w:cstheme="minorHAnsi"/>
                <w:sz w:val="20"/>
                <w:szCs w:val="20"/>
              </w:rPr>
              <w:t>-</w:t>
            </w:r>
            <w:r w:rsidRPr="00154B29">
              <w:rPr>
                <w:rFonts w:hAnsiTheme="minorHAnsi" w:cstheme="minorHAnsi"/>
                <w:sz w:val="20"/>
                <w:szCs w:val="20"/>
              </w:rPr>
              <w:t>2028</w:t>
            </w:r>
          </w:p>
        </w:tc>
        <w:tc>
          <w:tcPr>
            <w:tcW w:w="0" w:type="auto"/>
            <w:vAlign w:val="center"/>
            <w:hideMark/>
          </w:tcPr>
          <w:p w14:paraId="1B5D0C54"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En cours</w:t>
            </w:r>
          </w:p>
        </w:tc>
      </w:tr>
      <w:tr w:rsidR="0066626E" w:rsidRPr="00154B29" w14:paraId="5EEED183" w14:textId="77777777" w:rsidTr="00CD68E6">
        <w:tc>
          <w:tcPr>
            <w:tcW w:w="0" w:type="auto"/>
            <w:vAlign w:val="center"/>
            <w:hideMark/>
          </w:tcPr>
          <w:p w14:paraId="618B512A"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Cabinet</w:t>
            </w:r>
          </w:p>
        </w:tc>
        <w:tc>
          <w:tcPr>
            <w:tcW w:w="0" w:type="auto"/>
            <w:vAlign w:val="center"/>
            <w:hideMark/>
          </w:tcPr>
          <w:p w14:paraId="38B5B012"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SNV</w:t>
            </w:r>
          </w:p>
        </w:tc>
        <w:tc>
          <w:tcPr>
            <w:tcW w:w="0" w:type="auto"/>
            <w:vAlign w:val="center"/>
            <w:hideMark/>
          </w:tcPr>
          <w:p w14:paraId="2D306706" w14:textId="0C5081BA"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b/>
                <w:sz w:val="20"/>
                <w:szCs w:val="20"/>
              </w:rPr>
              <w:t xml:space="preserve">Projet ACCEL Africa </w:t>
            </w:r>
            <w:r w:rsidR="00BB7517" w:rsidRPr="00154B29">
              <w:rPr>
                <w:rFonts w:hAnsiTheme="minorHAnsi" w:cstheme="minorHAnsi"/>
                <w:b/>
                <w:sz w:val="20"/>
                <w:szCs w:val="20"/>
              </w:rPr>
              <w:t>-</w:t>
            </w:r>
            <w:r w:rsidRPr="00154B29">
              <w:rPr>
                <w:rFonts w:hAnsiTheme="minorHAnsi" w:cstheme="minorHAnsi"/>
                <w:b/>
                <w:sz w:val="20"/>
                <w:szCs w:val="20"/>
              </w:rPr>
              <w:t xml:space="preserve"> Installation de biodigesteurs pour un coton durable dans les régions de Sikasso, Bougouni et Koutiala</w:t>
            </w:r>
          </w:p>
        </w:tc>
        <w:tc>
          <w:tcPr>
            <w:tcW w:w="0" w:type="auto"/>
            <w:vAlign w:val="center"/>
            <w:hideMark/>
          </w:tcPr>
          <w:p w14:paraId="34ED2BC5"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 xml:space="preserve">Projet visant l’installation de </w:t>
            </w:r>
            <w:r w:rsidRPr="00154B29">
              <w:rPr>
                <w:rFonts w:hAnsiTheme="minorHAnsi" w:cstheme="minorHAnsi"/>
                <w:b/>
                <w:sz w:val="20"/>
                <w:szCs w:val="20"/>
              </w:rPr>
              <w:t>30 biodigesteurs</w:t>
            </w:r>
            <w:r w:rsidRPr="00154B29">
              <w:rPr>
                <w:rFonts w:hAnsiTheme="minorHAnsi" w:cstheme="minorHAnsi"/>
                <w:sz w:val="20"/>
                <w:szCs w:val="20"/>
              </w:rPr>
              <w:t xml:space="preserve"> auprès de producteurs de coton afin de valoriser les déchets organiques agricoles et les déjections animales en biogaz et en fertilisant organique.</w:t>
            </w:r>
          </w:p>
        </w:tc>
        <w:tc>
          <w:tcPr>
            <w:tcW w:w="0" w:type="auto"/>
            <w:vAlign w:val="center"/>
            <w:hideMark/>
          </w:tcPr>
          <w:p w14:paraId="09B4EF33" w14:textId="1D685928" w:rsidR="0066626E" w:rsidRPr="00154B29" w:rsidRDefault="00D04CEF" w:rsidP="00CD68E6">
            <w:pPr>
              <w:spacing w:line="259" w:lineRule="auto"/>
              <w:jc w:val="both"/>
              <w:rPr>
                <w:rFonts w:hAnsiTheme="minorHAnsi" w:cstheme="minorHAnsi"/>
                <w:sz w:val="20"/>
                <w:szCs w:val="20"/>
              </w:rPr>
            </w:pPr>
            <w:r w:rsidRPr="00154B29">
              <w:rPr>
                <w:rFonts w:hAnsiTheme="minorHAnsi" w:cstheme="minorHAnsi"/>
                <w:sz w:val="20"/>
                <w:szCs w:val="20"/>
              </w:rPr>
              <w:t>ND</w:t>
            </w:r>
          </w:p>
        </w:tc>
        <w:tc>
          <w:tcPr>
            <w:tcW w:w="0" w:type="auto"/>
            <w:vAlign w:val="center"/>
            <w:hideMark/>
          </w:tcPr>
          <w:p w14:paraId="7D4927B4" w14:textId="571BA8E2" w:rsidR="0066626E" w:rsidRPr="00154B29" w:rsidRDefault="0066626E" w:rsidP="00CD68E6">
            <w:pPr>
              <w:spacing w:line="259" w:lineRule="auto"/>
              <w:jc w:val="both"/>
              <w:rPr>
                <w:rFonts w:hAnsiTheme="minorHAnsi" w:cstheme="minorHAnsi"/>
                <w:sz w:val="20"/>
                <w:szCs w:val="20"/>
              </w:rPr>
            </w:pPr>
          </w:p>
        </w:tc>
        <w:tc>
          <w:tcPr>
            <w:tcW w:w="0" w:type="auto"/>
            <w:vAlign w:val="center"/>
            <w:hideMark/>
          </w:tcPr>
          <w:p w14:paraId="5FABDA9E"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En cours</w:t>
            </w:r>
          </w:p>
        </w:tc>
      </w:tr>
      <w:tr w:rsidR="0066626E" w:rsidRPr="00154B29" w14:paraId="3119C1F1" w14:textId="77777777" w:rsidTr="00CD68E6">
        <w:tc>
          <w:tcPr>
            <w:tcW w:w="0" w:type="auto"/>
            <w:vAlign w:val="center"/>
            <w:hideMark/>
          </w:tcPr>
          <w:p w14:paraId="5BCBD3FF"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Cabinet</w:t>
            </w:r>
          </w:p>
        </w:tc>
        <w:tc>
          <w:tcPr>
            <w:tcW w:w="0" w:type="auto"/>
            <w:vAlign w:val="center"/>
            <w:hideMark/>
          </w:tcPr>
          <w:p w14:paraId="3590B54E"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DNACPN</w:t>
            </w:r>
          </w:p>
        </w:tc>
        <w:tc>
          <w:tcPr>
            <w:tcW w:w="0" w:type="auto"/>
            <w:vAlign w:val="center"/>
            <w:hideMark/>
          </w:tcPr>
          <w:p w14:paraId="0B8838BF"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b/>
                <w:sz w:val="20"/>
                <w:szCs w:val="20"/>
              </w:rPr>
              <w:t>Stations de traitement et de valorisation des boues de vidange dans les villes de Koulikoro, Ségou, Sikasso et Kayes</w:t>
            </w:r>
          </w:p>
        </w:tc>
        <w:tc>
          <w:tcPr>
            <w:tcW w:w="0" w:type="auto"/>
            <w:vAlign w:val="center"/>
            <w:hideMark/>
          </w:tcPr>
          <w:p w14:paraId="03F5AED6"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Initiative portant sur la mise en place de stations de traitement et de valorisation des boues de vidange dans plusieurs villes secondaires, afin d’améliorer la gestion des déchets liquides et de réduire les rejets non traités.</w:t>
            </w:r>
          </w:p>
        </w:tc>
        <w:tc>
          <w:tcPr>
            <w:tcW w:w="0" w:type="auto"/>
            <w:vAlign w:val="center"/>
            <w:hideMark/>
          </w:tcPr>
          <w:p w14:paraId="03410B1B" w14:textId="37DB069D" w:rsidR="0066626E" w:rsidRPr="00154B29" w:rsidRDefault="00BA218B" w:rsidP="00CD68E6">
            <w:pPr>
              <w:spacing w:line="259" w:lineRule="auto"/>
              <w:jc w:val="both"/>
              <w:rPr>
                <w:rFonts w:hAnsiTheme="minorHAnsi" w:cstheme="minorHAnsi"/>
                <w:sz w:val="20"/>
                <w:szCs w:val="20"/>
              </w:rPr>
            </w:pPr>
            <w:r w:rsidRPr="00154B29">
              <w:rPr>
                <w:rFonts w:hAnsiTheme="minorHAnsi" w:cstheme="minorHAnsi"/>
                <w:sz w:val="20"/>
                <w:szCs w:val="20"/>
              </w:rPr>
              <w:t>ND</w:t>
            </w:r>
          </w:p>
        </w:tc>
        <w:tc>
          <w:tcPr>
            <w:tcW w:w="0" w:type="auto"/>
            <w:vAlign w:val="center"/>
          </w:tcPr>
          <w:p w14:paraId="7153C999" w14:textId="649DE978" w:rsidR="0066626E" w:rsidRPr="00154B29" w:rsidRDefault="00BA218B" w:rsidP="00CD68E6">
            <w:pPr>
              <w:spacing w:line="259" w:lineRule="auto"/>
              <w:jc w:val="both"/>
              <w:rPr>
                <w:rFonts w:hAnsiTheme="minorHAnsi" w:cstheme="minorHAnsi"/>
                <w:sz w:val="20"/>
                <w:szCs w:val="20"/>
              </w:rPr>
            </w:pPr>
            <w:r w:rsidRPr="00154B29">
              <w:rPr>
                <w:rFonts w:hAnsiTheme="minorHAnsi" w:cstheme="minorHAnsi"/>
                <w:sz w:val="20"/>
                <w:szCs w:val="20"/>
              </w:rPr>
              <w:t>ND</w:t>
            </w:r>
          </w:p>
        </w:tc>
        <w:tc>
          <w:tcPr>
            <w:tcW w:w="0" w:type="auto"/>
            <w:vAlign w:val="center"/>
            <w:hideMark/>
          </w:tcPr>
          <w:p w14:paraId="151065B0"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En cours</w:t>
            </w:r>
          </w:p>
        </w:tc>
      </w:tr>
      <w:tr w:rsidR="0066626E" w:rsidRPr="00154B29" w14:paraId="5397D6A1" w14:textId="77777777" w:rsidTr="00CD68E6">
        <w:tc>
          <w:tcPr>
            <w:tcW w:w="0" w:type="auto"/>
            <w:vAlign w:val="center"/>
            <w:hideMark/>
          </w:tcPr>
          <w:p w14:paraId="4F145FB5"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CDN 2.0</w:t>
            </w:r>
          </w:p>
        </w:tc>
        <w:tc>
          <w:tcPr>
            <w:tcW w:w="0" w:type="auto"/>
            <w:vAlign w:val="center"/>
            <w:hideMark/>
          </w:tcPr>
          <w:p w14:paraId="5BA88AFA"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Fondation Strømme</w:t>
            </w:r>
          </w:p>
        </w:tc>
        <w:tc>
          <w:tcPr>
            <w:tcW w:w="0" w:type="auto"/>
            <w:vAlign w:val="center"/>
            <w:hideMark/>
          </w:tcPr>
          <w:p w14:paraId="6BE88C0F"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b/>
                <w:sz w:val="20"/>
                <w:szCs w:val="20"/>
              </w:rPr>
              <w:t>Valorisation et transformation des déchets plastiques en Commune V du District de Bamako</w:t>
            </w:r>
          </w:p>
        </w:tc>
        <w:tc>
          <w:tcPr>
            <w:tcW w:w="0" w:type="auto"/>
            <w:vAlign w:val="center"/>
            <w:hideMark/>
          </w:tcPr>
          <w:p w14:paraId="53520339"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Projet visant la collecte, la valorisation et la transformation des déchets plastiques dans la Commune V du District de Bamako.</w:t>
            </w:r>
          </w:p>
        </w:tc>
        <w:tc>
          <w:tcPr>
            <w:tcW w:w="0" w:type="auto"/>
            <w:vAlign w:val="center"/>
            <w:hideMark/>
          </w:tcPr>
          <w:p w14:paraId="0C529194" w14:textId="78903C38" w:rsidR="0066626E" w:rsidRPr="00154B29" w:rsidRDefault="00BA218B" w:rsidP="00CD68E6">
            <w:pPr>
              <w:spacing w:line="259" w:lineRule="auto"/>
              <w:jc w:val="both"/>
              <w:rPr>
                <w:rFonts w:hAnsiTheme="minorHAnsi" w:cstheme="minorHAnsi"/>
                <w:sz w:val="20"/>
                <w:szCs w:val="20"/>
              </w:rPr>
            </w:pPr>
            <w:r w:rsidRPr="00154B29">
              <w:rPr>
                <w:rFonts w:hAnsiTheme="minorHAnsi" w:cstheme="minorHAnsi"/>
                <w:sz w:val="20"/>
                <w:szCs w:val="20"/>
              </w:rPr>
              <w:t>ND</w:t>
            </w:r>
          </w:p>
        </w:tc>
        <w:tc>
          <w:tcPr>
            <w:tcW w:w="0" w:type="auto"/>
            <w:vAlign w:val="center"/>
            <w:hideMark/>
          </w:tcPr>
          <w:p w14:paraId="56A79582" w14:textId="09F68944" w:rsidR="0066626E" w:rsidRPr="00154B29" w:rsidRDefault="00BA218B" w:rsidP="00CD68E6">
            <w:pPr>
              <w:spacing w:line="259" w:lineRule="auto"/>
              <w:jc w:val="both"/>
              <w:rPr>
                <w:rFonts w:hAnsiTheme="minorHAnsi" w:cstheme="minorHAnsi"/>
                <w:sz w:val="20"/>
                <w:szCs w:val="20"/>
              </w:rPr>
            </w:pPr>
            <w:r w:rsidRPr="00154B29">
              <w:rPr>
                <w:rFonts w:hAnsiTheme="minorHAnsi" w:cstheme="minorHAnsi"/>
                <w:sz w:val="20"/>
                <w:szCs w:val="20"/>
              </w:rPr>
              <w:t>ND</w:t>
            </w:r>
          </w:p>
        </w:tc>
        <w:tc>
          <w:tcPr>
            <w:tcW w:w="0" w:type="auto"/>
            <w:vAlign w:val="center"/>
            <w:hideMark/>
          </w:tcPr>
          <w:p w14:paraId="325720F3"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En cours</w:t>
            </w:r>
          </w:p>
        </w:tc>
      </w:tr>
      <w:tr w:rsidR="0066626E" w:rsidRPr="00154B29" w14:paraId="7B92E280" w14:textId="77777777" w:rsidTr="00CD68E6">
        <w:tc>
          <w:tcPr>
            <w:tcW w:w="0" w:type="auto"/>
            <w:vAlign w:val="center"/>
            <w:hideMark/>
          </w:tcPr>
          <w:p w14:paraId="7AF71F39"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CDN 2.0</w:t>
            </w:r>
          </w:p>
        </w:tc>
        <w:tc>
          <w:tcPr>
            <w:tcW w:w="0" w:type="auto"/>
            <w:vAlign w:val="center"/>
            <w:hideMark/>
          </w:tcPr>
          <w:p w14:paraId="7575D207"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Société SIGMA</w:t>
            </w:r>
          </w:p>
        </w:tc>
        <w:tc>
          <w:tcPr>
            <w:tcW w:w="0" w:type="auto"/>
            <w:vAlign w:val="center"/>
            <w:hideMark/>
          </w:tcPr>
          <w:p w14:paraId="44074E5A"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b/>
                <w:sz w:val="20"/>
                <w:szCs w:val="20"/>
              </w:rPr>
              <w:t>Recyclage des déchets plastiques à Bamako au niveau industriel</w:t>
            </w:r>
          </w:p>
        </w:tc>
        <w:tc>
          <w:tcPr>
            <w:tcW w:w="0" w:type="auto"/>
            <w:vAlign w:val="center"/>
            <w:hideMark/>
          </w:tcPr>
          <w:p w14:paraId="6755BD9E"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Projet visant le recyclage industriel des déchets plastiques à Bamako.</w:t>
            </w:r>
          </w:p>
        </w:tc>
        <w:tc>
          <w:tcPr>
            <w:tcW w:w="0" w:type="auto"/>
            <w:vAlign w:val="center"/>
            <w:hideMark/>
          </w:tcPr>
          <w:p w14:paraId="5F5837F4" w14:textId="126A5549" w:rsidR="0066626E" w:rsidRPr="00154B29" w:rsidRDefault="00037418" w:rsidP="00CD68E6">
            <w:pPr>
              <w:spacing w:line="259" w:lineRule="auto"/>
              <w:jc w:val="both"/>
              <w:rPr>
                <w:rFonts w:hAnsiTheme="minorHAnsi" w:cstheme="minorHAnsi"/>
                <w:sz w:val="20"/>
                <w:szCs w:val="20"/>
              </w:rPr>
            </w:pPr>
            <w:r w:rsidRPr="00154B29">
              <w:rPr>
                <w:rFonts w:hAnsiTheme="minorHAnsi" w:cstheme="minorHAnsi"/>
                <w:sz w:val="20"/>
                <w:szCs w:val="20"/>
              </w:rPr>
              <w:t>ND</w:t>
            </w:r>
          </w:p>
        </w:tc>
        <w:tc>
          <w:tcPr>
            <w:tcW w:w="0" w:type="auto"/>
            <w:vAlign w:val="center"/>
            <w:hideMark/>
          </w:tcPr>
          <w:p w14:paraId="56677883" w14:textId="5780AD90" w:rsidR="0066626E" w:rsidRPr="00154B29" w:rsidRDefault="00037418" w:rsidP="00CD68E6">
            <w:pPr>
              <w:spacing w:line="259" w:lineRule="auto"/>
              <w:jc w:val="both"/>
              <w:rPr>
                <w:rFonts w:hAnsiTheme="minorHAnsi" w:cstheme="minorHAnsi"/>
                <w:sz w:val="20"/>
                <w:szCs w:val="20"/>
              </w:rPr>
            </w:pPr>
            <w:r w:rsidRPr="00154B29">
              <w:rPr>
                <w:rFonts w:hAnsiTheme="minorHAnsi" w:cstheme="minorHAnsi"/>
                <w:sz w:val="20"/>
                <w:szCs w:val="20"/>
              </w:rPr>
              <w:t>ND</w:t>
            </w:r>
          </w:p>
        </w:tc>
        <w:tc>
          <w:tcPr>
            <w:tcW w:w="0" w:type="auto"/>
            <w:vAlign w:val="center"/>
            <w:hideMark/>
          </w:tcPr>
          <w:p w14:paraId="0A9119AE" w14:textId="5DEDC3B2" w:rsidR="0066626E" w:rsidRPr="00154B29" w:rsidRDefault="00037418" w:rsidP="00CD68E6">
            <w:pPr>
              <w:spacing w:line="259" w:lineRule="auto"/>
              <w:jc w:val="both"/>
              <w:rPr>
                <w:rFonts w:hAnsiTheme="minorHAnsi" w:cstheme="minorHAnsi"/>
                <w:sz w:val="20"/>
                <w:szCs w:val="20"/>
              </w:rPr>
            </w:pPr>
            <w:r w:rsidRPr="00154B29">
              <w:rPr>
                <w:rFonts w:hAnsiTheme="minorHAnsi" w:cstheme="minorHAnsi"/>
                <w:sz w:val="20"/>
                <w:szCs w:val="20"/>
              </w:rPr>
              <w:t>ND</w:t>
            </w:r>
          </w:p>
        </w:tc>
      </w:tr>
      <w:tr w:rsidR="0066626E" w:rsidRPr="00154B29" w14:paraId="02EB424B" w14:textId="77777777" w:rsidTr="00CD68E6">
        <w:tc>
          <w:tcPr>
            <w:tcW w:w="0" w:type="auto"/>
            <w:vAlign w:val="center"/>
            <w:hideMark/>
          </w:tcPr>
          <w:p w14:paraId="53AB9E30"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lastRenderedPageBreak/>
              <w:t>CDN 2.0</w:t>
            </w:r>
          </w:p>
        </w:tc>
        <w:tc>
          <w:tcPr>
            <w:tcW w:w="0" w:type="auto"/>
            <w:vAlign w:val="center"/>
            <w:hideMark/>
          </w:tcPr>
          <w:p w14:paraId="79E0685B"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UGVD de Gao</w:t>
            </w:r>
          </w:p>
        </w:tc>
        <w:tc>
          <w:tcPr>
            <w:tcW w:w="0" w:type="auto"/>
            <w:vAlign w:val="center"/>
            <w:hideMark/>
          </w:tcPr>
          <w:p w14:paraId="311071DB"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b/>
                <w:sz w:val="20"/>
                <w:szCs w:val="20"/>
              </w:rPr>
              <w:t>Projet d’assainissement de Gao à travers le recyclage des déchets plastiques par l’UGVD de Gao</w:t>
            </w:r>
          </w:p>
        </w:tc>
        <w:tc>
          <w:tcPr>
            <w:tcW w:w="0" w:type="auto"/>
            <w:vAlign w:val="center"/>
            <w:hideMark/>
          </w:tcPr>
          <w:p w14:paraId="5EECAFB4"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Projet local d’assainissement visant le recyclage des déchets plastiques à Gao.</w:t>
            </w:r>
          </w:p>
        </w:tc>
        <w:tc>
          <w:tcPr>
            <w:tcW w:w="0" w:type="auto"/>
            <w:vAlign w:val="center"/>
            <w:hideMark/>
          </w:tcPr>
          <w:p w14:paraId="391D81BB" w14:textId="1D01E428" w:rsidR="0066626E" w:rsidRPr="00154B29" w:rsidRDefault="00037418" w:rsidP="00CD68E6">
            <w:pPr>
              <w:spacing w:line="259" w:lineRule="auto"/>
              <w:jc w:val="both"/>
              <w:rPr>
                <w:rFonts w:hAnsiTheme="minorHAnsi" w:cstheme="minorHAnsi"/>
                <w:sz w:val="20"/>
                <w:szCs w:val="20"/>
              </w:rPr>
            </w:pPr>
            <w:r w:rsidRPr="00154B29">
              <w:rPr>
                <w:rFonts w:hAnsiTheme="minorHAnsi" w:cstheme="minorHAnsi"/>
                <w:sz w:val="20"/>
                <w:szCs w:val="20"/>
              </w:rPr>
              <w:t>ND</w:t>
            </w:r>
          </w:p>
        </w:tc>
        <w:tc>
          <w:tcPr>
            <w:tcW w:w="0" w:type="auto"/>
            <w:vAlign w:val="center"/>
            <w:hideMark/>
          </w:tcPr>
          <w:p w14:paraId="3C06A7A5" w14:textId="022768F8" w:rsidR="0066626E" w:rsidRPr="00154B29" w:rsidRDefault="00037418" w:rsidP="00CD68E6">
            <w:pPr>
              <w:spacing w:line="259" w:lineRule="auto"/>
              <w:jc w:val="both"/>
              <w:rPr>
                <w:rFonts w:hAnsiTheme="minorHAnsi" w:cstheme="minorHAnsi"/>
                <w:sz w:val="20"/>
                <w:szCs w:val="20"/>
              </w:rPr>
            </w:pPr>
            <w:r w:rsidRPr="00154B29">
              <w:rPr>
                <w:rFonts w:hAnsiTheme="minorHAnsi" w:cstheme="minorHAnsi"/>
                <w:sz w:val="20"/>
                <w:szCs w:val="20"/>
              </w:rPr>
              <w:t>ND</w:t>
            </w:r>
          </w:p>
        </w:tc>
        <w:tc>
          <w:tcPr>
            <w:tcW w:w="0" w:type="auto"/>
            <w:vAlign w:val="center"/>
            <w:hideMark/>
          </w:tcPr>
          <w:p w14:paraId="2CA64D2B" w14:textId="77777777" w:rsidR="0066626E" w:rsidRPr="00154B29" w:rsidRDefault="0066626E" w:rsidP="00CD68E6">
            <w:pPr>
              <w:spacing w:line="259" w:lineRule="auto"/>
              <w:jc w:val="both"/>
              <w:rPr>
                <w:rFonts w:hAnsiTheme="minorHAnsi" w:cstheme="minorHAnsi"/>
                <w:sz w:val="20"/>
                <w:szCs w:val="20"/>
              </w:rPr>
            </w:pPr>
            <w:r w:rsidRPr="00154B29">
              <w:rPr>
                <w:rFonts w:hAnsiTheme="minorHAnsi" w:cstheme="minorHAnsi"/>
                <w:sz w:val="20"/>
                <w:szCs w:val="20"/>
              </w:rPr>
              <w:t>Clôturé</w:t>
            </w:r>
          </w:p>
        </w:tc>
      </w:tr>
    </w:tbl>
    <w:p w14:paraId="1E94719A" w14:textId="77777777" w:rsidR="00CD68E6" w:rsidRPr="001448CE" w:rsidRDefault="00CD68E6" w:rsidP="00CD68E6">
      <w:pPr>
        <w:spacing w:before="360" w:after="0"/>
        <w:rPr>
          <w:b/>
          <w:bCs/>
          <w:u w:val="single"/>
        </w:rPr>
      </w:pPr>
      <w:r w:rsidRPr="001448CE">
        <w:rPr>
          <w:b/>
          <w:bCs/>
          <w:u w:val="single"/>
        </w:rPr>
        <w:t>Proposition de restructuration des mesures du secteur des déchets</w:t>
      </w:r>
    </w:p>
    <w:p w14:paraId="3FD6D685" w14:textId="77777777" w:rsidR="00CD68E6" w:rsidRPr="001448CE" w:rsidRDefault="00CD68E6" w:rsidP="00CD68E6">
      <w:pPr>
        <w:spacing w:before="120" w:after="120"/>
        <w:jc w:val="both"/>
      </w:pPr>
      <w:r w:rsidRPr="001448CE">
        <w:t>L’analyse de la liste brute des mesures identifiées pour le secteur des déchets montre que plusieurs propositions relèvent de champs d’intervention proches : gestion des déchets solides urbains, traitement des boues de vidange, assainissement liquide, valorisation organique et énergétique des déchets, et recyclage des déchets plastiques.</w:t>
      </w:r>
    </w:p>
    <w:p w14:paraId="2FF08149" w14:textId="77777777" w:rsidR="00CD68E6" w:rsidRPr="001448CE" w:rsidRDefault="00CD68E6" w:rsidP="00CD68E6">
      <w:pPr>
        <w:spacing w:before="120" w:after="120"/>
        <w:jc w:val="both"/>
      </w:pPr>
      <w:r w:rsidRPr="001448CE">
        <w:t xml:space="preserve">Afin d’éviter un portefeuille composé de nombreuses mesures isolées et difficiles à suivre, il est proposé de regrouper les initiatives similaires autour de mesures plus structurées. Cette restructuration </w:t>
      </w:r>
      <w:r w:rsidRPr="00182A1D">
        <w:t>permet de</w:t>
      </w:r>
      <w:r w:rsidRPr="001448CE">
        <w:t xml:space="preserve"> conserver la traçabilité des projets d’origine</w:t>
      </w:r>
      <w:r w:rsidRPr="00182A1D">
        <w:t xml:space="preserve"> dans la description des mesures</w:t>
      </w:r>
      <w:r w:rsidRPr="001448CE">
        <w:t>, tout en présentant un portefeuille plus lisible pour la CDN 3.0.</w:t>
      </w:r>
    </w:p>
    <w:p w14:paraId="138D6CEF" w14:textId="62140C72" w:rsidR="00CD68E6" w:rsidRPr="00CD68E6" w:rsidRDefault="00CD68E6" w:rsidP="00CD68E6">
      <w:pPr>
        <w:spacing w:before="240" w:after="0"/>
        <w:jc w:val="both"/>
        <w:sectPr w:rsidR="00CD68E6" w:rsidRPr="00CD68E6" w:rsidSect="00C42595">
          <w:pgSz w:w="12240" w:h="15840" w:code="1"/>
          <w:pgMar w:top="1412" w:right="1412" w:bottom="1412" w:left="1412" w:header="709" w:footer="709" w:gutter="0"/>
          <w:cols w:space="708"/>
          <w:docGrid w:linePitch="360"/>
        </w:sectPr>
      </w:pPr>
      <w:r w:rsidRPr="001448CE">
        <w:t>La restructuration tient également compte de la conditionnalité. Les actions déjà engagées, en cours de mise en œuvre ou rattachées à des programmes nationaux identifiés sont proposées comme mesures inconditionnelles. Les extensions territoriales, les nouvelles infrastructures ou les actions nécessitant un financement additionnel sont proposées comme mesures conditionnelles</w:t>
      </w:r>
      <w:r>
        <w:t>.</w:t>
      </w:r>
    </w:p>
    <w:p w14:paraId="0998D7D3" w14:textId="682594ED" w:rsidR="00CD68E6" w:rsidRPr="00CD68E6" w:rsidRDefault="00CD68E6" w:rsidP="00CD68E6">
      <w:pPr>
        <w:pStyle w:val="Lgende"/>
        <w:keepNext/>
        <w:spacing w:after="120"/>
        <w:rPr>
          <w:sz w:val="20"/>
          <w:szCs w:val="20"/>
        </w:rPr>
      </w:pPr>
      <w:bookmarkStart w:id="75" w:name="_Toc234853953"/>
      <w:r w:rsidRPr="00CD68E6">
        <w:rPr>
          <w:sz w:val="20"/>
          <w:szCs w:val="20"/>
        </w:rPr>
        <w:lastRenderedPageBreak/>
        <w:t xml:space="preserve">Tableau </w:t>
      </w:r>
      <w:r w:rsidRPr="00CD68E6">
        <w:rPr>
          <w:sz w:val="20"/>
          <w:szCs w:val="20"/>
        </w:rPr>
        <w:fldChar w:fldCharType="begin"/>
      </w:r>
      <w:r w:rsidRPr="00CD68E6">
        <w:rPr>
          <w:sz w:val="20"/>
          <w:szCs w:val="20"/>
        </w:rPr>
        <w:instrText xml:space="preserve"> SEQ Tableau \* ARABIC </w:instrText>
      </w:r>
      <w:r w:rsidRPr="00CD68E6">
        <w:rPr>
          <w:sz w:val="20"/>
          <w:szCs w:val="20"/>
        </w:rPr>
        <w:fldChar w:fldCharType="separate"/>
      </w:r>
      <w:r w:rsidR="0018772E">
        <w:rPr>
          <w:noProof/>
          <w:sz w:val="20"/>
          <w:szCs w:val="20"/>
        </w:rPr>
        <w:t>29</w:t>
      </w:r>
      <w:r w:rsidRPr="00CD68E6">
        <w:rPr>
          <w:sz w:val="20"/>
          <w:szCs w:val="20"/>
        </w:rPr>
        <w:fldChar w:fldCharType="end"/>
      </w:r>
      <w:r w:rsidRPr="00CD68E6">
        <w:rPr>
          <w:sz w:val="20"/>
          <w:szCs w:val="20"/>
        </w:rPr>
        <w:t> : Portefeuille restructuré des mesures d’atténuation du secteur des déchets pour la CDN 3.0</w:t>
      </w:r>
      <w:bookmarkEnd w:id="75"/>
    </w:p>
    <w:tbl>
      <w:tblPr>
        <w:tblStyle w:val="Tableausimp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1512"/>
        <w:gridCol w:w="2365"/>
        <w:gridCol w:w="3889"/>
        <w:gridCol w:w="1326"/>
        <w:gridCol w:w="824"/>
        <w:gridCol w:w="1290"/>
        <w:gridCol w:w="1405"/>
      </w:tblGrid>
      <w:tr w:rsidR="00ED02B5" w:rsidRPr="004E2C59" w14:paraId="084DE198" w14:textId="77777777" w:rsidTr="004E2C59">
        <w:trPr>
          <w:cnfStyle w:val="100000000000" w:firstRow="1" w:lastRow="0" w:firstColumn="0" w:lastColumn="0" w:oddVBand="0" w:evenVBand="0" w:oddHBand="0" w:evenHBand="0" w:firstRowFirstColumn="0" w:firstRowLastColumn="0" w:lastRowFirstColumn="0" w:lastRowLastColumn="0"/>
          <w:trHeight w:val="712"/>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1F4E79" w:themeFill="accent1" w:themeFillShade="80"/>
            <w:vAlign w:val="center"/>
            <w:hideMark/>
          </w:tcPr>
          <w:p w14:paraId="607BB1B5" w14:textId="77777777" w:rsidR="00ED02B5" w:rsidRPr="004E2C59" w:rsidRDefault="00ED02B5" w:rsidP="00CD68E6">
            <w:pPr>
              <w:spacing w:line="259" w:lineRule="auto"/>
              <w:jc w:val="center"/>
              <w:rPr>
                <w:color w:val="FFFFFF" w:themeColor="background1"/>
                <w:sz w:val="18"/>
                <w:szCs w:val="18"/>
              </w:rPr>
            </w:pPr>
            <w:r w:rsidRPr="004E2C59">
              <w:rPr>
                <w:color w:val="FFFFFF" w:themeColor="background1"/>
                <w:sz w:val="18"/>
                <w:szCs w:val="18"/>
              </w:rPr>
              <w:t>N°</w:t>
            </w:r>
          </w:p>
        </w:tc>
        <w:tc>
          <w:tcPr>
            <w:tcW w:w="0" w:type="auto"/>
            <w:shd w:val="clear" w:color="auto" w:fill="1F4E79" w:themeFill="accent1" w:themeFillShade="80"/>
            <w:vAlign w:val="center"/>
            <w:hideMark/>
          </w:tcPr>
          <w:p w14:paraId="045D47B9" w14:textId="77777777" w:rsidR="00ED02B5" w:rsidRPr="004E2C59" w:rsidRDefault="00ED02B5" w:rsidP="00CD68E6">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4E2C59">
              <w:rPr>
                <w:color w:val="FFFFFF" w:themeColor="background1"/>
                <w:sz w:val="18"/>
                <w:szCs w:val="18"/>
              </w:rPr>
              <w:t>Porteur</w:t>
            </w:r>
          </w:p>
        </w:tc>
        <w:tc>
          <w:tcPr>
            <w:tcW w:w="0" w:type="auto"/>
            <w:shd w:val="clear" w:color="auto" w:fill="1F4E79" w:themeFill="accent1" w:themeFillShade="80"/>
            <w:vAlign w:val="center"/>
            <w:hideMark/>
          </w:tcPr>
          <w:p w14:paraId="099524F4" w14:textId="77777777" w:rsidR="00ED02B5" w:rsidRPr="004E2C59" w:rsidRDefault="00ED02B5" w:rsidP="00CD68E6">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4E2C59">
              <w:rPr>
                <w:color w:val="FFFFFF" w:themeColor="background1"/>
                <w:sz w:val="18"/>
                <w:szCs w:val="18"/>
              </w:rPr>
              <w:t>Intitulé proposé de la mesure</w:t>
            </w:r>
          </w:p>
        </w:tc>
        <w:tc>
          <w:tcPr>
            <w:tcW w:w="3889" w:type="dxa"/>
            <w:shd w:val="clear" w:color="auto" w:fill="1F4E79" w:themeFill="accent1" w:themeFillShade="80"/>
            <w:vAlign w:val="center"/>
            <w:hideMark/>
          </w:tcPr>
          <w:p w14:paraId="39B76694" w14:textId="77777777" w:rsidR="00ED02B5" w:rsidRPr="004E2C59" w:rsidRDefault="00ED02B5" w:rsidP="00CD68E6">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4E2C59">
              <w:rPr>
                <w:color w:val="FFFFFF" w:themeColor="background1"/>
                <w:sz w:val="18"/>
                <w:szCs w:val="18"/>
              </w:rPr>
              <w:t>Description synthétique</w:t>
            </w:r>
          </w:p>
        </w:tc>
        <w:tc>
          <w:tcPr>
            <w:tcW w:w="1323" w:type="dxa"/>
            <w:shd w:val="clear" w:color="auto" w:fill="1F4E79" w:themeFill="accent1" w:themeFillShade="80"/>
            <w:vAlign w:val="center"/>
            <w:hideMark/>
          </w:tcPr>
          <w:p w14:paraId="4BE70F9C" w14:textId="77777777" w:rsidR="00ED02B5" w:rsidRPr="004E2C59" w:rsidRDefault="00ED02B5" w:rsidP="00CD68E6">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4E2C59">
              <w:rPr>
                <w:color w:val="FFFFFF" w:themeColor="background1"/>
                <w:sz w:val="18"/>
                <w:szCs w:val="18"/>
              </w:rPr>
              <w:t>Coût</w:t>
            </w:r>
          </w:p>
        </w:tc>
        <w:tc>
          <w:tcPr>
            <w:tcW w:w="0" w:type="auto"/>
            <w:shd w:val="clear" w:color="auto" w:fill="1F4E79" w:themeFill="accent1" w:themeFillShade="80"/>
            <w:vAlign w:val="center"/>
            <w:hideMark/>
          </w:tcPr>
          <w:p w14:paraId="7A4EB753" w14:textId="77777777" w:rsidR="00ED02B5" w:rsidRPr="004E2C59" w:rsidRDefault="00ED02B5" w:rsidP="00CD68E6">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4E2C59">
              <w:rPr>
                <w:color w:val="FFFFFF" w:themeColor="background1"/>
                <w:sz w:val="18"/>
                <w:szCs w:val="18"/>
              </w:rPr>
              <w:t>Période</w:t>
            </w:r>
          </w:p>
        </w:tc>
        <w:tc>
          <w:tcPr>
            <w:tcW w:w="0" w:type="auto"/>
            <w:shd w:val="clear" w:color="auto" w:fill="1F4E79" w:themeFill="accent1" w:themeFillShade="80"/>
            <w:vAlign w:val="center"/>
            <w:hideMark/>
          </w:tcPr>
          <w:p w14:paraId="38DBDB52" w14:textId="77777777" w:rsidR="00ED02B5" w:rsidRPr="004E2C59" w:rsidRDefault="00ED02B5" w:rsidP="00CD68E6">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4E2C59">
              <w:rPr>
                <w:color w:val="FFFFFF" w:themeColor="background1"/>
                <w:sz w:val="18"/>
                <w:szCs w:val="18"/>
              </w:rPr>
              <w:t>Statut</w:t>
            </w:r>
          </w:p>
        </w:tc>
        <w:tc>
          <w:tcPr>
            <w:tcW w:w="0" w:type="auto"/>
            <w:shd w:val="clear" w:color="auto" w:fill="1F4E79" w:themeFill="accent1" w:themeFillShade="80"/>
            <w:vAlign w:val="center"/>
            <w:hideMark/>
          </w:tcPr>
          <w:p w14:paraId="6579AF7B" w14:textId="77777777" w:rsidR="00ED02B5" w:rsidRPr="004E2C59" w:rsidRDefault="00ED02B5" w:rsidP="00CD68E6">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4E2C59">
              <w:rPr>
                <w:color w:val="FFFFFF" w:themeColor="background1"/>
                <w:sz w:val="18"/>
                <w:szCs w:val="18"/>
              </w:rPr>
              <w:t>Conditionnalité</w:t>
            </w:r>
          </w:p>
        </w:tc>
      </w:tr>
      <w:tr w:rsidR="00ED02B5" w:rsidRPr="004E2C59" w14:paraId="3847C79D" w14:textId="77777777" w:rsidTr="00CD68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D44AE1" w14:textId="77777777" w:rsidR="00ED02B5" w:rsidRPr="004E2C59" w:rsidRDefault="00ED02B5" w:rsidP="00CD68E6">
            <w:pPr>
              <w:spacing w:line="259" w:lineRule="auto"/>
              <w:jc w:val="both"/>
              <w:rPr>
                <w:sz w:val="18"/>
                <w:szCs w:val="18"/>
              </w:rPr>
            </w:pPr>
            <w:r w:rsidRPr="004E2C59">
              <w:rPr>
                <w:sz w:val="18"/>
                <w:szCs w:val="18"/>
              </w:rPr>
              <w:t>1</w:t>
            </w:r>
          </w:p>
        </w:tc>
        <w:tc>
          <w:tcPr>
            <w:tcW w:w="0" w:type="auto"/>
            <w:vAlign w:val="center"/>
            <w:hideMark/>
          </w:tcPr>
          <w:p w14:paraId="2149583B" w14:textId="7777777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Programme PRUBA / Ministère de l’Urbanisme</w:t>
            </w:r>
          </w:p>
        </w:tc>
        <w:tc>
          <w:tcPr>
            <w:tcW w:w="0" w:type="auto"/>
            <w:vAlign w:val="center"/>
            <w:hideMark/>
          </w:tcPr>
          <w:p w14:paraId="15CA95A5" w14:textId="2E076461"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b/>
                <w:sz w:val="18"/>
                <w:szCs w:val="18"/>
              </w:rPr>
              <w:t>PRUBA - Projet de gestion des déchets solides urbains du Grand Bamako</w:t>
            </w:r>
          </w:p>
        </w:tc>
        <w:tc>
          <w:tcPr>
            <w:tcW w:w="3889" w:type="dxa"/>
            <w:vAlign w:val="center"/>
            <w:hideMark/>
          </w:tcPr>
          <w:p w14:paraId="3DAFA5A0" w14:textId="77777777" w:rsidR="002F293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La mesure reprend le projet PRUBA relatif à la gestion des déchets solides urbains du Grand Bamako</w:t>
            </w:r>
            <w:r w:rsidR="00D7168B" w:rsidRPr="00D7168B">
              <w:rPr>
                <w:sz w:val="18"/>
                <w:szCs w:val="18"/>
              </w:rPr>
              <w:t>, notamment</w:t>
            </w:r>
            <w:r w:rsidRPr="004E2C59">
              <w:rPr>
                <w:sz w:val="18"/>
                <w:szCs w:val="18"/>
              </w:rPr>
              <w:t xml:space="preserve"> le nettoyage de </w:t>
            </w:r>
            <w:r w:rsidRPr="00EA320D">
              <w:rPr>
                <w:sz w:val="18"/>
                <w:szCs w:val="18"/>
              </w:rPr>
              <w:t>38 dépôts anarchiques</w:t>
            </w:r>
            <w:r w:rsidRPr="004E2C59">
              <w:rPr>
                <w:sz w:val="18"/>
                <w:szCs w:val="18"/>
              </w:rPr>
              <w:t xml:space="preserve">, l’évacuation de plus de </w:t>
            </w:r>
            <w:r w:rsidRPr="00EA320D">
              <w:rPr>
                <w:sz w:val="18"/>
                <w:szCs w:val="18"/>
              </w:rPr>
              <w:t>120 000 m³ de déchets</w:t>
            </w:r>
            <w:r w:rsidRPr="004E2C59">
              <w:rPr>
                <w:sz w:val="18"/>
                <w:szCs w:val="18"/>
              </w:rPr>
              <w:t xml:space="preserve"> vers la décharge de Noumoubougou et le renforcement des capacités </w:t>
            </w:r>
            <w:r w:rsidR="00EA320D" w:rsidRPr="00EA320D">
              <w:rPr>
                <w:sz w:val="18"/>
                <w:szCs w:val="18"/>
              </w:rPr>
              <w:t xml:space="preserve">de collecte. </w:t>
            </w:r>
          </w:p>
          <w:p w14:paraId="24817635" w14:textId="15A09AA2" w:rsidR="002F2939" w:rsidRDefault="002F2939"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D7168B">
              <w:rPr>
                <w:sz w:val="18"/>
                <w:szCs w:val="18"/>
              </w:rPr>
              <w:t>Les réductions d’émissions sont estimées sur la base de la diminution des dépôts anarchiques, du brûlage évité et de l’amélioration de la gestion contrôlée des déchets.</w:t>
            </w:r>
          </w:p>
          <w:p w14:paraId="17DB95FD" w14:textId="1671BD8D" w:rsidR="00ED02B5" w:rsidRPr="004E2C59" w:rsidRDefault="001A693C"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Les </w:t>
            </w:r>
            <w:r w:rsidR="00D7168B" w:rsidRPr="00D7168B">
              <w:rPr>
                <w:sz w:val="18"/>
                <w:szCs w:val="18"/>
              </w:rPr>
              <w:t>hypothèses pour modéliser l’impact d’atténuation :</w:t>
            </w:r>
            <w:r w:rsidR="00EA320D" w:rsidRPr="00EA320D">
              <w:rPr>
                <w:sz w:val="18"/>
                <w:szCs w:val="18"/>
              </w:rPr>
              <w:t xml:space="preserve"> population de référence du Grand Bamako </w:t>
            </w:r>
            <w:r w:rsidR="00D7168B" w:rsidRPr="00D7168B">
              <w:rPr>
                <w:sz w:val="18"/>
                <w:szCs w:val="18"/>
              </w:rPr>
              <w:t>estimée à</w:t>
            </w:r>
            <w:r w:rsidR="00EA320D" w:rsidRPr="00EA320D">
              <w:rPr>
                <w:sz w:val="18"/>
                <w:szCs w:val="18"/>
              </w:rPr>
              <w:t xml:space="preserve"> 3,5 millions d’habitants en 2023, </w:t>
            </w:r>
            <w:r w:rsidR="00D7168B" w:rsidRPr="00D7168B">
              <w:rPr>
                <w:sz w:val="18"/>
                <w:szCs w:val="18"/>
              </w:rPr>
              <w:t>croissance annuelle de 4,5 %,</w:t>
            </w:r>
            <w:r w:rsidR="00EA320D" w:rsidRPr="00EA320D">
              <w:rPr>
                <w:sz w:val="18"/>
                <w:szCs w:val="18"/>
              </w:rPr>
              <w:t xml:space="preserve"> production de déchets de 0,5 kg/hab/jour</w:t>
            </w:r>
            <w:r w:rsidR="00D7168B" w:rsidRPr="00D7168B">
              <w:rPr>
                <w:sz w:val="18"/>
                <w:szCs w:val="18"/>
              </w:rPr>
              <w:t xml:space="preserve">, </w:t>
            </w:r>
            <w:r w:rsidR="00EA320D" w:rsidRPr="00EA320D">
              <w:rPr>
                <w:sz w:val="18"/>
                <w:szCs w:val="18"/>
              </w:rPr>
              <w:t xml:space="preserve">taux de collecte de </w:t>
            </w:r>
            <w:r w:rsidR="00D7168B" w:rsidRPr="00D7168B">
              <w:rPr>
                <w:sz w:val="18"/>
                <w:szCs w:val="18"/>
              </w:rPr>
              <w:t xml:space="preserve">référence de </w:t>
            </w:r>
            <w:r w:rsidR="00EA320D" w:rsidRPr="00EA320D">
              <w:rPr>
                <w:sz w:val="18"/>
                <w:szCs w:val="18"/>
              </w:rPr>
              <w:t xml:space="preserve">40 % </w:t>
            </w:r>
            <w:r w:rsidR="00D7168B" w:rsidRPr="00D7168B">
              <w:rPr>
                <w:sz w:val="18"/>
                <w:szCs w:val="18"/>
              </w:rPr>
              <w:t>et taux cible de</w:t>
            </w:r>
            <w:r w:rsidR="00EA320D" w:rsidRPr="00EA320D">
              <w:rPr>
                <w:sz w:val="18"/>
                <w:szCs w:val="18"/>
              </w:rPr>
              <w:t xml:space="preserve"> 80 % à l’horizon 2028. </w:t>
            </w:r>
          </w:p>
        </w:tc>
        <w:tc>
          <w:tcPr>
            <w:tcW w:w="1323" w:type="dxa"/>
            <w:vAlign w:val="center"/>
            <w:hideMark/>
          </w:tcPr>
          <w:p w14:paraId="5E15C37B" w14:textId="7777777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b/>
                <w:sz w:val="18"/>
                <w:szCs w:val="18"/>
              </w:rPr>
              <w:t>49 millions USD</w:t>
            </w:r>
          </w:p>
        </w:tc>
        <w:tc>
          <w:tcPr>
            <w:tcW w:w="0" w:type="auto"/>
            <w:vAlign w:val="center"/>
            <w:hideMark/>
          </w:tcPr>
          <w:p w14:paraId="03F924D9" w14:textId="3822B9C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2023-2028</w:t>
            </w:r>
          </w:p>
        </w:tc>
        <w:tc>
          <w:tcPr>
            <w:tcW w:w="0" w:type="auto"/>
            <w:vAlign w:val="center"/>
            <w:hideMark/>
          </w:tcPr>
          <w:p w14:paraId="0807402C" w14:textId="7777777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En cours</w:t>
            </w:r>
          </w:p>
        </w:tc>
        <w:tc>
          <w:tcPr>
            <w:tcW w:w="0" w:type="auto"/>
            <w:vAlign w:val="center"/>
            <w:hideMark/>
          </w:tcPr>
          <w:p w14:paraId="19359953" w14:textId="7777777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Inconditionnelle</w:t>
            </w:r>
          </w:p>
        </w:tc>
      </w:tr>
      <w:tr w:rsidR="00ED02B5" w:rsidRPr="004E2C59" w14:paraId="0325D260" w14:textId="77777777" w:rsidTr="00CD68E6">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C1B04C" w14:textId="77777777" w:rsidR="00ED02B5" w:rsidRPr="004E2C59" w:rsidRDefault="00ED02B5" w:rsidP="00CD68E6">
            <w:pPr>
              <w:spacing w:line="259" w:lineRule="auto"/>
              <w:jc w:val="both"/>
              <w:rPr>
                <w:sz w:val="18"/>
                <w:szCs w:val="18"/>
              </w:rPr>
            </w:pPr>
            <w:r w:rsidRPr="004E2C59">
              <w:rPr>
                <w:sz w:val="18"/>
                <w:szCs w:val="18"/>
              </w:rPr>
              <w:t>2</w:t>
            </w:r>
          </w:p>
        </w:tc>
        <w:tc>
          <w:tcPr>
            <w:tcW w:w="0" w:type="auto"/>
            <w:vAlign w:val="center"/>
            <w:hideMark/>
          </w:tcPr>
          <w:p w14:paraId="05951A6C" w14:textId="77777777"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DNACPN / Collectivités concernées</w:t>
            </w:r>
          </w:p>
        </w:tc>
        <w:tc>
          <w:tcPr>
            <w:tcW w:w="0" w:type="auto"/>
            <w:vAlign w:val="center"/>
            <w:hideMark/>
          </w:tcPr>
          <w:p w14:paraId="4423474C" w14:textId="77777777"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b/>
                <w:sz w:val="18"/>
                <w:szCs w:val="18"/>
              </w:rPr>
              <w:t>Extension de la gestion durable des déchets ménagers dans les villes secondaires</w:t>
            </w:r>
          </w:p>
        </w:tc>
        <w:tc>
          <w:tcPr>
            <w:tcW w:w="3889" w:type="dxa"/>
            <w:vAlign w:val="center"/>
            <w:hideMark/>
          </w:tcPr>
          <w:p w14:paraId="54692873" w14:textId="77777777" w:rsidR="00A07746"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 xml:space="preserve">La mesure regroupe les propositions relatives à la gestion durable des déchets ménagers dans la commune urbaine de Mopti et au programme d’assainissement des villes de Kayes, Koulikoro, Ségou, Mopti, Bougouni, Kita et Koutiala. </w:t>
            </w:r>
          </w:p>
          <w:p w14:paraId="62F62DA1" w14:textId="1941592D" w:rsidR="00A07746" w:rsidRDefault="00A07746"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1905B5">
              <w:rPr>
                <w:sz w:val="18"/>
                <w:szCs w:val="18"/>
              </w:rPr>
              <w:t>Les réductions d’émissions sont liées à la réduction des dépôts informels, au brûlage évité et à l’amélioration progressive de la collecte et du traitement contrôlé.</w:t>
            </w:r>
          </w:p>
          <w:p w14:paraId="313C5A8C" w14:textId="77777777" w:rsidR="00A07746" w:rsidRDefault="00A07746"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p>
          <w:p w14:paraId="187312F1" w14:textId="4FA9300E" w:rsidR="00ED02B5" w:rsidRPr="004E2C59" w:rsidRDefault="00A07746"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L</w:t>
            </w:r>
            <w:r w:rsidR="001905B5" w:rsidRPr="001905B5">
              <w:rPr>
                <w:sz w:val="18"/>
                <w:szCs w:val="18"/>
              </w:rPr>
              <w:t xml:space="preserve">es hypothèses de modélisation pour estimer l’impact d’atténuation : population totale des villes ciblées estimée à 2,4 millions d’habitants en 2026, croissance annuelle de 3 %, production de déchets de 0,4 kg/hab/jour, taux de collecte de référence de 25 % et amélioration progressive vers un taux cible de 35 % à l’horizon 2035. </w:t>
            </w:r>
          </w:p>
        </w:tc>
        <w:tc>
          <w:tcPr>
            <w:tcW w:w="1323" w:type="dxa"/>
            <w:vAlign w:val="center"/>
          </w:tcPr>
          <w:p w14:paraId="11AA6359" w14:textId="191E283F"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ND</w:t>
            </w:r>
          </w:p>
        </w:tc>
        <w:tc>
          <w:tcPr>
            <w:tcW w:w="0" w:type="auto"/>
            <w:vAlign w:val="center"/>
          </w:tcPr>
          <w:p w14:paraId="50B1FEDC" w14:textId="122E80E1"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ND</w:t>
            </w:r>
          </w:p>
        </w:tc>
        <w:tc>
          <w:tcPr>
            <w:tcW w:w="0" w:type="auto"/>
            <w:vAlign w:val="center"/>
            <w:hideMark/>
          </w:tcPr>
          <w:p w14:paraId="578B1A3B" w14:textId="77777777"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Idée de projet / à consolider</w:t>
            </w:r>
          </w:p>
        </w:tc>
        <w:tc>
          <w:tcPr>
            <w:tcW w:w="0" w:type="auto"/>
            <w:vAlign w:val="center"/>
            <w:hideMark/>
          </w:tcPr>
          <w:p w14:paraId="0E7A413F" w14:textId="77777777"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Conditionnelle</w:t>
            </w:r>
          </w:p>
        </w:tc>
      </w:tr>
      <w:tr w:rsidR="00ED02B5" w:rsidRPr="004E2C59" w14:paraId="002B2051" w14:textId="77777777" w:rsidTr="00CD68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D046119" w14:textId="77777777" w:rsidR="00ED02B5" w:rsidRPr="004E2C59" w:rsidRDefault="00ED02B5" w:rsidP="00CD68E6">
            <w:pPr>
              <w:spacing w:line="259" w:lineRule="auto"/>
              <w:jc w:val="both"/>
              <w:rPr>
                <w:sz w:val="18"/>
                <w:szCs w:val="18"/>
              </w:rPr>
            </w:pPr>
            <w:r w:rsidRPr="004E2C59">
              <w:rPr>
                <w:sz w:val="18"/>
                <w:szCs w:val="18"/>
              </w:rPr>
              <w:lastRenderedPageBreak/>
              <w:t>3</w:t>
            </w:r>
          </w:p>
        </w:tc>
        <w:tc>
          <w:tcPr>
            <w:tcW w:w="0" w:type="auto"/>
            <w:vAlign w:val="center"/>
            <w:hideMark/>
          </w:tcPr>
          <w:p w14:paraId="0C0DED14" w14:textId="7777777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Programme PRUBA / Ministère de l’Urbanisme</w:t>
            </w:r>
          </w:p>
        </w:tc>
        <w:tc>
          <w:tcPr>
            <w:tcW w:w="0" w:type="auto"/>
            <w:vAlign w:val="center"/>
            <w:hideMark/>
          </w:tcPr>
          <w:p w14:paraId="0D4CDF73" w14:textId="08FBC92B"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b/>
                <w:sz w:val="18"/>
                <w:szCs w:val="18"/>
              </w:rPr>
              <w:t>PRUBA - Réalisation de stations de traitement des boues de vidange à Tienfala et dans la zone aéroportuaire de Bamako</w:t>
            </w:r>
          </w:p>
        </w:tc>
        <w:tc>
          <w:tcPr>
            <w:tcW w:w="3889" w:type="dxa"/>
            <w:vAlign w:val="center"/>
            <w:hideMark/>
          </w:tcPr>
          <w:p w14:paraId="67B09F2F" w14:textId="77777777" w:rsidR="00A56D96"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 xml:space="preserve">La mesure reprend la composante PRUBA relative au traitement des boues de vidange dans le Grand Bamako. Elle porte sur </w:t>
            </w:r>
            <w:r w:rsidR="0094445E" w:rsidRPr="0094445E">
              <w:rPr>
                <w:sz w:val="18"/>
                <w:szCs w:val="18"/>
              </w:rPr>
              <w:t>deux stations</w:t>
            </w:r>
            <w:r w:rsidRPr="004E2C59">
              <w:rPr>
                <w:sz w:val="18"/>
                <w:szCs w:val="18"/>
              </w:rPr>
              <w:t xml:space="preserve"> : une station à Tienfala d’une capacité de </w:t>
            </w:r>
            <w:r w:rsidRPr="00FD475A">
              <w:rPr>
                <w:sz w:val="18"/>
                <w:szCs w:val="18"/>
              </w:rPr>
              <w:t>450 m³/jour</w:t>
            </w:r>
            <w:r w:rsidRPr="004E2C59">
              <w:rPr>
                <w:sz w:val="18"/>
                <w:szCs w:val="18"/>
              </w:rPr>
              <w:t xml:space="preserve"> et une station dans la zone aéroportuaire de Bamako d’une capacité de </w:t>
            </w:r>
            <w:r w:rsidRPr="00FD475A">
              <w:rPr>
                <w:sz w:val="18"/>
                <w:szCs w:val="18"/>
              </w:rPr>
              <w:t>900 m³/jour</w:t>
            </w:r>
            <w:r w:rsidRPr="004E2C59">
              <w:rPr>
                <w:sz w:val="18"/>
                <w:szCs w:val="18"/>
              </w:rPr>
              <w:t xml:space="preserve">, soit une capacité totale </w:t>
            </w:r>
            <w:r w:rsidR="00FD475A" w:rsidRPr="00FD475A">
              <w:rPr>
                <w:sz w:val="18"/>
                <w:szCs w:val="18"/>
              </w:rPr>
              <w:t>de 1 350 m³/jour.</w:t>
            </w:r>
          </w:p>
          <w:p w14:paraId="592507AE" w14:textId="76BDF19F" w:rsidR="00ED02B5" w:rsidRPr="004E2C59" w:rsidRDefault="0094445E"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94445E">
              <w:rPr>
                <w:sz w:val="18"/>
                <w:szCs w:val="18"/>
              </w:rPr>
              <w:t>Les réductions d’émissions proviennent principalement de la réduction des émissions de CH₄ et de N₂O liées aux rejets non traités.</w:t>
            </w:r>
          </w:p>
        </w:tc>
        <w:tc>
          <w:tcPr>
            <w:tcW w:w="1323" w:type="dxa"/>
            <w:vAlign w:val="center"/>
            <w:hideMark/>
          </w:tcPr>
          <w:p w14:paraId="7CA4944B" w14:textId="7777777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b/>
                <w:sz w:val="18"/>
                <w:szCs w:val="18"/>
              </w:rPr>
              <w:t>70 millions USD</w:t>
            </w:r>
            <w:r w:rsidRPr="004E2C59">
              <w:rPr>
                <w:sz w:val="18"/>
                <w:szCs w:val="18"/>
              </w:rPr>
              <w:t>, inclus dans la composante eau, assainissement et hygiène</w:t>
            </w:r>
          </w:p>
        </w:tc>
        <w:tc>
          <w:tcPr>
            <w:tcW w:w="0" w:type="auto"/>
            <w:vAlign w:val="center"/>
            <w:hideMark/>
          </w:tcPr>
          <w:p w14:paraId="50DA0BA3" w14:textId="32987BBC"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2023-2028</w:t>
            </w:r>
          </w:p>
        </w:tc>
        <w:tc>
          <w:tcPr>
            <w:tcW w:w="0" w:type="auto"/>
            <w:vAlign w:val="center"/>
            <w:hideMark/>
          </w:tcPr>
          <w:p w14:paraId="57FD58EF" w14:textId="7777777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En cours</w:t>
            </w:r>
          </w:p>
        </w:tc>
        <w:tc>
          <w:tcPr>
            <w:tcW w:w="0" w:type="auto"/>
            <w:vAlign w:val="center"/>
            <w:hideMark/>
          </w:tcPr>
          <w:p w14:paraId="2D49B82B" w14:textId="7777777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Inconditionnelle</w:t>
            </w:r>
          </w:p>
        </w:tc>
      </w:tr>
      <w:tr w:rsidR="00ED02B5" w:rsidRPr="004E2C59" w14:paraId="1C505478" w14:textId="77777777" w:rsidTr="00CD68E6">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1837CF9" w14:textId="77777777" w:rsidR="00ED02B5" w:rsidRPr="004E2C59" w:rsidRDefault="00ED02B5" w:rsidP="00CD68E6">
            <w:pPr>
              <w:spacing w:line="259" w:lineRule="auto"/>
              <w:jc w:val="both"/>
              <w:rPr>
                <w:sz w:val="18"/>
                <w:szCs w:val="18"/>
              </w:rPr>
            </w:pPr>
            <w:r w:rsidRPr="004E2C59">
              <w:rPr>
                <w:sz w:val="18"/>
                <w:szCs w:val="18"/>
              </w:rPr>
              <w:t>4</w:t>
            </w:r>
          </w:p>
        </w:tc>
        <w:tc>
          <w:tcPr>
            <w:tcW w:w="0" w:type="auto"/>
            <w:vAlign w:val="center"/>
            <w:hideMark/>
          </w:tcPr>
          <w:p w14:paraId="7C5E231D" w14:textId="77777777"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DNACPN / Collectivités concernées</w:t>
            </w:r>
          </w:p>
        </w:tc>
        <w:tc>
          <w:tcPr>
            <w:tcW w:w="0" w:type="auto"/>
            <w:vAlign w:val="center"/>
            <w:hideMark/>
          </w:tcPr>
          <w:p w14:paraId="427602C2" w14:textId="77777777"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b/>
                <w:sz w:val="18"/>
                <w:szCs w:val="18"/>
              </w:rPr>
              <w:t>Extension du traitement et de la valorisation des boues de vidange dans les villes secondaires</w:t>
            </w:r>
          </w:p>
        </w:tc>
        <w:tc>
          <w:tcPr>
            <w:tcW w:w="3889" w:type="dxa"/>
            <w:vAlign w:val="center"/>
            <w:hideMark/>
          </w:tcPr>
          <w:p w14:paraId="66763A7C" w14:textId="6CCAD8BB" w:rsidR="00A56D96"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La mesure reprend l’initiative relative aux stations de traitement et de valorisation des boues de vidange dans l</w:t>
            </w:r>
            <w:r w:rsidR="00027E93">
              <w:rPr>
                <w:sz w:val="18"/>
                <w:szCs w:val="18"/>
              </w:rPr>
              <w:t>a</w:t>
            </w:r>
            <w:r w:rsidRPr="004E2C59">
              <w:rPr>
                <w:sz w:val="18"/>
                <w:szCs w:val="18"/>
              </w:rPr>
              <w:t xml:space="preserve"> ville de Kayes. </w:t>
            </w:r>
          </w:p>
          <w:p w14:paraId="445495D5" w14:textId="347ACF7A" w:rsidR="00ED02B5" w:rsidRPr="004E2C59" w:rsidRDefault="00F455D3"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F455D3">
              <w:rPr>
                <w:sz w:val="18"/>
                <w:szCs w:val="18"/>
              </w:rPr>
              <w:t>Les réductions d’émissions proviennent de</w:t>
            </w:r>
            <w:r w:rsidR="00EE228D" w:rsidRPr="00EE228D">
              <w:rPr>
                <w:sz w:val="18"/>
                <w:szCs w:val="18"/>
              </w:rPr>
              <w:t xml:space="preserve"> l’évitement des émissions associées aux rejets non traités et à la gestion anaérobie non contrôlée des boues.</w:t>
            </w:r>
          </w:p>
        </w:tc>
        <w:tc>
          <w:tcPr>
            <w:tcW w:w="1323" w:type="dxa"/>
            <w:vAlign w:val="center"/>
            <w:hideMark/>
          </w:tcPr>
          <w:p w14:paraId="7C04DF8C" w14:textId="674E5E2B"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ND</w:t>
            </w:r>
          </w:p>
        </w:tc>
        <w:tc>
          <w:tcPr>
            <w:tcW w:w="0" w:type="auto"/>
            <w:vAlign w:val="center"/>
            <w:hideMark/>
          </w:tcPr>
          <w:p w14:paraId="6200EF86" w14:textId="75886905" w:rsidR="00ED02B5" w:rsidRPr="004E2C59" w:rsidRDefault="00F018BA"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ND</w:t>
            </w:r>
          </w:p>
        </w:tc>
        <w:tc>
          <w:tcPr>
            <w:tcW w:w="0" w:type="auto"/>
            <w:vAlign w:val="center"/>
            <w:hideMark/>
          </w:tcPr>
          <w:p w14:paraId="58F1D6A6" w14:textId="77777777"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En cours / à consolider</w:t>
            </w:r>
          </w:p>
        </w:tc>
        <w:tc>
          <w:tcPr>
            <w:tcW w:w="0" w:type="auto"/>
            <w:vAlign w:val="center"/>
            <w:hideMark/>
          </w:tcPr>
          <w:p w14:paraId="50C47885" w14:textId="77777777"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Conditionnelle</w:t>
            </w:r>
          </w:p>
        </w:tc>
      </w:tr>
      <w:tr w:rsidR="00ED02B5" w:rsidRPr="004E2C59" w14:paraId="7682D7EE" w14:textId="77777777" w:rsidTr="00CD68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C54461" w14:textId="77777777" w:rsidR="00ED02B5" w:rsidRPr="004E2C59" w:rsidRDefault="00ED02B5" w:rsidP="00CD68E6">
            <w:pPr>
              <w:spacing w:line="259" w:lineRule="auto"/>
              <w:jc w:val="both"/>
              <w:rPr>
                <w:sz w:val="18"/>
                <w:szCs w:val="18"/>
              </w:rPr>
            </w:pPr>
            <w:r w:rsidRPr="004E2C59">
              <w:rPr>
                <w:sz w:val="18"/>
                <w:szCs w:val="18"/>
              </w:rPr>
              <w:t>5</w:t>
            </w:r>
          </w:p>
        </w:tc>
        <w:tc>
          <w:tcPr>
            <w:tcW w:w="0" w:type="auto"/>
            <w:vAlign w:val="center"/>
            <w:hideMark/>
          </w:tcPr>
          <w:p w14:paraId="3ADD0D56" w14:textId="7777777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Société Katura / SNV</w:t>
            </w:r>
          </w:p>
        </w:tc>
        <w:tc>
          <w:tcPr>
            <w:tcW w:w="0" w:type="auto"/>
            <w:vAlign w:val="center"/>
            <w:hideMark/>
          </w:tcPr>
          <w:p w14:paraId="4D557CC0" w14:textId="7777777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b/>
                <w:sz w:val="18"/>
                <w:szCs w:val="18"/>
              </w:rPr>
              <w:t>Valorisation énergétique et organique des déchets</w:t>
            </w:r>
          </w:p>
        </w:tc>
        <w:tc>
          <w:tcPr>
            <w:tcW w:w="3889" w:type="dxa"/>
            <w:vAlign w:val="center"/>
            <w:hideMark/>
          </w:tcPr>
          <w:p w14:paraId="639FA9CA" w14:textId="4D23444C"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 xml:space="preserve">La mesure regroupe l’unité de transformation des déchets solides en énergie sur le site de Noumoubougou et le projet ACCEL Africa d’installation de biodigesteurs. </w:t>
            </w:r>
            <w:r w:rsidR="006017B8" w:rsidRPr="006017B8">
              <w:rPr>
                <w:sz w:val="18"/>
                <w:szCs w:val="18"/>
              </w:rPr>
              <w:t>Pour la composante Noumoubougou, la modélisation une capacité de traitement de 60 000 t/an de déchets organiques</w:t>
            </w:r>
            <w:r w:rsidR="002B5CC6">
              <w:rPr>
                <w:sz w:val="18"/>
                <w:szCs w:val="18"/>
              </w:rPr>
              <w:t xml:space="preserve"> est</w:t>
            </w:r>
            <w:r w:rsidR="006017B8" w:rsidRPr="006017B8">
              <w:rPr>
                <w:sz w:val="18"/>
                <w:szCs w:val="18"/>
              </w:rPr>
              <w:t xml:space="preserve"> estimée </w:t>
            </w:r>
            <w:r w:rsidR="002B5CC6">
              <w:rPr>
                <w:sz w:val="18"/>
                <w:szCs w:val="18"/>
              </w:rPr>
              <w:t>comme cible atteignable</w:t>
            </w:r>
            <w:r w:rsidR="006017B8" w:rsidRPr="006017B8">
              <w:rPr>
                <w:sz w:val="18"/>
                <w:szCs w:val="18"/>
              </w:rPr>
              <w:t xml:space="preserve">. Pour la composante biodigesteurs, </w:t>
            </w:r>
            <w:r w:rsidR="002B5CC6">
              <w:rPr>
                <w:sz w:val="18"/>
                <w:szCs w:val="18"/>
              </w:rPr>
              <w:t>une cible de</w:t>
            </w:r>
            <w:r w:rsidR="006017B8" w:rsidRPr="006017B8">
              <w:rPr>
                <w:sz w:val="18"/>
                <w:szCs w:val="18"/>
              </w:rPr>
              <w:t xml:space="preserve"> 6 000 biodigesteurs en 2035, avec 5 t/an de substrat traité par biodigesteur, </w:t>
            </w:r>
            <w:r w:rsidR="00226659">
              <w:rPr>
                <w:sz w:val="18"/>
                <w:szCs w:val="18"/>
              </w:rPr>
              <w:t>sont considérées comme des objectifs realistes</w:t>
            </w:r>
            <w:r w:rsidR="006017B8" w:rsidRPr="006017B8">
              <w:rPr>
                <w:sz w:val="18"/>
                <w:szCs w:val="18"/>
              </w:rPr>
              <w:t>. Les réductions d’émissions proviennent de l’évitement du CH₄, de la substitution partielle de l’électricité du réseau et de la réduction de l’usage du bois-énergie.</w:t>
            </w:r>
          </w:p>
        </w:tc>
        <w:tc>
          <w:tcPr>
            <w:tcW w:w="1323" w:type="dxa"/>
            <w:vAlign w:val="center"/>
            <w:hideMark/>
          </w:tcPr>
          <w:p w14:paraId="7F4194A1" w14:textId="630AFFAF" w:rsidR="00ED02B5" w:rsidRPr="004E2C59" w:rsidRDefault="00F018BA"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ND</w:t>
            </w:r>
          </w:p>
        </w:tc>
        <w:tc>
          <w:tcPr>
            <w:tcW w:w="0" w:type="auto"/>
            <w:vAlign w:val="center"/>
            <w:hideMark/>
          </w:tcPr>
          <w:p w14:paraId="11EFD40F" w14:textId="6BF3E4EA" w:rsidR="00ED02B5" w:rsidRPr="004E2C59" w:rsidRDefault="00F018BA"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ND</w:t>
            </w:r>
          </w:p>
        </w:tc>
        <w:tc>
          <w:tcPr>
            <w:tcW w:w="0" w:type="auto"/>
            <w:vAlign w:val="center"/>
            <w:hideMark/>
          </w:tcPr>
          <w:p w14:paraId="38A708C2" w14:textId="7777777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En cours / à consolider</w:t>
            </w:r>
          </w:p>
        </w:tc>
        <w:tc>
          <w:tcPr>
            <w:tcW w:w="0" w:type="auto"/>
            <w:vAlign w:val="center"/>
            <w:hideMark/>
          </w:tcPr>
          <w:p w14:paraId="7B07D4FD" w14:textId="77777777" w:rsidR="00ED02B5" w:rsidRPr="004E2C59" w:rsidRDefault="00ED02B5" w:rsidP="00CD68E6">
            <w:pPr>
              <w:spacing w:line="259" w:lineRule="auto"/>
              <w:jc w:val="both"/>
              <w:cnfStyle w:val="000000100000" w:firstRow="0" w:lastRow="0" w:firstColumn="0" w:lastColumn="0" w:oddVBand="0" w:evenVBand="0" w:oddHBand="1" w:evenHBand="0" w:firstRowFirstColumn="0" w:firstRowLastColumn="0" w:lastRowFirstColumn="0" w:lastRowLastColumn="0"/>
              <w:rPr>
                <w:sz w:val="18"/>
                <w:szCs w:val="18"/>
              </w:rPr>
            </w:pPr>
            <w:r w:rsidRPr="004E2C59">
              <w:rPr>
                <w:sz w:val="18"/>
                <w:szCs w:val="18"/>
              </w:rPr>
              <w:t>Inconditionnelle</w:t>
            </w:r>
          </w:p>
        </w:tc>
      </w:tr>
      <w:tr w:rsidR="00ED02B5" w:rsidRPr="004E2C59" w14:paraId="7CBAB693" w14:textId="77777777" w:rsidTr="00CD68E6">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4A2C691" w14:textId="77777777" w:rsidR="00ED02B5" w:rsidRPr="004E2C59" w:rsidRDefault="00ED02B5" w:rsidP="00CD68E6">
            <w:pPr>
              <w:spacing w:line="259" w:lineRule="auto"/>
              <w:jc w:val="both"/>
              <w:rPr>
                <w:sz w:val="18"/>
                <w:szCs w:val="18"/>
              </w:rPr>
            </w:pPr>
            <w:r w:rsidRPr="004E2C59">
              <w:rPr>
                <w:sz w:val="18"/>
                <w:szCs w:val="18"/>
              </w:rPr>
              <w:t>6</w:t>
            </w:r>
          </w:p>
        </w:tc>
        <w:tc>
          <w:tcPr>
            <w:tcW w:w="0" w:type="auto"/>
            <w:vAlign w:val="center"/>
            <w:hideMark/>
          </w:tcPr>
          <w:p w14:paraId="43A85AF4" w14:textId="77777777"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Fondation Strømme / Société SIGMA / UGVD de Gao</w:t>
            </w:r>
          </w:p>
        </w:tc>
        <w:tc>
          <w:tcPr>
            <w:tcW w:w="0" w:type="auto"/>
            <w:vAlign w:val="center"/>
            <w:hideMark/>
          </w:tcPr>
          <w:p w14:paraId="2CB617E9" w14:textId="77777777"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b/>
                <w:sz w:val="18"/>
                <w:szCs w:val="18"/>
              </w:rPr>
              <w:t>Recyclage et valorisation des déchets plastiques</w:t>
            </w:r>
          </w:p>
        </w:tc>
        <w:tc>
          <w:tcPr>
            <w:tcW w:w="3889" w:type="dxa"/>
            <w:vAlign w:val="center"/>
            <w:hideMark/>
          </w:tcPr>
          <w:p w14:paraId="60C0143E" w14:textId="2074F168"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 xml:space="preserve">La mesure regroupe les initiatives de valorisation et transformation des déchets plastiques en Commune V du District de Bamako, le recyclage industriel des déchets plastiques à Bamako et le projet d’assainissement de Gao à travers le </w:t>
            </w:r>
            <w:r w:rsidRPr="004E2C59">
              <w:rPr>
                <w:sz w:val="18"/>
                <w:szCs w:val="18"/>
              </w:rPr>
              <w:lastRenderedPageBreak/>
              <w:t xml:space="preserve">recyclage des déchets plastiques. </w:t>
            </w:r>
            <w:r w:rsidR="00D969D6" w:rsidRPr="00D969D6">
              <w:rPr>
                <w:sz w:val="18"/>
                <w:szCs w:val="18"/>
              </w:rPr>
              <w:t>Les réductions d’émissions proviennent de la substitution du plastique vierge par du plastique recyclé et de la réduction du brûlage informel.</w:t>
            </w:r>
          </w:p>
        </w:tc>
        <w:tc>
          <w:tcPr>
            <w:tcW w:w="1323" w:type="dxa"/>
            <w:vAlign w:val="center"/>
            <w:hideMark/>
          </w:tcPr>
          <w:p w14:paraId="43D57D1E" w14:textId="4F2F9048" w:rsidR="00ED02B5" w:rsidRPr="004E2C59" w:rsidRDefault="00F018BA"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lastRenderedPageBreak/>
              <w:t>ND</w:t>
            </w:r>
          </w:p>
        </w:tc>
        <w:tc>
          <w:tcPr>
            <w:tcW w:w="0" w:type="auto"/>
            <w:vAlign w:val="center"/>
            <w:hideMark/>
          </w:tcPr>
          <w:p w14:paraId="702DC5A2" w14:textId="30441C8F" w:rsidR="00ED02B5" w:rsidRPr="004E2C59" w:rsidRDefault="00F018BA"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ND</w:t>
            </w:r>
          </w:p>
        </w:tc>
        <w:tc>
          <w:tcPr>
            <w:tcW w:w="0" w:type="auto"/>
            <w:vAlign w:val="center"/>
            <w:hideMark/>
          </w:tcPr>
          <w:p w14:paraId="2703BA9C" w14:textId="77777777"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En cours / clôturé pour l’initiative de Gao</w:t>
            </w:r>
          </w:p>
        </w:tc>
        <w:tc>
          <w:tcPr>
            <w:tcW w:w="0" w:type="auto"/>
            <w:vAlign w:val="center"/>
            <w:hideMark/>
          </w:tcPr>
          <w:p w14:paraId="551AB5BB" w14:textId="77777777" w:rsidR="00ED02B5" w:rsidRPr="004E2C59" w:rsidRDefault="00ED02B5" w:rsidP="00CD68E6">
            <w:pPr>
              <w:spacing w:line="259" w:lineRule="auto"/>
              <w:jc w:val="both"/>
              <w:cnfStyle w:val="000000000000" w:firstRow="0" w:lastRow="0" w:firstColumn="0" w:lastColumn="0" w:oddVBand="0" w:evenVBand="0" w:oddHBand="0" w:evenHBand="0" w:firstRowFirstColumn="0" w:firstRowLastColumn="0" w:lastRowFirstColumn="0" w:lastRowLastColumn="0"/>
              <w:rPr>
                <w:sz w:val="18"/>
                <w:szCs w:val="18"/>
              </w:rPr>
            </w:pPr>
            <w:r w:rsidRPr="004E2C59">
              <w:rPr>
                <w:sz w:val="18"/>
                <w:szCs w:val="18"/>
              </w:rPr>
              <w:t>Inconditionnelle</w:t>
            </w:r>
          </w:p>
        </w:tc>
      </w:tr>
    </w:tbl>
    <w:p w14:paraId="49A0524B" w14:textId="31143857" w:rsidR="00CD68E6" w:rsidRPr="00CD68E6" w:rsidRDefault="00CD68E6" w:rsidP="00CD68E6">
      <w:pPr>
        <w:spacing w:before="360"/>
        <w:jc w:val="both"/>
        <w:sectPr w:rsidR="00CD68E6" w:rsidRPr="00CD68E6" w:rsidSect="00CD68E6">
          <w:pgSz w:w="15840" w:h="12240" w:orient="landscape" w:code="1"/>
          <w:pgMar w:top="1411" w:right="1411" w:bottom="1411" w:left="1411" w:header="706" w:footer="706" w:gutter="0"/>
          <w:cols w:space="708"/>
          <w:docGrid w:linePitch="360"/>
        </w:sectPr>
      </w:pPr>
      <w:r w:rsidRPr="00CD68E6">
        <w:t>Au terme de cette restructuration, le portefeuille déchets est organisé autour de six mesures distinctes, dont quatre mesures inconditionnelles et deux mesures conditionnelles. Les mesures inconditionnelles correspondent aux actions déjà engagées dans le cadre du PRUBA, notamment la gestion des déchets solides urbains du Grand Bamako et le traitement des boues de vidange dans le Grand Bamako. Les mesures conditionnelles regroupent les extensions territoriales, les nouvelles infrastructures et les actions de valorisation nécessitant un financement additionnel.</w:t>
      </w:r>
    </w:p>
    <w:p w14:paraId="47C554F1" w14:textId="77777777" w:rsidR="001F64BE" w:rsidRPr="001F64BE" w:rsidRDefault="001F64BE" w:rsidP="002C3767">
      <w:pPr>
        <w:pStyle w:val="Titre3"/>
        <w:numPr>
          <w:ilvl w:val="2"/>
          <w:numId w:val="21"/>
        </w:numPr>
      </w:pPr>
      <w:bookmarkStart w:id="76" w:name="_Toc234853881"/>
      <w:r w:rsidRPr="001F64BE">
        <w:lastRenderedPageBreak/>
        <w:t>Ligne de base et projections des émissions</w:t>
      </w:r>
      <w:bookmarkEnd w:id="76"/>
    </w:p>
    <w:p w14:paraId="06DA3AB8" w14:textId="73925231" w:rsidR="008E6E4E" w:rsidRDefault="008E6E4E" w:rsidP="008E6E4E">
      <w:pPr>
        <w:jc w:val="both"/>
      </w:pPr>
      <w:r>
        <w:t>La construction de la ligne de base pour le secteur des Déchets dans le cadre de l'élaboration de la CDN 3.0 du Mali a été réalisée à l'aide de l'outil LEAP-</w:t>
      </w:r>
      <w:r w:rsidR="0074187D">
        <w:t>SEI</w:t>
      </w:r>
      <w:r>
        <w:t xml:space="preserve"> (</w:t>
      </w:r>
      <w:r w:rsidR="00D579A4" w:rsidRPr="00D579A4">
        <w:t>Low Emissions Analysis Platform</w:t>
      </w:r>
      <w:r>
        <w:t>), conformément aux Lignes directrices 2006 du GIEC pour les inventaires nationaux de gaz à effet de</w:t>
      </w:r>
      <w:r w:rsidR="00D579A4">
        <w:t xml:space="preserve"> serre</w:t>
      </w:r>
      <w:r>
        <w:t>.</w:t>
      </w:r>
    </w:p>
    <w:p w14:paraId="390B5F28" w14:textId="670CCF65" w:rsidR="008E6E4E" w:rsidRDefault="008E6E4E" w:rsidP="008E6E4E">
      <w:pPr>
        <w:jc w:val="both"/>
      </w:pPr>
      <w:r>
        <w:t>Le périmètre couvre le secteur des Déchets (catégorie 4 du GIEC) dans ses principales composantes :</w:t>
      </w:r>
    </w:p>
    <w:p w14:paraId="044E602B" w14:textId="1582E33D" w:rsidR="008E6E4E" w:rsidRDefault="008E6E4E" w:rsidP="008A3661">
      <w:pPr>
        <w:pStyle w:val="Paragraphedeliste"/>
        <w:numPr>
          <w:ilvl w:val="0"/>
          <w:numId w:val="45"/>
        </w:numPr>
        <w:jc w:val="both"/>
      </w:pPr>
      <w:r w:rsidRPr="008E6E4E">
        <w:rPr>
          <w:b/>
          <w:bCs/>
        </w:rPr>
        <w:t>Déchets solides (catégorie 4.A)</w:t>
      </w:r>
      <w:r>
        <w:t> : décharges et dépôts d'ordures ménagères, déchets municipaux et assimilés, émettant principalement du CH₄ par décomposition anaérobie ;</w:t>
      </w:r>
    </w:p>
    <w:p w14:paraId="4DCC14E8" w14:textId="71F47B3C" w:rsidR="008E6E4E" w:rsidRDefault="008E6E4E" w:rsidP="008A3661">
      <w:pPr>
        <w:pStyle w:val="Paragraphedeliste"/>
        <w:numPr>
          <w:ilvl w:val="0"/>
          <w:numId w:val="45"/>
        </w:numPr>
        <w:jc w:val="both"/>
      </w:pPr>
      <w:r w:rsidRPr="008E6E4E">
        <w:rPr>
          <w:b/>
          <w:bCs/>
        </w:rPr>
        <w:t>Déchets liquides (catégorie 4.D)</w:t>
      </w:r>
      <w:r>
        <w:t> : eaux usées domestiques et industrielles, émettant du CH₄ (décomposition anaérobie de la matière organique) et du N₂O (composés azotés) ;</w:t>
      </w:r>
    </w:p>
    <w:p w14:paraId="3978496F" w14:textId="0BF32082" w:rsidR="008E6E4E" w:rsidRDefault="008E6E4E" w:rsidP="008A3661">
      <w:pPr>
        <w:pStyle w:val="Paragraphedeliste"/>
        <w:numPr>
          <w:ilvl w:val="0"/>
          <w:numId w:val="45"/>
        </w:numPr>
        <w:jc w:val="both"/>
      </w:pPr>
      <w:r w:rsidRPr="008E6E4E">
        <w:rPr>
          <w:b/>
          <w:bCs/>
        </w:rPr>
        <w:t>Déchets biomédicaux (catégorie 4.C)</w:t>
      </w:r>
      <w:r>
        <w:t> : déchets issus des structures sanitaires (hôpitaux, centres de santé), traités principalement par incinération ou brûlage à l'air libre, émettant du CO₂, CH₄ et N₂O.</w:t>
      </w:r>
    </w:p>
    <w:p w14:paraId="5D4B2EC9" w14:textId="33AE4F0F" w:rsidR="008E6E4E" w:rsidRDefault="008E6E4E" w:rsidP="008E6E4E">
      <w:pPr>
        <w:jc w:val="both"/>
      </w:pPr>
      <w:r>
        <w:t>Au Mali, la catégorie des déchets liquides constitue la principale source d'émissions du secteur, en raison du faible taux d'assainissement collectif, de la prédominance des systèmes individuels</w:t>
      </w:r>
      <w:r w:rsidR="00E905F9">
        <w:t xml:space="preserve"> </w:t>
      </w:r>
      <w:r>
        <w:t>propices à la décomposition anaérobie, et de la croissance démographique et urbaine soutenue.</w:t>
      </w:r>
    </w:p>
    <w:p w14:paraId="108DCB69" w14:textId="53CFA221" w:rsidR="00170146" w:rsidRPr="008E6E4E" w:rsidRDefault="00170146" w:rsidP="008E6E4E">
      <w:pPr>
        <w:jc w:val="both"/>
      </w:pPr>
      <w:r w:rsidRPr="00170146">
        <w:t xml:space="preserve">Les émissions </w:t>
      </w:r>
      <w:r>
        <w:t xml:space="preserve">de la ligne de base </w:t>
      </w:r>
      <w:r w:rsidRPr="00170146">
        <w:t xml:space="preserve">du secteur des </w:t>
      </w:r>
      <w:r>
        <w:t>d</w:t>
      </w:r>
      <w:r w:rsidRPr="00170146">
        <w:t xml:space="preserve">échets passent de </w:t>
      </w:r>
      <w:r w:rsidR="006554A1">
        <w:t>2,13</w:t>
      </w:r>
      <w:r w:rsidRPr="00170146">
        <w:t xml:space="preserve"> MtCO₂éq en 2022 à </w:t>
      </w:r>
      <w:r w:rsidR="00DC2CEC">
        <w:t>3,24</w:t>
      </w:r>
      <w:r w:rsidRPr="00170146">
        <w:t xml:space="preserve"> MtCO₂éq en 2035, comme présenté dans le graphe ci-après.</w:t>
      </w:r>
    </w:p>
    <w:p w14:paraId="5E9A97E2" w14:textId="77777777" w:rsidR="003C32B6" w:rsidRDefault="00654590" w:rsidP="003C32B6">
      <w:pPr>
        <w:keepNext/>
        <w:jc w:val="center"/>
      </w:pPr>
      <w:r>
        <w:rPr>
          <w:noProof/>
        </w:rPr>
        <w:drawing>
          <wp:inline distT="0" distB="0" distL="0" distR="0" wp14:anchorId="18F1928B" wp14:editId="79BF8274">
            <wp:extent cx="5937250" cy="2940148"/>
            <wp:effectExtent l="0" t="0" r="6350" b="12700"/>
            <wp:docPr id="1915089800" name="Chart 1">
              <a:extLst xmlns:a="http://schemas.openxmlformats.org/drawingml/2006/main">
                <a:ext uri="{FF2B5EF4-FFF2-40B4-BE49-F238E27FC236}">
                  <a16:creationId xmlns:a16="http://schemas.microsoft.com/office/drawing/2014/main" id="{3BB0E3D0-C0C4-24DE-4470-96E31C3907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8BB9182" w14:textId="5A9DEEB0" w:rsidR="00E90356" w:rsidRPr="00CD68E6" w:rsidRDefault="003C32B6" w:rsidP="003C32B6">
      <w:pPr>
        <w:pStyle w:val="Lgende"/>
        <w:jc w:val="center"/>
        <w:rPr>
          <w:sz w:val="20"/>
          <w:szCs w:val="20"/>
        </w:rPr>
      </w:pPr>
      <w:bookmarkStart w:id="77" w:name="_Toc234853921"/>
      <w:r w:rsidRPr="00CD68E6">
        <w:rPr>
          <w:sz w:val="20"/>
          <w:szCs w:val="20"/>
        </w:rPr>
        <w:t xml:space="preserve">Figure </w:t>
      </w:r>
      <w:r w:rsidRPr="00CD68E6">
        <w:rPr>
          <w:sz w:val="20"/>
          <w:szCs w:val="20"/>
        </w:rPr>
        <w:fldChar w:fldCharType="begin"/>
      </w:r>
      <w:r w:rsidRPr="00CD68E6">
        <w:rPr>
          <w:sz w:val="20"/>
          <w:szCs w:val="20"/>
        </w:rPr>
        <w:instrText xml:space="preserve"> SEQ Figure \* ARABIC </w:instrText>
      </w:r>
      <w:r w:rsidRPr="00CD68E6">
        <w:rPr>
          <w:sz w:val="20"/>
          <w:szCs w:val="20"/>
        </w:rPr>
        <w:fldChar w:fldCharType="separate"/>
      </w:r>
      <w:r w:rsidR="004D5580">
        <w:rPr>
          <w:noProof/>
          <w:sz w:val="20"/>
          <w:szCs w:val="20"/>
        </w:rPr>
        <w:t>11</w:t>
      </w:r>
      <w:r w:rsidRPr="00CD68E6">
        <w:rPr>
          <w:sz w:val="20"/>
          <w:szCs w:val="20"/>
        </w:rPr>
        <w:fldChar w:fldCharType="end"/>
      </w:r>
      <w:r w:rsidRPr="00CD68E6">
        <w:rPr>
          <w:sz w:val="20"/>
          <w:szCs w:val="20"/>
        </w:rPr>
        <w:t xml:space="preserve"> : Ligne de base du secteur déchet en </w:t>
      </w:r>
      <w:r w:rsidR="004E3C4C" w:rsidRPr="00CD68E6">
        <w:rPr>
          <w:sz w:val="20"/>
          <w:szCs w:val="20"/>
        </w:rPr>
        <w:t>KtCO</w:t>
      </w:r>
      <w:r w:rsidR="004E3C4C" w:rsidRPr="00CD68E6">
        <w:rPr>
          <w:sz w:val="20"/>
          <w:szCs w:val="20"/>
          <w:vertAlign w:val="subscript"/>
        </w:rPr>
        <w:t>2</w:t>
      </w:r>
      <w:r w:rsidR="004E3C4C" w:rsidRPr="00CD68E6">
        <w:rPr>
          <w:sz w:val="20"/>
          <w:szCs w:val="20"/>
        </w:rPr>
        <w:t>eq</w:t>
      </w:r>
      <w:bookmarkEnd w:id="77"/>
    </w:p>
    <w:p w14:paraId="71DFAA3D" w14:textId="520F9710" w:rsidR="00C855DC" w:rsidRDefault="00C855DC" w:rsidP="002C3767">
      <w:pPr>
        <w:pStyle w:val="Titre3"/>
        <w:numPr>
          <w:ilvl w:val="2"/>
          <w:numId w:val="21"/>
        </w:numPr>
      </w:pPr>
      <w:bookmarkStart w:id="78" w:name="_Toc234853882"/>
      <w:r w:rsidRPr="001F64BE">
        <w:t>Scénarios d'atténuation</w:t>
      </w:r>
      <w:bookmarkEnd w:id="78"/>
    </w:p>
    <w:p w14:paraId="1F4CBFF2" w14:textId="47B8F6B5" w:rsidR="00944998" w:rsidRDefault="00944998" w:rsidP="00775D92">
      <w:pPr>
        <w:spacing w:before="120" w:after="120"/>
        <w:jc w:val="both"/>
      </w:pPr>
      <w:r w:rsidRPr="00944998">
        <w:t xml:space="preserve">Les émissions évitées du secteur des déchets ont été estimées par mesure, selon une approche méthodologique alignée sur les lignes directrices 2006 du GIEC pour les inventaires nationaux de gaz à effet de serre, complétées, lorsque pertinent, par les mises à jour techniques publiées par le GIEC en 2019. Les méthodologies MDP/CDM applicables ont également été mobilisées pour cadrer les calculs relatifs aux </w:t>
      </w:r>
      <w:r w:rsidRPr="00944998">
        <w:lastRenderedPageBreak/>
        <w:t>déchets solides, aux eaux usées, à la valorisation énergétique, au biogaz et au recyclage.</w:t>
      </w:r>
      <w:r w:rsidR="00BE50C5">
        <w:t xml:space="preserve"> </w:t>
      </w:r>
      <w:r w:rsidR="00BE50C5" w:rsidRPr="00BE50C5">
        <w:t>L’approche retenue distingue les mesures selon leur nature technique</w:t>
      </w:r>
      <w:r w:rsidR="00BE50C5">
        <w:t xml:space="preserve">. Le tableau ci-dessous présente la démarche méthodologique </w:t>
      </w:r>
      <w:r w:rsidR="00C92709">
        <w:t xml:space="preserve">de chaque mesure. </w:t>
      </w:r>
    </w:p>
    <w:p w14:paraId="794C0684" w14:textId="462CED5D" w:rsidR="006277AB" w:rsidRPr="00CD68E6" w:rsidRDefault="006277AB" w:rsidP="00AE2755">
      <w:pPr>
        <w:pStyle w:val="Lgende"/>
        <w:keepNext/>
        <w:spacing w:after="0"/>
        <w:rPr>
          <w:sz w:val="20"/>
          <w:szCs w:val="20"/>
        </w:rPr>
      </w:pPr>
      <w:bookmarkStart w:id="79" w:name="_Toc234853954"/>
      <w:r w:rsidRPr="00CD68E6">
        <w:rPr>
          <w:sz w:val="20"/>
          <w:szCs w:val="20"/>
        </w:rPr>
        <w:t xml:space="preserve">Tableau </w:t>
      </w:r>
      <w:r w:rsidRPr="00CD68E6">
        <w:rPr>
          <w:sz w:val="20"/>
          <w:szCs w:val="20"/>
        </w:rPr>
        <w:fldChar w:fldCharType="begin"/>
      </w:r>
      <w:r w:rsidRPr="00CD68E6">
        <w:rPr>
          <w:sz w:val="20"/>
          <w:szCs w:val="20"/>
        </w:rPr>
        <w:instrText xml:space="preserve"> SEQ Tableau \* ARABIC </w:instrText>
      </w:r>
      <w:r w:rsidRPr="00CD68E6">
        <w:rPr>
          <w:sz w:val="20"/>
          <w:szCs w:val="20"/>
        </w:rPr>
        <w:fldChar w:fldCharType="separate"/>
      </w:r>
      <w:r w:rsidR="0018772E">
        <w:rPr>
          <w:noProof/>
          <w:sz w:val="20"/>
          <w:szCs w:val="20"/>
        </w:rPr>
        <w:t>30</w:t>
      </w:r>
      <w:r w:rsidRPr="00CD68E6">
        <w:rPr>
          <w:sz w:val="20"/>
          <w:szCs w:val="20"/>
        </w:rPr>
        <w:fldChar w:fldCharType="end"/>
      </w:r>
      <w:r w:rsidRPr="00CD68E6">
        <w:rPr>
          <w:sz w:val="20"/>
          <w:szCs w:val="20"/>
        </w:rPr>
        <w:t xml:space="preserve"> : </w:t>
      </w:r>
      <w:r w:rsidR="008940FA" w:rsidRPr="00CD68E6">
        <w:rPr>
          <w:sz w:val="20"/>
          <w:szCs w:val="20"/>
        </w:rPr>
        <w:t>approche méthodologique par mesure</w:t>
      </w:r>
      <w:bookmarkEnd w:id="79"/>
      <w:r w:rsidR="008940FA" w:rsidRPr="00CD68E6">
        <w:rPr>
          <w:sz w:val="20"/>
          <w:szCs w:val="20"/>
        </w:rPr>
        <w:t xml:space="preserve"> </w:t>
      </w:r>
    </w:p>
    <w:tbl>
      <w:tblPr>
        <w:tblStyle w:val="Tableausimp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6614"/>
      </w:tblGrid>
      <w:tr w:rsidR="00467C6C" w:rsidRPr="00467C6C" w14:paraId="524A402B" w14:textId="77777777" w:rsidTr="003842CB">
        <w:trPr>
          <w:cnfStyle w:val="100000000000" w:firstRow="1" w:lastRow="0" w:firstColumn="0" w:lastColumn="0" w:oddVBand="0" w:evenVBand="0" w:oddHBand="0"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shd w:val="clear" w:color="auto" w:fill="1F4E79" w:themeFill="accent1" w:themeFillShade="80"/>
            <w:vAlign w:val="center"/>
            <w:hideMark/>
          </w:tcPr>
          <w:p w14:paraId="66F971CF" w14:textId="77777777" w:rsidR="00467C6C" w:rsidRPr="003842CB" w:rsidRDefault="00467C6C" w:rsidP="00CD68E6">
            <w:pPr>
              <w:spacing w:line="259" w:lineRule="auto"/>
              <w:jc w:val="center"/>
              <w:rPr>
                <w:color w:val="FFFFFF" w:themeColor="background1"/>
              </w:rPr>
            </w:pPr>
            <w:r w:rsidRPr="003842CB">
              <w:rPr>
                <w:color w:val="FFFFFF" w:themeColor="background1"/>
              </w:rPr>
              <w:t>Mesure</w:t>
            </w:r>
          </w:p>
        </w:tc>
        <w:tc>
          <w:tcPr>
            <w:tcW w:w="0" w:type="auto"/>
            <w:tcBorders>
              <w:bottom w:val="none" w:sz="0" w:space="0" w:color="auto"/>
            </w:tcBorders>
            <w:shd w:val="clear" w:color="auto" w:fill="1F4E79" w:themeFill="accent1" w:themeFillShade="80"/>
            <w:vAlign w:val="center"/>
            <w:hideMark/>
          </w:tcPr>
          <w:p w14:paraId="0A900631" w14:textId="77777777" w:rsidR="00467C6C" w:rsidRPr="003842CB" w:rsidRDefault="00467C6C" w:rsidP="00CD68E6">
            <w:pPr>
              <w:spacing w:line="259"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3842CB">
              <w:rPr>
                <w:color w:val="FFFFFF" w:themeColor="background1"/>
              </w:rPr>
              <w:t>Approche méthodologique utilisée</w:t>
            </w:r>
          </w:p>
        </w:tc>
      </w:tr>
      <w:tr w:rsidR="00467C6C" w:rsidRPr="00467C6C" w14:paraId="2751A4A5" w14:textId="77777777" w:rsidTr="00AE27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vAlign w:val="center"/>
            <w:hideMark/>
          </w:tcPr>
          <w:p w14:paraId="058C9E92" w14:textId="7FE1D8F7" w:rsidR="00467C6C" w:rsidRPr="00467C6C" w:rsidRDefault="00467C6C" w:rsidP="00AE2755">
            <w:pPr>
              <w:spacing w:line="259" w:lineRule="auto"/>
            </w:pPr>
            <w:r w:rsidRPr="00467C6C">
              <w:t>PRUBA déchets solides Grand Bamako</w:t>
            </w:r>
          </w:p>
        </w:tc>
        <w:tc>
          <w:tcPr>
            <w:tcW w:w="0" w:type="auto"/>
            <w:tcBorders>
              <w:top w:val="none" w:sz="0" w:space="0" w:color="auto"/>
              <w:bottom w:val="none" w:sz="0" w:space="0" w:color="auto"/>
            </w:tcBorders>
            <w:vAlign w:val="center"/>
            <w:hideMark/>
          </w:tcPr>
          <w:p w14:paraId="7EABFE8F" w14:textId="47DB9CFD" w:rsidR="00467C6C" w:rsidRPr="00467C6C" w:rsidRDefault="00467C6C" w:rsidP="00AE2755">
            <w:pPr>
              <w:spacing w:line="259" w:lineRule="auto"/>
              <w:cnfStyle w:val="000000100000" w:firstRow="0" w:lastRow="0" w:firstColumn="0" w:lastColumn="0" w:oddVBand="0" w:evenVBand="0" w:oddHBand="1" w:evenHBand="0" w:firstRowFirstColumn="0" w:firstRowLastColumn="0" w:lastRowFirstColumn="0" w:lastRowLastColumn="0"/>
            </w:pPr>
            <w:r w:rsidRPr="00467C6C">
              <w:t xml:space="preserve">GIEC Vol. 5, Chapitre 3, approche FOD / Methane Commitment, complétée par ACM0022. </w:t>
            </w:r>
          </w:p>
        </w:tc>
      </w:tr>
      <w:tr w:rsidR="00467C6C" w:rsidRPr="00467C6C" w14:paraId="14F45E65" w14:textId="77777777" w:rsidTr="00AE275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226089D" w14:textId="164D745E" w:rsidR="00467C6C" w:rsidRPr="00467C6C" w:rsidRDefault="00467C6C" w:rsidP="00AE2755">
            <w:pPr>
              <w:spacing w:line="259" w:lineRule="auto"/>
            </w:pPr>
            <w:r w:rsidRPr="00467C6C">
              <w:t>Extension déchets ménagers villes secondaires</w:t>
            </w:r>
          </w:p>
        </w:tc>
        <w:tc>
          <w:tcPr>
            <w:tcW w:w="0" w:type="auto"/>
            <w:vAlign w:val="center"/>
            <w:hideMark/>
          </w:tcPr>
          <w:p w14:paraId="08252B22" w14:textId="77777777" w:rsidR="00467C6C" w:rsidRPr="00467C6C" w:rsidRDefault="00467C6C" w:rsidP="00AE2755">
            <w:pPr>
              <w:spacing w:line="259" w:lineRule="auto"/>
              <w:cnfStyle w:val="000000000000" w:firstRow="0" w:lastRow="0" w:firstColumn="0" w:lastColumn="0" w:oddVBand="0" w:evenVBand="0" w:oddHBand="0" w:evenHBand="0" w:firstRowFirstColumn="0" w:firstRowLastColumn="0" w:lastRowFirstColumn="0" w:lastRowLastColumn="0"/>
            </w:pPr>
            <w:r w:rsidRPr="00467C6C">
              <w:t>Même approche que M1, appliquée aux villes secondaires, avec une montée en charge progressive des quantités collectées et gérées.</w:t>
            </w:r>
          </w:p>
        </w:tc>
      </w:tr>
      <w:tr w:rsidR="00467C6C" w:rsidRPr="00467C6C" w14:paraId="3C517B60" w14:textId="77777777" w:rsidTr="00AE27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vAlign w:val="center"/>
            <w:hideMark/>
          </w:tcPr>
          <w:p w14:paraId="7DD60525" w14:textId="3475FEB5" w:rsidR="00467C6C" w:rsidRPr="00467C6C" w:rsidRDefault="00467C6C" w:rsidP="00AE2755">
            <w:pPr>
              <w:spacing w:line="259" w:lineRule="auto"/>
            </w:pPr>
            <w:r w:rsidRPr="00467C6C">
              <w:t>PRUBA boues de vidange Bamako</w:t>
            </w:r>
          </w:p>
        </w:tc>
        <w:tc>
          <w:tcPr>
            <w:tcW w:w="0" w:type="auto"/>
            <w:tcBorders>
              <w:top w:val="none" w:sz="0" w:space="0" w:color="auto"/>
              <w:bottom w:val="none" w:sz="0" w:space="0" w:color="auto"/>
            </w:tcBorders>
            <w:vAlign w:val="center"/>
            <w:hideMark/>
          </w:tcPr>
          <w:p w14:paraId="169063CD" w14:textId="2CABD418" w:rsidR="00467C6C" w:rsidRPr="00467C6C" w:rsidRDefault="00467C6C" w:rsidP="00AE2755">
            <w:pPr>
              <w:spacing w:line="259" w:lineRule="auto"/>
              <w:cnfStyle w:val="000000100000" w:firstRow="0" w:lastRow="0" w:firstColumn="0" w:lastColumn="0" w:oddVBand="0" w:evenVBand="0" w:oddHBand="1" w:evenHBand="0" w:firstRowFirstColumn="0" w:firstRowLastColumn="0" w:lastRowFirstColumn="0" w:lastRowLastColumn="0"/>
            </w:pPr>
            <w:r w:rsidRPr="00467C6C">
              <w:t xml:space="preserve">GIEC Vol. 5, Chapitre 6, et AMS-III.H. </w:t>
            </w:r>
          </w:p>
        </w:tc>
      </w:tr>
      <w:tr w:rsidR="00467C6C" w:rsidRPr="00467C6C" w14:paraId="3E892473" w14:textId="77777777" w:rsidTr="00AE275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CF6EBCB" w14:textId="2DB94750" w:rsidR="00467C6C" w:rsidRPr="00467C6C" w:rsidRDefault="00467C6C" w:rsidP="00AE2755">
            <w:pPr>
              <w:spacing w:line="259" w:lineRule="auto"/>
            </w:pPr>
            <w:r w:rsidRPr="00467C6C">
              <w:t>Extension boues villes secondaires</w:t>
            </w:r>
          </w:p>
        </w:tc>
        <w:tc>
          <w:tcPr>
            <w:tcW w:w="0" w:type="auto"/>
            <w:vAlign w:val="center"/>
            <w:hideMark/>
          </w:tcPr>
          <w:p w14:paraId="47C07D06" w14:textId="77777777" w:rsidR="00467C6C" w:rsidRPr="00467C6C" w:rsidRDefault="00467C6C" w:rsidP="00AE2755">
            <w:pPr>
              <w:spacing w:line="259" w:lineRule="auto"/>
              <w:cnfStyle w:val="000000000000" w:firstRow="0" w:lastRow="0" w:firstColumn="0" w:lastColumn="0" w:oddVBand="0" w:evenVBand="0" w:oddHBand="0" w:evenHBand="0" w:firstRowFirstColumn="0" w:firstRowLastColumn="0" w:lastRowFirstColumn="0" w:lastRowLastColumn="0"/>
            </w:pPr>
            <w:r w:rsidRPr="00467C6C">
              <w:t>Même approche que M3, appliquée aux stations de traitement prévues dans les villes secondaires.</w:t>
            </w:r>
          </w:p>
        </w:tc>
      </w:tr>
      <w:tr w:rsidR="00467C6C" w:rsidRPr="00467C6C" w14:paraId="78D6D453" w14:textId="77777777" w:rsidTr="00AE27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vAlign w:val="center"/>
            <w:hideMark/>
          </w:tcPr>
          <w:p w14:paraId="2E481E61" w14:textId="37F18E92" w:rsidR="00467C6C" w:rsidRPr="00467C6C" w:rsidRDefault="00467C6C" w:rsidP="00AE2755">
            <w:pPr>
              <w:spacing w:line="259" w:lineRule="auto"/>
            </w:pPr>
            <w:r w:rsidRPr="00467C6C">
              <w:t>Valorisation énergétique et organique</w:t>
            </w:r>
          </w:p>
        </w:tc>
        <w:tc>
          <w:tcPr>
            <w:tcW w:w="0" w:type="auto"/>
            <w:tcBorders>
              <w:top w:val="none" w:sz="0" w:space="0" w:color="auto"/>
              <w:bottom w:val="none" w:sz="0" w:space="0" w:color="auto"/>
            </w:tcBorders>
            <w:vAlign w:val="center"/>
            <w:hideMark/>
          </w:tcPr>
          <w:p w14:paraId="1FC23779" w14:textId="56F45524" w:rsidR="00467C6C" w:rsidRPr="00467C6C" w:rsidRDefault="00467C6C" w:rsidP="00AE2755">
            <w:pPr>
              <w:spacing w:line="259" w:lineRule="auto"/>
              <w:cnfStyle w:val="000000100000" w:firstRow="0" w:lastRow="0" w:firstColumn="0" w:lastColumn="0" w:oddVBand="0" w:evenVBand="0" w:oddHBand="1" w:evenHBand="0" w:firstRowFirstColumn="0" w:firstRowLastColumn="0" w:lastRowFirstColumn="0" w:lastRowLastColumn="0"/>
            </w:pPr>
            <w:r w:rsidRPr="00467C6C">
              <w:t xml:space="preserve">AMS-III.AO et AMS-I.E. </w:t>
            </w:r>
          </w:p>
        </w:tc>
      </w:tr>
      <w:tr w:rsidR="00467C6C" w:rsidRPr="00467C6C" w14:paraId="3039100E" w14:textId="77777777" w:rsidTr="00AE275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9C7D45" w14:textId="48F74DF5" w:rsidR="00467C6C" w:rsidRPr="00467C6C" w:rsidRDefault="00467C6C" w:rsidP="00AE2755">
            <w:pPr>
              <w:spacing w:line="259" w:lineRule="auto"/>
            </w:pPr>
            <w:r w:rsidRPr="00467C6C">
              <w:t>Recyclage déchets plastiques</w:t>
            </w:r>
          </w:p>
        </w:tc>
        <w:tc>
          <w:tcPr>
            <w:tcW w:w="0" w:type="auto"/>
            <w:vAlign w:val="center"/>
            <w:hideMark/>
          </w:tcPr>
          <w:p w14:paraId="627EA97D" w14:textId="7673174C" w:rsidR="00467C6C" w:rsidRPr="00467C6C" w:rsidRDefault="00467C6C" w:rsidP="00AE2755">
            <w:pPr>
              <w:spacing w:line="259" w:lineRule="auto"/>
              <w:cnfStyle w:val="000000000000" w:firstRow="0" w:lastRow="0" w:firstColumn="0" w:lastColumn="0" w:oddVBand="0" w:evenVBand="0" w:oddHBand="0" w:evenHBand="0" w:firstRowFirstColumn="0" w:firstRowLastColumn="0" w:lastRowFirstColumn="0" w:lastRowLastColumn="0"/>
            </w:pPr>
            <w:r w:rsidRPr="00467C6C">
              <w:t xml:space="preserve">AMS-III.AJ. </w:t>
            </w:r>
          </w:p>
        </w:tc>
      </w:tr>
    </w:tbl>
    <w:p w14:paraId="4D204ECA" w14:textId="4D65F5BC" w:rsidR="00C92709" w:rsidRDefault="008E09B8" w:rsidP="00944998">
      <w:pPr>
        <w:spacing w:before="240"/>
        <w:jc w:val="both"/>
      </w:pPr>
      <w:r>
        <w:t xml:space="preserve">Sur la base de cette démarche </w:t>
      </w:r>
      <w:r w:rsidR="009758D8">
        <w:t>méthodologique</w:t>
      </w:r>
      <w:r>
        <w:t xml:space="preserve"> les émissions évitées gr</w:t>
      </w:r>
      <w:r w:rsidR="007E2ECE">
        <w:t xml:space="preserve">âce </w:t>
      </w:r>
      <w:r w:rsidR="009758D8">
        <w:t>aux différentes mesures</w:t>
      </w:r>
      <w:r w:rsidR="007E2ECE">
        <w:t xml:space="preserve"> du secteur sont présenté comme suite dans le tableau ci-dessous. </w:t>
      </w:r>
    </w:p>
    <w:p w14:paraId="10E01504" w14:textId="1CDD1A34" w:rsidR="009758D8" w:rsidRDefault="009758D8" w:rsidP="00CD68E6">
      <w:pPr>
        <w:pStyle w:val="Lgende"/>
        <w:keepNext/>
        <w:spacing w:after="0"/>
        <w:rPr>
          <w:sz w:val="22"/>
          <w:szCs w:val="22"/>
        </w:rPr>
      </w:pPr>
      <w:bookmarkStart w:id="80" w:name="_Toc234853955"/>
      <w:r w:rsidRPr="00917A7D">
        <w:rPr>
          <w:sz w:val="22"/>
          <w:szCs w:val="22"/>
        </w:rPr>
        <w:t xml:space="preserve">Tableau </w:t>
      </w:r>
      <w:r w:rsidRPr="00917A7D">
        <w:rPr>
          <w:sz w:val="22"/>
          <w:szCs w:val="22"/>
        </w:rPr>
        <w:fldChar w:fldCharType="begin"/>
      </w:r>
      <w:r w:rsidRPr="00917A7D">
        <w:rPr>
          <w:sz w:val="22"/>
          <w:szCs w:val="22"/>
        </w:rPr>
        <w:instrText xml:space="preserve"> SEQ Tableau \* ARABIC </w:instrText>
      </w:r>
      <w:r w:rsidRPr="00917A7D">
        <w:rPr>
          <w:sz w:val="22"/>
          <w:szCs w:val="22"/>
        </w:rPr>
        <w:fldChar w:fldCharType="separate"/>
      </w:r>
      <w:r w:rsidR="0018772E">
        <w:rPr>
          <w:noProof/>
          <w:sz w:val="22"/>
          <w:szCs w:val="22"/>
        </w:rPr>
        <w:t>31</w:t>
      </w:r>
      <w:r w:rsidRPr="00917A7D">
        <w:rPr>
          <w:sz w:val="22"/>
          <w:szCs w:val="22"/>
        </w:rPr>
        <w:fldChar w:fldCharType="end"/>
      </w:r>
      <w:r w:rsidRPr="00917A7D">
        <w:rPr>
          <w:sz w:val="22"/>
          <w:szCs w:val="22"/>
        </w:rPr>
        <w:t> :</w:t>
      </w:r>
      <w:r w:rsidR="00917A7D" w:rsidRPr="00917A7D">
        <w:rPr>
          <w:sz w:val="22"/>
          <w:szCs w:val="22"/>
        </w:rPr>
        <w:t xml:space="preserve"> Émissions évitées par mesure du secteur des déchets, 2023-2035</w:t>
      </w:r>
      <w:bookmarkEnd w:id="80"/>
    </w:p>
    <w:tbl>
      <w:tblPr>
        <w:tblW w:w="58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09"/>
        <w:gridCol w:w="546"/>
        <w:gridCol w:w="596"/>
        <w:gridCol w:w="596"/>
        <w:gridCol w:w="596"/>
        <w:gridCol w:w="596"/>
        <w:gridCol w:w="596"/>
        <w:gridCol w:w="596"/>
        <w:gridCol w:w="596"/>
        <w:gridCol w:w="596"/>
        <w:gridCol w:w="596"/>
        <w:gridCol w:w="596"/>
        <w:gridCol w:w="596"/>
        <w:gridCol w:w="596"/>
        <w:gridCol w:w="596"/>
      </w:tblGrid>
      <w:tr w:rsidR="006C0FFD" w:rsidRPr="00765DE9" w14:paraId="75FBFC2E" w14:textId="77777777" w:rsidTr="00D01B27">
        <w:trPr>
          <w:trHeight w:val="423"/>
          <w:jc w:val="center"/>
        </w:trPr>
        <w:tc>
          <w:tcPr>
            <w:tcW w:w="1437" w:type="pct"/>
            <w:shd w:val="clear" w:color="auto" w:fill="1F4E79" w:themeFill="accent1" w:themeFillShade="80"/>
            <w:vAlign w:val="center"/>
            <w:hideMark/>
          </w:tcPr>
          <w:p w14:paraId="41D54E17"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Intitulé de la mesure</w:t>
            </w:r>
          </w:p>
        </w:tc>
        <w:tc>
          <w:tcPr>
            <w:tcW w:w="255" w:type="pct"/>
            <w:shd w:val="clear" w:color="auto" w:fill="1F4E79" w:themeFill="accent1" w:themeFillShade="80"/>
            <w:vAlign w:val="center"/>
            <w:hideMark/>
          </w:tcPr>
          <w:p w14:paraId="2F21AF9C"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2023</w:t>
            </w:r>
          </w:p>
        </w:tc>
        <w:tc>
          <w:tcPr>
            <w:tcW w:w="276" w:type="pct"/>
            <w:shd w:val="clear" w:color="auto" w:fill="1F4E79" w:themeFill="accent1" w:themeFillShade="80"/>
            <w:vAlign w:val="center"/>
            <w:hideMark/>
          </w:tcPr>
          <w:p w14:paraId="3A5AB2B0"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2024</w:t>
            </w:r>
          </w:p>
        </w:tc>
        <w:tc>
          <w:tcPr>
            <w:tcW w:w="276" w:type="pct"/>
            <w:shd w:val="clear" w:color="auto" w:fill="1F4E79" w:themeFill="accent1" w:themeFillShade="80"/>
            <w:vAlign w:val="center"/>
            <w:hideMark/>
          </w:tcPr>
          <w:p w14:paraId="4485DA8F"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2025</w:t>
            </w:r>
          </w:p>
        </w:tc>
        <w:tc>
          <w:tcPr>
            <w:tcW w:w="276" w:type="pct"/>
            <w:shd w:val="clear" w:color="auto" w:fill="1F4E79" w:themeFill="accent1" w:themeFillShade="80"/>
            <w:vAlign w:val="center"/>
            <w:hideMark/>
          </w:tcPr>
          <w:p w14:paraId="5E1E8ADF"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2026</w:t>
            </w:r>
          </w:p>
        </w:tc>
        <w:tc>
          <w:tcPr>
            <w:tcW w:w="276" w:type="pct"/>
            <w:shd w:val="clear" w:color="auto" w:fill="1F4E79" w:themeFill="accent1" w:themeFillShade="80"/>
            <w:vAlign w:val="center"/>
            <w:hideMark/>
          </w:tcPr>
          <w:p w14:paraId="54C26E91"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2027</w:t>
            </w:r>
          </w:p>
        </w:tc>
        <w:tc>
          <w:tcPr>
            <w:tcW w:w="276" w:type="pct"/>
            <w:shd w:val="clear" w:color="auto" w:fill="1F4E79" w:themeFill="accent1" w:themeFillShade="80"/>
            <w:vAlign w:val="center"/>
            <w:hideMark/>
          </w:tcPr>
          <w:p w14:paraId="42189D8C"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2028</w:t>
            </w:r>
          </w:p>
        </w:tc>
        <w:tc>
          <w:tcPr>
            <w:tcW w:w="276" w:type="pct"/>
            <w:gridSpan w:val="2"/>
            <w:shd w:val="clear" w:color="auto" w:fill="1F4E79" w:themeFill="accent1" w:themeFillShade="80"/>
            <w:vAlign w:val="center"/>
            <w:hideMark/>
          </w:tcPr>
          <w:p w14:paraId="4560DAC7"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2029</w:t>
            </w:r>
          </w:p>
        </w:tc>
        <w:tc>
          <w:tcPr>
            <w:tcW w:w="276" w:type="pct"/>
            <w:tcBorders>
              <w:bottom w:val="single" w:sz="4" w:space="0" w:color="auto"/>
            </w:tcBorders>
            <w:shd w:val="clear" w:color="auto" w:fill="1F4E79" w:themeFill="accent1" w:themeFillShade="80"/>
            <w:vAlign w:val="center"/>
            <w:hideMark/>
          </w:tcPr>
          <w:p w14:paraId="2FB5D2BF"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2030</w:t>
            </w:r>
          </w:p>
        </w:tc>
        <w:tc>
          <w:tcPr>
            <w:tcW w:w="276" w:type="pct"/>
            <w:tcBorders>
              <w:bottom w:val="single" w:sz="4" w:space="0" w:color="auto"/>
            </w:tcBorders>
            <w:shd w:val="clear" w:color="auto" w:fill="1F4E79" w:themeFill="accent1" w:themeFillShade="80"/>
            <w:vAlign w:val="center"/>
          </w:tcPr>
          <w:p w14:paraId="6D62A3AE" w14:textId="59EBDF64"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2031</w:t>
            </w:r>
          </w:p>
        </w:tc>
        <w:tc>
          <w:tcPr>
            <w:tcW w:w="276" w:type="pct"/>
            <w:shd w:val="clear" w:color="auto" w:fill="1F4E79" w:themeFill="accent1" w:themeFillShade="80"/>
            <w:vAlign w:val="center"/>
            <w:hideMark/>
          </w:tcPr>
          <w:p w14:paraId="7C2E302F"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2032</w:t>
            </w:r>
          </w:p>
        </w:tc>
        <w:tc>
          <w:tcPr>
            <w:tcW w:w="276" w:type="pct"/>
            <w:shd w:val="clear" w:color="auto" w:fill="1F4E79" w:themeFill="accent1" w:themeFillShade="80"/>
            <w:vAlign w:val="center"/>
            <w:hideMark/>
          </w:tcPr>
          <w:p w14:paraId="12FB8386"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2033</w:t>
            </w:r>
          </w:p>
        </w:tc>
        <w:tc>
          <w:tcPr>
            <w:tcW w:w="276" w:type="pct"/>
            <w:shd w:val="clear" w:color="auto" w:fill="1F4E79" w:themeFill="accent1" w:themeFillShade="80"/>
            <w:vAlign w:val="center"/>
            <w:hideMark/>
          </w:tcPr>
          <w:p w14:paraId="55F15650"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2034</w:t>
            </w:r>
          </w:p>
        </w:tc>
        <w:tc>
          <w:tcPr>
            <w:tcW w:w="274" w:type="pct"/>
            <w:shd w:val="clear" w:color="auto" w:fill="1F4E79" w:themeFill="accent1" w:themeFillShade="80"/>
            <w:vAlign w:val="center"/>
            <w:hideMark/>
          </w:tcPr>
          <w:p w14:paraId="26892277" w14:textId="77777777" w:rsidR="006C0FFD" w:rsidRPr="00765DE9" w:rsidRDefault="006C0FFD" w:rsidP="006C0FFD">
            <w:pPr>
              <w:spacing w:after="0" w:line="240" w:lineRule="auto"/>
              <w:jc w:val="center"/>
              <w:rPr>
                <w:rFonts w:asciiTheme="minorHAnsi" w:eastAsia="Times New Roman" w:hAnsiTheme="minorHAnsi" w:cstheme="minorHAnsi"/>
                <w:b/>
                <w:color w:val="FFFFFF" w:themeColor="background1"/>
                <w:sz w:val="20"/>
                <w:szCs w:val="20"/>
                <w:lang w:eastAsia="fr-FR"/>
              </w:rPr>
            </w:pPr>
            <w:r w:rsidRPr="00765DE9">
              <w:rPr>
                <w:rFonts w:asciiTheme="minorHAnsi" w:eastAsia="Times New Roman" w:hAnsiTheme="minorHAnsi" w:cstheme="minorHAnsi"/>
                <w:b/>
                <w:color w:val="FFFFFF" w:themeColor="background1"/>
                <w:sz w:val="20"/>
                <w:szCs w:val="20"/>
                <w:lang w:eastAsia="fr-FR"/>
              </w:rPr>
              <w:t>2035</w:t>
            </w:r>
          </w:p>
        </w:tc>
      </w:tr>
      <w:tr w:rsidR="006C0FFD" w:rsidRPr="00242F12" w14:paraId="414B234F" w14:textId="77777777" w:rsidTr="00D01B27">
        <w:trPr>
          <w:trHeight w:val="294"/>
          <w:jc w:val="center"/>
        </w:trPr>
        <w:tc>
          <w:tcPr>
            <w:tcW w:w="1437" w:type="pct"/>
            <w:vAlign w:val="center"/>
            <w:hideMark/>
          </w:tcPr>
          <w:p w14:paraId="5F065F74" w14:textId="77777777" w:rsidR="006C0FFD" w:rsidRPr="00765DE9" w:rsidRDefault="006C0FFD" w:rsidP="006C0FFD">
            <w:pPr>
              <w:spacing w:after="0" w:line="240" w:lineRule="auto"/>
              <w:rPr>
                <w:rFonts w:asciiTheme="minorHAnsi" w:eastAsia="Times New Roman" w:hAnsiTheme="minorHAnsi" w:cstheme="minorHAnsi"/>
                <w:color w:val="000000"/>
                <w:sz w:val="20"/>
                <w:szCs w:val="20"/>
                <w:lang w:eastAsia="fr-FR"/>
              </w:rPr>
            </w:pPr>
            <w:r w:rsidRPr="00765DE9">
              <w:rPr>
                <w:rFonts w:asciiTheme="minorHAnsi" w:eastAsia="Times New Roman" w:hAnsiTheme="minorHAnsi" w:cstheme="minorHAnsi"/>
                <w:color w:val="000000"/>
                <w:sz w:val="20"/>
                <w:szCs w:val="20"/>
                <w:lang w:eastAsia="fr-FR"/>
              </w:rPr>
              <w:t>PRUBA -Déchets solides Grand Bamako</w:t>
            </w:r>
          </w:p>
        </w:tc>
        <w:tc>
          <w:tcPr>
            <w:tcW w:w="255" w:type="pct"/>
            <w:noWrap/>
            <w:vAlign w:val="center"/>
            <w:hideMark/>
          </w:tcPr>
          <w:p w14:paraId="1288D0F7" w14:textId="7D476413"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93,0</w:t>
            </w:r>
          </w:p>
        </w:tc>
        <w:tc>
          <w:tcPr>
            <w:tcW w:w="276" w:type="pct"/>
            <w:noWrap/>
            <w:vAlign w:val="center"/>
            <w:hideMark/>
          </w:tcPr>
          <w:p w14:paraId="25C555D2" w14:textId="752FB5E7"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111,4</w:t>
            </w:r>
          </w:p>
        </w:tc>
        <w:tc>
          <w:tcPr>
            <w:tcW w:w="276" w:type="pct"/>
            <w:noWrap/>
            <w:vAlign w:val="center"/>
            <w:hideMark/>
          </w:tcPr>
          <w:p w14:paraId="1E7A14B6" w14:textId="536F1401"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131,2</w:t>
            </w:r>
          </w:p>
        </w:tc>
        <w:tc>
          <w:tcPr>
            <w:tcW w:w="276" w:type="pct"/>
            <w:noWrap/>
            <w:vAlign w:val="center"/>
            <w:hideMark/>
          </w:tcPr>
          <w:p w14:paraId="4C793F2A" w14:textId="4E85DC84"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152,5</w:t>
            </w:r>
          </w:p>
        </w:tc>
        <w:tc>
          <w:tcPr>
            <w:tcW w:w="276" w:type="pct"/>
            <w:noWrap/>
            <w:vAlign w:val="center"/>
            <w:hideMark/>
          </w:tcPr>
          <w:p w14:paraId="62791F2C" w14:textId="6E62C00B"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175,6</w:t>
            </w:r>
          </w:p>
        </w:tc>
        <w:tc>
          <w:tcPr>
            <w:tcW w:w="276" w:type="pct"/>
            <w:noWrap/>
            <w:vAlign w:val="center"/>
            <w:hideMark/>
          </w:tcPr>
          <w:p w14:paraId="5BADD0EC" w14:textId="6BE6DA07"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200,4</w:t>
            </w:r>
          </w:p>
        </w:tc>
        <w:tc>
          <w:tcPr>
            <w:tcW w:w="276" w:type="pct"/>
            <w:tcBorders>
              <w:right w:val="single" w:sz="4" w:space="0" w:color="auto"/>
            </w:tcBorders>
            <w:noWrap/>
            <w:vAlign w:val="center"/>
            <w:hideMark/>
          </w:tcPr>
          <w:p w14:paraId="3634C3D4" w14:textId="5019EFC2"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209,4</w:t>
            </w:r>
          </w:p>
        </w:tc>
        <w:tc>
          <w:tcPr>
            <w:tcW w:w="276" w:type="pct"/>
            <w:tcBorders>
              <w:top w:val="single" w:sz="4" w:space="0" w:color="auto"/>
              <w:left w:val="single" w:sz="4" w:space="0" w:color="auto"/>
              <w:bottom w:val="single" w:sz="4" w:space="0" w:color="auto"/>
              <w:right w:val="single" w:sz="4" w:space="0" w:color="auto"/>
            </w:tcBorders>
            <w:noWrap/>
            <w:vAlign w:val="center"/>
          </w:tcPr>
          <w:p w14:paraId="1D4036F7" w14:textId="1013D69B" w:rsidR="00242F12" w:rsidRPr="00D01B27" w:rsidRDefault="00242F12" w:rsidP="00242F12">
            <w:pPr>
              <w:spacing w:after="0" w:line="240" w:lineRule="auto"/>
              <w:jc w:val="center"/>
              <w:rPr>
                <w:sz w:val="20"/>
                <w:szCs w:val="20"/>
              </w:rPr>
            </w:pPr>
            <w:r w:rsidRPr="00D01B27">
              <w:rPr>
                <w:sz w:val="20"/>
                <w:szCs w:val="20"/>
              </w:rPr>
              <w:t>218,8</w:t>
            </w:r>
          </w:p>
        </w:tc>
        <w:tc>
          <w:tcPr>
            <w:tcW w:w="276" w:type="pct"/>
            <w:tcBorders>
              <w:top w:val="single" w:sz="4" w:space="0" w:color="auto"/>
              <w:left w:val="single" w:sz="4" w:space="0" w:color="auto"/>
              <w:bottom w:val="single" w:sz="4" w:space="0" w:color="auto"/>
              <w:right w:val="single" w:sz="4" w:space="0" w:color="auto"/>
            </w:tcBorders>
            <w:vAlign w:val="center"/>
          </w:tcPr>
          <w:p w14:paraId="21496A8B" w14:textId="3BEB64B3"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228,7</w:t>
            </w:r>
          </w:p>
        </w:tc>
        <w:tc>
          <w:tcPr>
            <w:tcW w:w="276" w:type="pct"/>
            <w:tcBorders>
              <w:left w:val="single" w:sz="4" w:space="0" w:color="auto"/>
            </w:tcBorders>
            <w:noWrap/>
            <w:vAlign w:val="center"/>
            <w:hideMark/>
          </w:tcPr>
          <w:p w14:paraId="188917C3" w14:textId="4BF33FC3"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238,9</w:t>
            </w:r>
          </w:p>
        </w:tc>
        <w:tc>
          <w:tcPr>
            <w:tcW w:w="276" w:type="pct"/>
            <w:noWrap/>
            <w:vAlign w:val="center"/>
            <w:hideMark/>
          </w:tcPr>
          <w:p w14:paraId="5E614F55" w14:textId="6FA0D122"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249,7</w:t>
            </w:r>
          </w:p>
        </w:tc>
        <w:tc>
          <w:tcPr>
            <w:tcW w:w="276" w:type="pct"/>
            <w:noWrap/>
            <w:vAlign w:val="center"/>
            <w:hideMark/>
          </w:tcPr>
          <w:p w14:paraId="562D5242" w14:textId="6B01B681"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260,9</w:t>
            </w:r>
          </w:p>
        </w:tc>
        <w:tc>
          <w:tcPr>
            <w:tcW w:w="274" w:type="pct"/>
            <w:gridSpan w:val="2"/>
            <w:noWrap/>
            <w:vAlign w:val="center"/>
            <w:hideMark/>
          </w:tcPr>
          <w:p w14:paraId="23B99AC6" w14:textId="54084629"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272,7</w:t>
            </w:r>
          </w:p>
        </w:tc>
      </w:tr>
      <w:tr w:rsidR="006C0FFD" w:rsidRPr="00242F12" w14:paraId="3B00B9A3" w14:textId="77777777" w:rsidTr="00D01B27">
        <w:trPr>
          <w:trHeight w:val="539"/>
          <w:jc w:val="center"/>
        </w:trPr>
        <w:tc>
          <w:tcPr>
            <w:tcW w:w="1437" w:type="pct"/>
            <w:vAlign w:val="center"/>
            <w:hideMark/>
          </w:tcPr>
          <w:p w14:paraId="7A966DFB" w14:textId="77777777" w:rsidR="006C0FFD" w:rsidRPr="00765DE9" w:rsidRDefault="006C0FFD" w:rsidP="006C0FFD">
            <w:pPr>
              <w:spacing w:after="0" w:line="240" w:lineRule="auto"/>
              <w:rPr>
                <w:rFonts w:asciiTheme="minorHAnsi" w:eastAsia="Times New Roman" w:hAnsiTheme="minorHAnsi" w:cstheme="minorHAnsi"/>
                <w:color w:val="000000"/>
                <w:sz w:val="20"/>
                <w:szCs w:val="20"/>
                <w:lang w:eastAsia="fr-FR"/>
              </w:rPr>
            </w:pPr>
            <w:r w:rsidRPr="00765DE9">
              <w:rPr>
                <w:rFonts w:asciiTheme="minorHAnsi" w:eastAsia="Times New Roman" w:hAnsiTheme="minorHAnsi" w:cstheme="minorHAnsi"/>
                <w:color w:val="000000"/>
                <w:sz w:val="20"/>
                <w:szCs w:val="20"/>
                <w:lang w:eastAsia="fr-FR"/>
              </w:rPr>
              <w:t>Extension déchets ménagers villes secondaires</w:t>
            </w:r>
          </w:p>
        </w:tc>
        <w:tc>
          <w:tcPr>
            <w:tcW w:w="255" w:type="pct"/>
            <w:noWrap/>
            <w:vAlign w:val="center"/>
            <w:hideMark/>
          </w:tcPr>
          <w:p w14:paraId="78061FAE" w14:textId="5C7878F2"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1DFA4CD3" w14:textId="14C4C4E4"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266202CF" w14:textId="5BC224A9"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191295F8" w14:textId="604DD954"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20,8</w:t>
            </w:r>
          </w:p>
        </w:tc>
        <w:tc>
          <w:tcPr>
            <w:tcW w:w="276" w:type="pct"/>
            <w:noWrap/>
            <w:vAlign w:val="center"/>
            <w:hideMark/>
          </w:tcPr>
          <w:p w14:paraId="79100B9B" w14:textId="37D0BFC8"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21,4</w:t>
            </w:r>
          </w:p>
        </w:tc>
        <w:tc>
          <w:tcPr>
            <w:tcW w:w="276" w:type="pct"/>
            <w:noWrap/>
            <w:vAlign w:val="center"/>
            <w:hideMark/>
          </w:tcPr>
          <w:p w14:paraId="779A2235" w14:textId="460817B4"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22,0</w:t>
            </w:r>
          </w:p>
        </w:tc>
        <w:tc>
          <w:tcPr>
            <w:tcW w:w="276" w:type="pct"/>
            <w:tcBorders>
              <w:right w:val="single" w:sz="4" w:space="0" w:color="auto"/>
            </w:tcBorders>
            <w:noWrap/>
            <w:vAlign w:val="center"/>
            <w:hideMark/>
          </w:tcPr>
          <w:p w14:paraId="6F1F307B" w14:textId="029003F3"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22,7</w:t>
            </w:r>
          </w:p>
        </w:tc>
        <w:tc>
          <w:tcPr>
            <w:tcW w:w="276" w:type="pct"/>
            <w:tcBorders>
              <w:top w:val="single" w:sz="4" w:space="0" w:color="auto"/>
              <w:left w:val="single" w:sz="4" w:space="0" w:color="auto"/>
              <w:bottom w:val="single" w:sz="4" w:space="0" w:color="auto"/>
              <w:right w:val="single" w:sz="4" w:space="0" w:color="auto"/>
            </w:tcBorders>
            <w:noWrap/>
            <w:vAlign w:val="center"/>
          </w:tcPr>
          <w:p w14:paraId="64F00EC7" w14:textId="5B110556" w:rsidR="00242F12" w:rsidRPr="00D01B27" w:rsidRDefault="00242F12" w:rsidP="00242F12">
            <w:pPr>
              <w:spacing w:after="0" w:line="240" w:lineRule="auto"/>
              <w:jc w:val="center"/>
              <w:rPr>
                <w:sz w:val="20"/>
                <w:szCs w:val="20"/>
              </w:rPr>
            </w:pPr>
            <w:r w:rsidRPr="00D01B27">
              <w:rPr>
                <w:sz w:val="20"/>
                <w:szCs w:val="20"/>
              </w:rPr>
              <w:t>23,3</w:t>
            </w:r>
          </w:p>
        </w:tc>
        <w:tc>
          <w:tcPr>
            <w:tcW w:w="276" w:type="pct"/>
            <w:tcBorders>
              <w:top w:val="single" w:sz="4" w:space="0" w:color="auto"/>
              <w:left w:val="single" w:sz="4" w:space="0" w:color="auto"/>
              <w:bottom w:val="single" w:sz="4" w:space="0" w:color="auto"/>
              <w:right w:val="single" w:sz="4" w:space="0" w:color="auto"/>
            </w:tcBorders>
            <w:vAlign w:val="center"/>
          </w:tcPr>
          <w:p w14:paraId="1A93C7D0" w14:textId="11437047"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24,0</w:t>
            </w:r>
          </w:p>
        </w:tc>
        <w:tc>
          <w:tcPr>
            <w:tcW w:w="276" w:type="pct"/>
            <w:tcBorders>
              <w:left w:val="single" w:sz="4" w:space="0" w:color="auto"/>
            </w:tcBorders>
            <w:noWrap/>
            <w:vAlign w:val="center"/>
            <w:hideMark/>
          </w:tcPr>
          <w:p w14:paraId="3265240C" w14:textId="53C23559"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24,</w:t>
            </w:r>
            <w:r w:rsidR="00242F12" w:rsidRPr="00D01B27">
              <w:rPr>
                <w:sz w:val="20"/>
                <w:szCs w:val="20"/>
              </w:rPr>
              <w:t>7</w:t>
            </w:r>
          </w:p>
        </w:tc>
        <w:tc>
          <w:tcPr>
            <w:tcW w:w="276" w:type="pct"/>
            <w:noWrap/>
            <w:vAlign w:val="center"/>
            <w:hideMark/>
          </w:tcPr>
          <w:p w14:paraId="6D249DA6" w14:textId="04DAE79A"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25,3</w:t>
            </w:r>
          </w:p>
        </w:tc>
        <w:tc>
          <w:tcPr>
            <w:tcW w:w="276" w:type="pct"/>
            <w:noWrap/>
            <w:vAlign w:val="center"/>
            <w:hideMark/>
          </w:tcPr>
          <w:p w14:paraId="30C0D979" w14:textId="0C69C6E7"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26,1</w:t>
            </w:r>
          </w:p>
        </w:tc>
        <w:tc>
          <w:tcPr>
            <w:tcW w:w="274" w:type="pct"/>
            <w:gridSpan w:val="2"/>
            <w:noWrap/>
            <w:vAlign w:val="center"/>
            <w:hideMark/>
          </w:tcPr>
          <w:p w14:paraId="7163CDA5" w14:textId="0F95CE00"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26,</w:t>
            </w:r>
            <w:r w:rsidR="00242F12" w:rsidRPr="00D01B27">
              <w:rPr>
                <w:sz w:val="20"/>
                <w:szCs w:val="20"/>
              </w:rPr>
              <w:t>8</w:t>
            </w:r>
          </w:p>
        </w:tc>
      </w:tr>
      <w:tr w:rsidR="006C0FFD" w:rsidRPr="00242F12" w14:paraId="79B00084" w14:textId="77777777" w:rsidTr="00D01B27">
        <w:trPr>
          <w:trHeight w:val="576"/>
          <w:jc w:val="center"/>
        </w:trPr>
        <w:tc>
          <w:tcPr>
            <w:tcW w:w="1437" w:type="pct"/>
            <w:vAlign w:val="center"/>
            <w:hideMark/>
          </w:tcPr>
          <w:p w14:paraId="25DE8712" w14:textId="77777777" w:rsidR="006C0FFD" w:rsidRPr="00765DE9" w:rsidRDefault="006C0FFD" w:rsidP="006C0FFD">
            <w:pPr>
              <w:spacing w:after="0" w:line="240" w:lineRule="auto"/>
              <w:rPr>
                <w:rFonts w:asciiTheme="minorHAnsi" w:eastAsia="Times New Roman" w:hAnsiTheme="minorHAnsi" w:cstheme="minorHAnsi"/>
                <w:color w:val="000000"/>
                <w:sz w:val="20"/>
                <w:szCs w:val="20"/>
                <w:lang w:eastAsia="fr-FR"/>
              </w:rPr>
            </w:pPr>
            <w:r w:rsidRPr="00765DE9">
              <w:rPr>
                <w:rFonts w:asciiTheme="minorHAnsi" w:eastAsia="Times New Roman" w:hAnsiTheme="minorHAnsi" w:cstheme="minorHAnsi"/>
                <w:color w:val="000000"/>
                <w:sz w:val="20"/>
                <w:szCs w:val="20"/>
                <w:lang w:eastAsia="fr-FR"/>
              </w:rPr>
              <w:t>PRUBA - Boues de vidange Bamako</w:t>
            </w:r>
          </w:p>
        </w:tc>
        <w:tc>
          <w:tcPr>
            <w:tcW w:w="255" w:type="pct"/>
            <w:noWrap/>
            <w:vAlign w:val="center"/>
            <w:hideMark/>
          </w:tcPr>
          <w:p w14:paraId="64F083BF" w14:textId="010C8150"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79FB17CA" w14:textId="57C98D16"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30CCA5AE" w14:textId="46E32058"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12,9</w:t>
            </w:r>
          </w:p>
        </w:tc>
        <w:tc>
          <w:tcPr>
            <w:tcW w:w="276" w:type="pct"/>
            <w:noWrap/>
            <w:vAlign w:val="center"/>
            <w:hideMark/>
          </w:tcPr>
          <w:p w14:paraId="35FCE372" w14:textId="0A639F6C"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12,9</w:t>
            </w:r>
          </w:p>
        </w:tc>
        <w:tc>
          <w:tcPr>
            <w:tcW w:w="276" w:type="pct"/>
            <w:noWrap/>
            <w:vAlign w:val="center"/>
            <w:hideMark/>
          </w:tcPr>
          <w:p w14:paraId="41AE6115" w14:textId="15D83141"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12,9</w:t>
            </w:r>
          </w:p>
        </w:tc>
        <w:tc>
          <w:tcPr>
            <w:tcW w:w="276" w:type="pct"/>
            <w:noWrap/>
            <w:vAlign w:val="center"/>
            <w:hideMark/>
          </w:tcPr>
          <w:p w14:paraId="59CF4635" w14:textId="1B6CAD10"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12,9</w:t>
            </w:r>
          </w:p>
        </w:tc>
        <w:tc>
          <w:tcPr>
            <w:tcW w:w="276" w:type="pct"/>
            <w:tcBorders>
              <w:right w:val="single" w:sz="4" w:space="0" w:color="auto"/>
            </w:tcBorders>
            <w:noWrap/>
            <w:vAlign w:val="center"/>
            <w:hideMark/>
          </w:tcPr>
          <w:p w14:paraId="7FC54873" w14:textId="03E99779"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12,9</w:t>
            </w:r>
          </w:p>
        </w:tc>
        <w:tc>
          <w:tcPr>
            <w:tcW w:w="276" w:type="pct"/>
            <w:tcBorders>
              <w:top w:val="single" w:sz="4" w:space="0" w:color="auto"/>
              <w:left w:val="single" w:sz="4" w:space="0" w:color="auto"/>
              <w:bottom w:val="single" w:sz="4" w:space="0" w:color="auto"/>
              <w:right w:val="single" w:sz="4" w:space="0" w:color="auto"/>
            </w:tcBorders>
            <w:noWrap/>
            <w:vAlign w:val="center"/>
          </w:tcPr>
          <w:p w14:paraId="7442B053" w14:textId="3938DF57" w:rsidR="00242F12" w:rsidRPr="00D01B27" w:rsidRDefault="00242F12" w:rsidP="00242F12">
            <w:pPr>
              <w:spacing w:after="0" w:line="240" w:lineRule="auto"/>
              <w:jc w:val="center"/>
              <w:rPr>
                <w:sz w:val="20"/>
                <w:szCs w:val="20"/>
              </w:rPr>
            </w:pPr>
            <w:r w:rsidRPr="00D01B27">
              <w:rPr>
                <w:sz w:val="20"/>
                <w:szCs w:val="20"/>
              </w:rPr>
              <w:t>12,9</w:t>
            </w:r>
          </w:p>
        </w:tc>
        <w:tc>
          <w:tcPr>
            <w:tcW w:w="276" w:type="pct"/>
            <w:tcBorders>
              <w:top w:val="single" w:sz="4" w:space="0" w:color="auto"/>
              <w:left w:val="single" w:sz="4" w:space="0" w:color="auto"/>
              <w:bottom w:val="single" w:sz="4" w:space="0" w:color="auto"/>
              <w:right w:val="single" w:sz="4" w:space="0" w:color="auto"/>
            </w:tcBorders>
            <w:vAlign w:val="center"/>
          </w:tcPr>
          <w:p w14:paraId="4E7964E1" w14:textId="1733AD12"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12,9</w:t>
            </w:r>
          </w:p>
        </w:tc>
        <w:tc>
          <w:tcPr>
            <w:tcW w:w="276" w:type="pct"/>
            <w:tcBorders>
              <w:left w:val="single" w:sz="4" w:space="0" w:color="auto"/>
            </w:tcBorders>
            <w:noWrap/>
            <w:vAlign w:val="center"/>
            <w:hideMark/>
          </w:tcPr>
          <w:p w14:paraId="221FE461" w14:textId="2BF83866"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12,9</w:t>
            </w:r>
          </w:p>
        </w:tc>
        <w:tc>
          <w:tcPr>
            <w:tcW w:w="276" w:type="pct"/>
            <w:noWrap/>
            <w:vAlign w:val="center"/>
            <w:hideMark/>
          </w:tcPr>
          <w:p w14:paraId="3C893282" w14:textId="305938BF"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12,9</w:t>
            </w:r>
          </w:p>
        </w:tc>
        <w:tc>
          <w:tcPr>
            <w:tcW w:w="276" w:type="pct"/>
            <w:noWrap/>
            <w:vAlign w:val="center"/>
            <w:hideMark/>
          </w:tcPr>
          <w:p w14:paraId="766373D3" w14:textId="38F823FE"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12,9</w:t>
            </w:r>
          </w:p>
        </w:tc>
        <w:tc>
          <w:tcPr>
            <w:tcW w:w="274" w:type="pct"/>
            <w:gridSpan w:val="2"/>
            <w:noWrap/>
            <w:vAlign w:val="center"/>
            <w:hideMark/>
          </w:tcPr>
          <w:p w14:paraId="605F543F" w14:textId="11700FD2"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12,9</w:t>
            </w:r>
          </w:p>
        </w:tc>
      </w:tr>
      <w:tr w:rsidR="006C0FFD" w:rsidRPr="00242F12" w14:paraId="4C4E22EE" w14:textId="77777777" w:rsidTr="00D01B27">
        <w:trPr>
          <w:trHeight w:val="600"/>
          <w:jc w:val="center"/>
        </w:trPr>
        <w:tc>
          <w:tcPr>
            <w:tcW w:w="1437" w:type="pct"/>
            <w:vAlign w:val="center"/>
            <w:hideMark/>
          </w:tcPr>
          <w:p w14:paraId="7010B13A" w14:textId="77777777" w:rsidR="006C0FFD" w:rsidRPr="00765DE9" w:rsidRDefault="006C0FFD" w:rsidP="006C0FFD">
            <w:pPr>
              <w:spacing w:after="0" w:line="240" w:lineRule="auto"/>
              <w:rPr>
                <w:rFonts w:asciiTheme="minorHAnsi" w:eastAsia="Times New Roman" w:hAnsiTheme="minorHAnsi" w:cstheme="minorHAnsi"/>
                <w:color w:val="000000"/>
                <w:sz w:val="20"/>
                <w:szCs w:val="20"/>
                <w:lang w:eastAsia="fr-FR"/>
              </w:rPr>
            </w:pPr>
            <w:r w:rsidRPr="00765DE9">
              <w:rPr>
                <w:rFonts w:asciiTheme="minorHAnsi" w:eastAsia="Times New Roman" w:hAnsiTheme="minorHAnsi" w:cstheme="minorHAnsi"/>
                <w:color w:val="000000"/>
                <w:sz w:val="20"/>
                <w:szCs w:val="20"/>
                <w:lang w:eastAsia="fr-FR"/>
              </w:rPr>
              <w:t>Extension boues villes secondaires</w:t>
            </w:r>
          </w:p>
        </w:tc>
        <w:tc>
          <w:tcPr>
            <w:tcW w:w="255" w:type="pct"/>
            <w:noWrap/>
            <w:vAlign w:val="center"/>
            <w:hideMark/>
          </w:tcPr>
          <w:p w14:paraId="4B6BDFDA" w14:textId="131B93FA"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047789B0" w14:textId="2408A980"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78E9D018" w14:textId="7B5B5881"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3CE11A89" w14:textId="36C8A394"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3,2</w:t>
            </w:r>
          </w:p>
        </w:tc>
        <w:tc>
          <w:tcPr>
            <w:tcW w:w="276" w:type="pct"/>
            <w:noWrap/>
            <w:vAlign w:val="center"/>
            <w:hideMark/>
          </w:tcPr>
          <w:p w14:paraId="22C3D050" w14:textId="6AAF9303"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9,9</w:t>
            </w:r>
          </w:p>
        </w:tc>
        <w:tc>
          <w:tcPr>
            <w:tcW w:w="276" w:type="pct"/>
            <w:noWrap/>
            <w:vAlign w:val="center"/>
            <w:hideMark/>
          </w:tcPr>
          <w:p w14:paraId="4D1B5F09" w14:textId="7D8E0B00"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16,6</w:t>
            </w:r>
          </w:p>
        </w:tc>
        <w:tc>
          <w:tcPr>
            <w:tcW w:w="276" w:type="pct"/>
            <w:tcBorders>
              <w:right w:val="single" w:sz="4" w:space="0" w:color="auto"/>
            </w:tcBorders>
            <w:noWrap/>
            <w:vAlign w:val="center"/>
            <w:hideMark/>
          </w:tcPr>
          <w:p w14:paraId="2E19AB2C" w14:textId="068FA754"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23,3</w:t>
            </w:r>
          </w:p>
        </w:tc>
        <w:tc>
          <w:tcPr>
            <w:tcW w:w="276" w:type="pct"/>
            <w:tcBorders>
              <w:top w:val="single" w:sz="4" w:space="0" w:color="auto"/>
              <w:left w:val="single" w:sz="4" w:space="0" w:color="auto"/>
              <w:bottom w:val="single" w:sz="4" w:space="0" w:color="auto"/>
              <w:right w:val="single" w:sz="4" w:space="0" w:color="auto"/>
            </w:tcBorders>
            <w:noWrap/>
            <w:vAlign w:val="center"/>
          </w:tcPr>
          <w:p w14:paraId="3174A3FA" w14:textId="022827A1" w:rsidR="00242F12" w:rsidRPr="00D01B27" w:rsidRDefault="00242F12" w:rsidP="00242F12">
            <w:pPr>
              <w:spacing w:after="0" w:line="240" w:lineRule="auto"/>
              <w:jc w:val="center"/>
              <w:rPr>
                <w:sz w:val="20"/>
                <w:szCs w:val="20"/>
              </w:rPr>
            </w:pPr>
            <w:r w:rsidRPr="00D01B27">
              <w:rPr>
                <w:sz w:val="20"/>
                <w:szCs w:val="20"/>
              </w:rPr>
              <w:t>30,0</w:t>
            </w:r>
          </w:p>
        </w:tc>
        <w:tc>
          <w:tcPr>
            <w:tcW w:w="276" w:type="pct"/>
            <w:tcBorders>
              <w:top w:val="single" w:sz="4" w:space="0" w:color="auto"/>
              <w:left w:val="single" w:sz="4" w:space="0" w:color="auto"/>
              <w:bottom w:val="single" w:sz="4" w:space="0" w:color="auto"/>
              <w:right w:val="single" w:sz="4" w:space="0" w:color="auto"/>
            </w:tcBorders>
            <w:vAlign w:val="center"/>
          </w:tcPr>
          <w:p w14:paraId="29C874BA" w14:textId="606C61ED"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36,7</w:t>
            </w:r>
          </w:p>
        </w:tc>
        <w:tc>
          <w:tcPr>
            <w:tcW w:w="276" w:type="pct"/>
            <w:tcBorders>
              <w:left w:val="single" w:sz="4" w:space="0" w:color="auto"/>
            </w:tcBorders>
            <w:noWrap/>
            <w:vAlign w:val="center"/>
            <w:hideMark/>
          </w:tcPr>
          <w:p w14:paraId="0A32D0D3" w14:textId="43B85EAB"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43,5</w:t>
            </w:r>
          </w:p>
        </w:tc>
        <w:tc>
          <w:tcPr>
            <w:tcW w:w="276" w:type="pct"/>
            <w:noWrap/>
            <w:vAlign w:val="center"/>
            <w:hideMark/>
          </w:tcPr>
          <w:p w14:paraId="5A81EC8B" w14:textId="16D10E7E"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50</w:t>
            </w:r>
            <w:r w:rsidR="006C0FFD" w:rsidRPr="00D01B27">
              <w:rPr>
                <w:sz w:val="20"/>
                <w:szCs w:val="20"/>
              </w:rPr>
              <w:t>,2</w:t>
            </w:r>
          </w:p>
        </w:tc>
        <w:tc>
          <w:tcPr>
            <w:tcW w:w="276" w:type="pct"/>
            <w:noWrap/>
            <w:vAlign w:val="center"/>
            <w:hideMark/>
          </w:tcPr>
          <w:p w14:paraId="455C6BAF" w14:textId="5CB99ECB"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56,9</w:t>
            </w:r>
          </w:p>
        </w:tc>
        <w:tc>
          <w:tcPr>
            <w:tcW w:w="274" w:type="pct"/>
            <w:gridSpan w:val="2"/>
            <w:noWrap/>
            <w:vAlign w:val="center"/>
            <w:hideMark/>
          </w:tcPr>
          <w:p w14:paraId="059BF497" w14:textId="243F3455"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63,6</w:t>
            </w:r>
          </w:p>
        </w:tc>
      </w:tr>
      <w:tr w:rsidR="006C0FFD" w:rsidRPr="00242F12" w14:paraId="5DB27E3F" w14:textId="77777777" w:rsidTr="00D01B27">
        <w:trPr>
          <w:trHeight w:val="539"/>
          <w:jc w:val="center"/>
        </w:trPr>
        <w:tc>
          <w:tcPr>
            <w:tcW w:w="1437" w:type="pct"/>
            <w:vAlign w:val="center"/>
            <w:hideMark/>
          </w:tcPr>
          <w:p w14:paraId="6C9EDD8C" w14:textId="77777777" w:rsidR="006C0FFD" w:rsidRPr="00765DE9" w:rsidRDefault="006C0FFD" w:rsidP="006C0FFD">
            <w:pPr>
              <w:spacing w:after="0" w:line="240" w:lineRule="auto"/>
              <w:rPr>
                <w:rFonts w:asciiTheme="minorHAnsi" w:eastAsia="Times New Roman" w:hAnsiTheme="minorHAnsi" w:cstheme="minorHAnsi"/>
                <w:color w:val="000000"/>
                <w:sz w:val="20"/>
                <w:szCs w:val="20"/>
                <w:lang w:eastAsia="fr-FR"/>
              </w:rPr>
            </w:pPr>
            <w:r w:rsidRPr="00765DE9">
              <w:rPr>
                <w:rFonts w:asciiTheme="minorHAnsi" w:eastAsia="Times New Roman" w:hAnsiTheme="minorHAnsi" w:cstheme="minorHAnsi"/>
                <w:color w:val="000000"/>
                <w:sz w:val="20"/>
                <w:szCs w:val="20"/>
                <w:lang w:eastAsia="fr-FR"/>
              </w:rPr>
              <w:t>Valorisation énergétique et organique</w:t>
            </w:r>
          </w:p>
        </w:tc>
        <w:tc>
          <w:tcPr>
            <w:tcW w:w="255" w:type="pct"/>
            <w:noWrap/>
            <w:vAlign w:val="center"/>
            <w:hideMark/>
          </w:tcPr>
          <w:p w14:paraId="25A642F1" w14:textId="27C7654A"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7662CD6C" w14:textId="27859B81"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476F9914" w14:textId="4BAB729D"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1F505D06" w14:textId="67DEEB62"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98,0</w:t>
            </w:r>
          </w:p>
        </w:tc>
        <w:tc>
          <w:tcPr>
            <w:tcW w:w="276" w:type="pct"/>
            <w:noWrap/>
            <w:vAlign w:val="center"/>
            <w:hideMark/>
          </w:tcPr>
          <w:p w14:paraId="690D70F7" w14:textId="026CD80B"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129,0</w:t>
            </w:r>
          </w:p>
        </w:tc>
        <w:tc>
          <w:tcPr>
            <w:tcW w:w="276" w:type="pct"/>
            <w:noWrap/>
            <w:vAlign w:val="center"/>
            <w:hideMark/>
          </w:tcPr>
          <w:p w14:paraId="43B3A000" w14:textId="7C3C57D5"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160,0</w:t>
            </w:r>
          </w:p>
        </w:tc>
        <w:tc>
          <w:tcPr>
            <w:tcW w:w="276" w:type="pct"/>
            <w:tcBorders>
              <w:right w:val="single" w:sz="4" w:space="0" w:color="auto"/>
            </w:tcBorders>
            <w:noWrap/>
            <w:vAlign w:val="center"/>
            <w:hideMark/>
          </w:tcPr>
          <w:p w14:paraId="5D0E0BE5" w14:textId="2792A10D"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190,9</w:t>
            </w:r>
          </w:p>
        </w:tc>
        <w:tc>
          <w:tcPr>
            <w:tcW w:w="276" w:type="pct"/>
            <w:tcBorders>
              <w:top w:val="single" w:sz="4" w:space="0" w:color="auto"/>
              <w:left w:val="single" w:sz="4" w:space="0" w:color="auto"/>
              <w:bottom w:val="single" w:sz="4" w:space="0" w:color="auto"/>
              <w:right w:val="single" w:sz="4" w:space="0" w:color="auto"/>
            </w:tcBorders>
            <w:noWrap/>
            <w:vAlign w:val="center"/>
          </w:tcPr>
          <w:p w14:paraId="1A0BCE89" w14:textId="1066B1EA" w:rsidR="00242F12" w:rsidRPr="00D01B27" w:rsidRDefault="00242F12" w:rsidP="00242F12">
            <w:pPr>
              <w:spacing w:after="0" w:line="240" w:lineRule="auto"/>
              <w:jc w:val="center"/>
              <w:rPr>
                <w:sz w:val="20"/>
                <w:szCs w:val="20"/>
              </w:rPr>
            </w:pPr>
            <w:r w:rsidRPr="00D01B27">
              <w:rPr>
                <w:sz w:val="20"/>
                <w:szCs w:val="20"/>
              </w:rPr>
              <w:t>221,9</w:t>
            </w:r>
          </w:p>
        </w:tc>
        <w:tc>
          <w:tcPr>
            <w:tcW w:w="276" w:type="pct"/>
            <w:tcBorders>
              <w:top w:val="single" w:sz="4" w:space="0" w:color="auto"/>
              <w:left w:val="single" w:sz="4" w:space="0" w:color="auto"/>
              <w:bottom w:val="single" w:sz="4" w:space="0" w:color="auto"/>
              <w:right w:val="single" w:sz="4" w:space="0" w:color="auto"/>
            </w:tcBorders>
            <w:vAlign w:val="center"/>
          </w:tcPr>
          <w:p w14:paraId="7EEB3F9B" w14:textId="54B9DE61"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252,9</w:t>
            </w:r>
          </w:p>
        </w:tc>
        <w:tc>
          <w:tcPr>
            <w:tcW w:w="276" w:type="pct"/>
            <w:tcBorders>
              <w:left w:val="single" w:sz="4" w:space="0" w:color="auto"/>
            </w:tcBorders>
            <w:noWrap/>
            <w:vAlign w:val="center"/>
            <w:hideMark/>
          </w:tcPr>
          <w:p w14:paraId="21F42156" w14:textId="670E247A"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283,8</w:t>
            </w:r>
          </w:p>
        </w:tc>
        <w:tc>
          <w:tcPr>
            <w:tcW w:w="276" w:type="pct"/>
            <w:noWrap/>
            <w:vAlign w:val="center"/>
            <w:hideMark/>
          </w:tcPr>
          <w:p w14:paraId="2DAF95D1" w14:textId="4DEB343C"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314,8</w:t>
            </w:r>
          </w:p>
        </w:tc>
        <w:tc>
          <w:tcPr>
            <w:tcW w:w="276" w:type="pct"/>
            <w:noWrap/>
            <w:vAlign w:val="center"/>
            <w:hideMark/>
          </w:tcPr>
          <w:p w14:paraId="441347E5" w14:textId="4FD1A518"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345,8</w:t>
            </w:r>
          </w:p>
        </w:tc>
        <w:tc>
          <w:tcPr>
            <w:tcW w:w="274" w:type="pct"/>
            <w:gridSpan w:val="2"/>
            <w:noWrap/>
            <w:vAlign w:val="center"/>
            <w:hideMark/>
          </w:tcPr>
          <w:p w14:paraId="32B9F548" w14:textId="6CA18B92"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376,7</w:t>
            </w:r>
          </w:p>
        </w:tc>
      </w:tr>
      <w:tr w:rsidR="006C0FFD" w:rsidRPr="00242F12" w14:paraId="29499383" w14:textId="77777777" w:rsidTr="00D01B27">
        <w:trPr>
          <w:trHeight w:val="294"/>
          <w:jc w:val="center"/>
        </w:trPr>
        <w:tc>
          <w:tcPr>
            <w:tcW w:w="1437" w:type="pct"/>
            <w:vAlign w:val="center"/>
            <w:hideMark/>
          </w:tcPr>
          <w:p w14:paraId="23A227BB" w14:textId="77777777" w:rsidR="006C0FFD" w:rsidRPr="00765DE9" w:rsidRDefault="006C0FFD" w:rsidP="006C0FFD">
            <w:pPr>
              <w:spacing w:after="0" w:line="240" w:lineRule="auto"/>
              <w:rPr>
                <w:rFonts w:asciiTheme="minorHAnsi" w:eastAsia="Times New Roman" w:hAnsiTheme="minorHAnsi" w:cstheme="minorHAnsi"/>
                <w:color w:val="000000"/>
                <w:sz w:val="20"/>
                <w:szCs w:val="20"/>
                <w:lang w:eastAsia="fr-FR"/>
              </w:rPr>
            </w:pPr>
            <w:r w:rsidRPr="00765DE9">
              <w:rPr>
                <w:rFonts w:asciiTheme="minorHAnsi" w:eastAsia="Times New Roman" w:hAnsiTheme="minorHAnsi" w:cstheme="minorHAnsi"/>
                <w:color w:val="000000"/>
                <w:sz w:val="20"/>
                <w:szCs w:val="20"/>
                <w:lang w:eastAsia="fr-FR"/>
              </w:rPr>
              <w:t>Recyclage déchets plastiques</w:t>
            </w:r>
          </w:p>
        </w:tc>
        <w:tc>
          <w:tcPr>
            <w:tcW w:w="255" w:type="pct"/>
            <w:noWrap/>
            <w:vAlign w:val="center"/>
            <w:hideMark/>
          </w:tcPr>
          <w:p w14:paraId="1EDAF98B" w14:textId="0C7448DE"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51A3FD59" w14:textId="641C249E"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1B3B0D7C" w14:textId="26B5B58A"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p>
        </w:tc>
        <w:tc>
          <w:tcPr>
            <w:tcW w:w="276" w:type="pct"/>
            <w:noWrap/>
            <w:vAlign w:val="center"/>
            <w:hideMark/>
          </w:tcPr>
          <w:p w14:paraId="438112D5" w14:textId="0415A865" w:rsidR="006C0FFD" w:rsidRPr="00765DE9" w:rsidRDefault="006C0FFD"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1,3</w:t>
            </w:r>
          </w:p>
        </w:tc>
        <w:tc>
          <w:tcPr>
            <w:tcW w:w="276" w:type="pct"/>
            <w:noWrap/>
            <w:vAlign w:val="center"/>
            <w:hideMark/>
          </w:tcPr>
          <w:p w14:paraId="49BC457A" w14:textId="20B4E105"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9,7</w:t>
            </w:r>
          </w:p>
        </w:tc>
        <w:tc>
          <w:tcPr>
            <w:tcW w:w="276" w:type="pct"/>
            <w:noWrap/>
            <w:vAlign w:val="center"/>
            <w:hideMark/>
          </w:tcPr>
          <w:p w14:paraId="56C239D4" w14:textId="05D5376C"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18,1</w:t>
            </w:r>
          </w:p>
        </w:tc>
        <w:tc>
          <w:tcPr>
            <w:tcW w:w="276" w:type="pct"/>
            <w:tcBorders>
              <w:right w:val="single" w:sz="4" w:space="0" w:color="auto"/>
            </w:tcBorders>
            <w:noWrap/>
            <w:vAlign w:val="center"/>
            <w:hideMark/>
          </w:tcPr>
          <w:p w14:paraId="7431520E" w14:textId="43D0F0D3"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26,6</w:t>
            </w:r>
          </w:p>
        </w:tc>
        <w:tc>
          <w:tcPr>
            <w:tcW w:w="276" w:type="pct"/>
            <w:tcBorders>
              <w:top w:val="single" w:sz="4" w:space="0" w:color="auto"/>
              <w:left w:val="single" w:sz="4" w:space="0" w:color="auto"/>
              <w:bottom w:val="single" w:sz="4" w:space="0" w:color="auto"/>
              <w:right w:val="single" w:sz="4" w:space="0" w:color="auto"/>
            </w:tcBorders>
            <w:noWrap/>
            <w:vAlign w:val="center"/>
          </w:tcPr>
          <w:p w14:paraId="3D2EC9CC" w14:textId="2619E704" w:rsidR="00242F12" w:rsidRPr="00D01B27" w:rsidRDefault="00242F12" w:rsidP="00242F12">
            <w:pPr>
              <w:spacing w:after="0" w:line="240" w:lineRule="auto"/>
              <w:jc w:val="center"/>
              <w:rPr>
                <w:sz w:val="20"/>
                <w:szCs w:val="20"/>
              </w:rPr>
            </w:pPr>
            <w:r w:rsidRPr="00D01B27">
              <w:rPr>
                <w:sz w:val="20"/>
                <w:szCs w:val="20"/>
              </w:rPr>
              <w:t>35,0</w:t>
            </w:r>
          </w:p>
        </w:tc>
        <w:tc>
          <w:tcPr>
            <w:tcW w:w="276" w:type="pct"/>
            <w:tcBorders>
              <w:top w:val="single" w:sz="4" w:space="0" w:color="auto"/>
              <w:left w:val="single" w:sz="4" w:space="0" w:color="auto"/>
              <w:bottom w:val="single" w:sz="4" w:space="0" w:color="auto"/>
              <w:right w:val="single" w:sz="4" w:space="0" w:color="auto"/>
            </w:tcBorders>
            <w:vAlign w:val="center"/>
          </w:tcPr>
          <w:p w14:paraId="2325CD56" w14:textId="4B457619"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43,4</w:t>
            </w:r>
          </w:p>
        </w:tc>
        <w:tc>
          <w:tcPr>
            <w:tcW w:w="276" w:type="pct"/>
            <w:tcBorders>
              <w:left w:val="single" w:sz="4" w:space="0" w:color="auto"/>
            </w:tcBorders>
            <w:noWrap/>
            <w:vAlign w:val="center"/>
            <w:hideMark/>
          </w:tcPr>
          <w:p w14:paraId="7C432598" w14:textId="532CC4DF"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51,8</w:t>
            </w:r>
          </w:p>
        </w:tc>
        <w:tc>
          <w:tcPr>
            <w:tcW w:w="276" w:type="pct"/>
            <w:noWrap/>
            <w:vAlign w:val="center"/>
            <w:hideMark/>
          </w:tcPr>
          <w:p w14:paraId="370631C1" w14:textId="6F589B97"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60,3</w:t>
            </w:r>
          </w:p>
        </w:tc>
        <w:tc>
          <w:tcPr>
            <w:tcW w:w="276" w:type="pct"/>
            <w:noWrap/>
            <w:vAlign w:val="center"/>
            <w:hideMark/>
          </w:tcPr>
          <w:p w14:paraId="03AF8492" w14:textId="3A7A5D22"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68,7</w:t>
            </w:r>
          </w:p>
        </w:tc>
        <w:tc>
          <w:tcPr>
            <w:tcW w:w="274" w:type="pct"/>
            <w:gridSpan w:val="2"/>
            <w:noWrap/>
            <w:vAlign w:val="center"/>
            <w:hideMark/>
          </w:tcPr>
          <w:p w14:paraId="7F7D8524" w14:textId="3AA661FD" w:rsidR="006C0FFD" w:rsidRPr="00765DE9" w:rsidRDefault="00242F12" w:rsidP="008966E4">
            <w:pPr>
              <w:spacing w:after="0" w:line="240" w:lineRule="auto"/>
              <w:jc w:val="center"/>
              <w:rPr>
                <w:rFonts w:asciiTheme="minorHAnsi" w:eastAsia="Times New Roman" w:hAnsiTheme="minorHAnsi" w:cstheme="minorHAnsi"/>
                <w:color w:val="000000"/>
                <w:sz w:val="20"/>
                <w:szCs w:val="20"/>
                <w:lang w:eastAsia="fr-FR"/>
              </w:rPr>
            </w:pPr>
            <w:r w:rsidRPr="00D01B27">
              <w:rPr>
                <w:sz w:val="20"/>
                <w:szCs w:val="20"/>
              </w:rPr>
              <w:t>77,1</w:t>
            </w:r>
          </w:p>
        </w:tc>
      </w:tr>
      <w:tr w:rsidR="006C0FFD" w:rsidRPr="00242F12" w14:paraId="624445F4" w14:textId="77777777" w:rsidTr="00D01B27">
        <w:trPr>
          <w:trHeight w:val="395"/>
          <w:jc w:val="center"/>
        </w:trPr>
        <w:tc>
          <w:tcPr>
            <w:tcW w:w="1437" w:type="pct"/>
            <w:shd w:val="clear" w:color="auto" w:fill="1F4E79" w:themeFill="accent1" w:themeFillShade="80"/>
            <w:noWrap/>
            <w:vAlign w:val="center"/>
            <w:hideMark/>
          </w:tcPr>
          <w:p w14:paraId="06ACCCEE" w14:textId="77777777" w:rsidR="006C0FFD" w:rsidRPr="00765DE9" w:rsidRDefault="006C0FFD" w:rsidP="006C0FFD">
            <w:pPr>
              <w:spacing w:after="0" w:line="240" w:lineRule="auto"/>
              <w:ind w:firstLineChars="100" w:firstLine="201"/>
              <w:rPr>
                <w:rFonts w:asciiTheme="minorHAnsi" w:eastAsia="Times New Roman" w:hAnsiTheme="minorHAnsi" w:cstheme="minorHAnsi"/>
                <w:b/>
                <w:color w:val="FFFFFF"/>
                <w:sz w:val="20"/>
                <w:szCs w:val="20"/>
                <w:lang w:eastAsia="fr-FR"/>
              </w:rPr>
            </w:pPr>
            <w:r w:rsidRPr="00765DE9">
              <w:rPr>
                <w:rFonts w:asciiTheme="minorHAnsi" w:eastAsia="Times New Roman" w:hAnsiTheme="minorHAnsi" w:cstheme="minorHAnsi"/>
                <w:b/>
                <w:color w:val="FFFFFF"/>
                <w:sz w:val="20"/>
                <w:szCs w:val="20"/>
                <w:lang w:eastAsia="fr-FR"/>
              </w:rPr>
              <w:t>TOTAL PORTEFEUILLE DÉCHETS</w:t>
            </w:r>
          </w:p>
        </w:tc>
        <w:tc>
          <w:tcPr>
            <w:tcW w:w="255" w:type="pct"/>
            <w:noWrap/>
            <w:vAlign w:val="center"/>
          </w:tcPr>
          <w:p w14:paraId="2E3E6CC0" w14:textId="77777777" w:rsidR="006C0FFD" w:rsidRPr="00765DE9" w:rsidRDefault="006C0FFD"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93,0</w:t>
            </w:r>
          </w:p>
        </w:tc>
        <w:tc>
          <w:tcPr>
            <w:tcW w:w="276" w:type="pct"/>
            <w:noWrap/>
            <w:vAlign w:val="center"/>
          </w:tcPr>
          <w:p w14:paraId="2BDED49F" w14:textId="77777777" w:rsidR="006C0FFD" w:rsidRPr="00765DE9" w:rsidRDefault="006C0FFD"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111,4</w:t>
            </w:r>
          </w:p>
        </w:tc>
        <w:tc>
          <w:tcPr>
            <w:tcW w:w="276" w:type="pct"/>
            <w:noWrap/>
            <w:vAlign w:val="center"/>
          </w:tcPr>
          <w:p w14:paraId="1E8FAD8F" w14:textId="77777777" w:rsidR="006C0FFD" w:rsidRPr="00765DE9" w:rsidRDefault="006C0FFD"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144,0</w:t>
            </w:r>
          </w:p>
        </w:tc>
        <w:tc>
          <w:tcPr>
            <w:tcW w:w="276" w:type="pct"/>
            <w:noWrap/>
            <w:vAlign w:val="center"/>
          </w:tcPr>
          <w:p w14:paraId="0901F99B" w14:textId="3CC520F4" w:rsidR="006C0FFD" w:rsidRPr="00765DE9" w:rsidRDefault="00242F12"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288,8</w:t>
            </w:r>
          </w:p>
        </w:tc>
        <w:tc>
          <w:tcPr>
            <w:tcW w:w="276" w:type="pct"/>
            <w:noWrap/>
            <w:vAlign w:val="center"/>
          </w:tcPr>
          <w:p w14:paraId="2BD15AB2" w14:textId="718E09E1" w:rsidR="006C0FFD" w:rsidRPr="00765DE9" w:rsidRDefault="00242F12"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358,5</w:t>
            </w:r>
          </w:p>
        </w:tc>
        <w:tc>
          <w:tcPr>
            <w:tcW w:w="276" w:type="pct"/>
            <w:noWrap/>
            <w:vAlign w:val="center"/>
          </w:tcPr>
          <w:p w14:paraId="199118A9" w14:textId="711DE363" w:rsidR="006C0FFD" w:rsidRPr="00765DE9" w:rsidRDefault="00242F12"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430,0</w:t>
            </w:r>
          </w:p>
        </w:tc>
        <w:tc>
          <w:tcPr>
            <w:tcW w:w="276" w:type="pct"/>
            <w:gridSpan w:val="2"/>
            <w:noWrap/>
            <w:vAlign w:val="center"/>
          </w:tcPr>
          <w:p w14:paraId="6E6BD57F" w14:textId="22A9477A" w:rsidR="006C0FFD" w:rsidRPr="00765DE9" w:rsidRDefault="00242F12"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485,8</w:t>
            </w:r>
          </w:p>
        </w:tc>
        <w:tc>
          <w:tcPr>
            <w:tcW w:w="276" w:type="pct"/>
            <w:tcBorders>
              <w:top w:val="single" w:sz="4" w:space="0" w:color="auto"/>
            </w:tcBorders>
            <w:noWrap/>
            <w:vAlign w:val="center"/>
          </w:tcPr>
          <w:p w14:paraId="39EA5BA1" w14:textId="5327C632" w:rsidR="006C0FFD" w:rsidRPr="00765DE9" w:rsidRDefault="00242F12"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541,9</w:t>
            </w:r>
          </w:p>
        </w:tc>
        <w:tc>
          <w:tcPr>
            <w:tcW w:w="276" w:type="pct"/>
            <w:tcBorders>
              <w:top w:val="single" w:sz="4" w:space="0" w:color="auto"/>
            </w:tcBorders>
            <w:noWrap/>
            <w:vAlign w:val="center"/>
          </w:tcPr>
          <w:p w14:paraId="6EC9F7F1" w14:textId="37EB52D1" w:rsidR="006C0FFD" w:rsidRPr="00765DE9" w:rsidRDefault="00242F12"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598,5</w:t>
            </w:r>
          </w:p>
        </w:tc>
        <w:tc>
          <w:tcPr>
            <w:tcW w:w="276" w:type="pct"/>
            <w:noWrap/>
            <w:vAlign w:val="center"/>
          </w:tcPr>
          <w:p w14:paraId="5539CB31" w14:textId="59D4EFEB" w:rsidR="006C0FFD" w:rsidRPr="00765DE9" w:rsidRDefault="00242F12"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655,6</w:t>
            </w:r>
          </w:p>
        </w:tc>
        <w:tc>
          <w:tcPr>
            <w:tcW w:w="276" w:type="pct"/>
            <w:noWrap/>
            <w:vAlign w:val="center"/>
          </w:tcPr>
          <w:p w14:paraId="2534ED58" w14:textId="5904FBF6" w:rsidR="006C0FFD" w:rsidRPr="00765DE9" w:rsidRDefault="00242F12"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713,2</w:t>
            </w:r>
          </w:p>
        </w:tc>
        <w:tc>
          <w:tcPr>
            <w:tcW w:w="276" w:type="pct"/>
            <w:noWrap/>
            <w:vAlign w:val="center"/>
          </w:tcPr>
          <w:p w14:paraId="7A821AF0" w14:textId="2F42F44B" w:rsidR="006C0FFD" w:rsidRPr="00765DE9" w:rsidRDefault="00242F12"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771,2</w:t>
            </w:r>
          </w:p>
        </w:tc>
        <w:tc>
          <w:tcPr>
            <w:tcW w:w="274" w:type="pct"/>
            <w:noWrap/>
            <w:vAlign w:val="center"/>
          </w:tcPr>
          <w:p w14:paraId="6C505E73" w14:textId="36A2B89D" w:rsidR="006C0FFD" w:rsidRPr="00765DE9" w:rsidRDefault="00242F12" w:rsidP="008966E4">
            <w:pPr>
              <w:spacing w:after="0" w:line="240" w:lineRule="auto"/>
              <w:jc w:val="center"/>
              <w:rPr>
                <w:rFonts w:asciiTheme="minorHAnsi" w:eastAsia="Times New Roman" w:hAnsiTheme="minorHAnsi" w:cstheme="minorHAnsi"/>
                <w:b/>
                <w:color w:val="000000"/>
                <w:sz w:val="20"/>
                <w:szCs w:val="20"/>
                <w:lang w:eastAsia="fr-FR"/>
              </w:rPr>
            </w:pPr>
            <w:r w:rsidRPr="00D01B27">
              <w:rPr>
                <w:sz w:val="20"/>
                <w:szCs w:val="20"/>
              </w:rPr>
              <w:t>829,8</w:t>
            </w:r>
          </w:p>
        </w:tc>
      </w:tr>
    </w:tbl>
    <w:p w14:paraId="36B2962E" w14:textId="77777777" w:rsidR="00E71EC3" w:rsidRPr="00E71EC3" w:rsidRDefault="00E71EC3" w:rsidP="008F7B01">
      <w:pPr>
        <w:spacing w:before="120" w:after="120"/>
        <w:jc w:val="both"/>
      </w:pPr>
      <w:r w:rsidRPr="00E71EC3">
        <w:t xml:space="preserve">Sur la base des émissions évitées estimées par mesure et de la ligne de base sectorielle déjà établie, la ligne d’atténuation du secteur des déchets a été déterminée pour la période </w:t>
      </w:r>
      <w:r w:rsidRPr="005850FF">
        <w:t>2023–2035</w:t>
      </w:r>
      <w:r w:rsidRPr="00E71EC3">
        <w:t>. Cette trajectoire correspond aux émissions projetées du secteur après prise en compte des réductions d’émissions attendues des mesures retenues dans le portefeuille de la CDN 3.0.</w:t>
      </w:r>
    </w:p>
    <w:p w14:paraId="7C383760" w14:textId="2FCF9B23" w:rsidR="00E71EC3" w:rsidRPr="00E71EC3" w:rsidRDefault="00E71EC3" w:rsidP="008F7B01">
      <w:pPr>
        <w:spacing w:before="120" w:after="120"/>
        <w:jc w:val="both"/>
      </w:pPr>
      <w:r w:rsidRPr="00E71EC3">
        <w:t xml:space="preserve">La ligne de base du secteur passe de </w:t>
      </w:r>
      <w:r w:rsidRPr="005850FF">
        <w:t>2 249 ktCO₂e en 2023</w:t>
      </w:r>
      <w:r w:rsidRPr="00E71EC3">
        <w:t xml:space="preserve"> à </w:t>
      </w:r>
      <w:r w:rsidRPr="005850FF">
        <w:t>3 362 ktCO₂e en 2035</w:t>
      </w:r>
      <w:r w:rsidRPr="00E71EC3">
        <w:t xml:space="preserve">. Après intégration des mesures d’atténuation, la ligne d’atténuation passe de </w:t>
      </w:r>
      <w:r w:rsidRPr="005850FF">
        <w:t>2 156 ktCO₂e en 2023</w:t>
      </w:r>
      <w:r w:rsidRPr="00E71EC3">
        <w:t xml:space="preserve"> à </w:t>
      </w:r>
      <w:r w:rsidRPr="005850FF">
        <w:t xml:space="preserve">2 </w:t>
      </w:r>
      <w:r w:rsidR="00BD57F5">
        <w:t>53</w:t>
      </w:r>
      <w:r w:rsidR="00C808C5">
        <w:t>2</w:t>
      </w:r>
      <w:r w:rsidRPr="005850FF">
        <w:t xml:space="preserve"> ktCO₂e en 2035</w:t>
      </w:r>
      <w:r w:rsidRPr="00E71EC3">
        <w:t>.</w:t>
      </w:r>
    </w:p>
    <w:p w14:paraId="518A750F" w14:textId="77777777" w:rsidR="00E71EC3" w:rsidRDefault="00E71EC3" w:rsidP="00A427E8">
      <w:pPr>
        <w:jc w:val="both"/>
      </w:pPr>
    </w:p>
    <w:p w14:paraId="52EBF56F" w14:textId="4184F5C5" w:rsidR="002D6A32" w:rsidRPr="008F7B01" w:rsidRDefault="002D6A32" w:rsidP="001F1DD6">
      <w:pPr>
        <w:pStyle w:val="Lgende"/>
        <w:keepNext/>
        <w:spacing w:after="0"/>
        <w:jc w:val="center"/>
        <w:rPr>
          <w:sz w:val="20"/>
          <w:szCs w:val="20"/>
        </w:rPr>
      </w:pPr>
      <w:bookmarkStart w:id="81" w:name="_Toc234853956"/>
      <w:r w:rsidRPr="008F7B01">
        <w:rPr>
          <w:sz w:val="20"/>
          <w:szCs w:val="20"/>
        </w:rPr>
        <w:lastRenderedPageBreak/>
        <w:t xml:space="preserve">Tableau </w:t>
      </w:r>
      <w:r w:rsidRPr="008F7B01">
        <w:rPr>
          <w:sz w:val="20"/>
          <w:szCs w:val="20"/>
        </w:rPr>
        <w:fldChar w:fldCharType="begin"/>
      </w:r>
      <w:r w:rsidRPr="008F7B01">
        <w:rPr>
          <w:sz w:val="20"/>
          <w:szCs w:val="20"/>
        </w:rPr>
        <w:instrText xml:space="preserve"> SEQ Tableau \* ARABIC </w:instrText>
      </w:r>
      <w:r w:rsidRPr="008F7B01">
        <w:rPr>
          <w:sz w:val="20"/>
          <w:szCs w:val="20"/>
        </w:rPr>
        <w:fldChar w:fldCharType="separate"/>
      </w:r>
      <w:r w:rsidR="0018772E">
        <w:rPr>
          <w:noProof/>
          <w:sz w:val="20"/>
          <w:szCs w:val="20"/>
        </w:rPr>
        <w:t>32</w:t>
      </w:r>
      <w:r w:rsidRPr="008F7B01">
        <w:rPr>
          <w:sz w:val="20"/>
          <w:szCs w:val="20"/>
        </w:rPr>
        <w:fldChar w:fldCharType="end"/>
      </w:r>
      <w:r w:rsidRPr="008F7B01">
        <w:rPr>
          <w:sz w:val="20"/>
          <w:szCs w:val="20"/>
        </w:rPr>
        <w:t xml:space="preserve"> : </w:t>
      </w:r>
      <w:r w:rsidR="00925DAB" w:rsidRPr="008F7B01">
        <w:rPr>
          <w:sz w:val="20"/>
          <w:szCs w:val="20"/>
        </w:rPr>
        <w:t>Trajectoires de référence et d’atténuation du secteur des déchets sur la période 2023–2035, en ktCO₂e</w:t>
      </w:r>
      <w:bookmarkEnd w:id="81"/>
    </w:p>
    <w:tbl>
      <w:tblPr>
        <w:tblStyle w:val="Tableausimple2"/>
        <w:tblW w:w="11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7"/>
        <w:gridCol w:w="734"/>
        <w:gridCol w:w="735"/>
        <w:gridCol w:w="735"/>
        <w:gridCol w:w="735"/>
        <w:gridCol w:w="734"/>
        <w:gridCol w:w="735"/>
        <w:gridCol w:w="735"/>
        <w:gridCol w:w="735"/>
        <w:gridCol w:w="734"/>
        <w:gridCol w:w="735"/>
        <w:gridCol w:w="735"/>
        <w:gridCol w:w="735"/>
        <w:gridCol w:w="735"/>
      </w:tblGrid>
      <w:tr w:rsidR="002D6A32" w:rsidRPr="003842CB" w14:paraId="7D6D1C76" w14:textId="77777777" w:rsidTr="00AF59B9">
        <w:trPr>
          <w:cnfStyle w:val="100000000000" w:firstRow="1" w:lastRow="0" w:firstColumn="0" w:lastColumn="0" w:oddVBand="0" w:evenVBand="0" w:oddHBand="0"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1947" w:type="dxa"/>
            <w:tcBorders>
              <w:top w:val="nil"/>
              <w:left w:val="nil"/>
              <w:bottom w:val="single" w:sz="4" w:space="0" w:color="auto"/>
              <w:right w:val="nil"/>
            </w:tcBorders>
            <w:noWrap/>
            <w:vAlign w:val="center"/>
            <w:hideMark/>
          </w:tcPr>
          <w:p w14:paraId="76C93EC4" w14:textId="77777777" w:rsidR="002D6A32" w:rsidRPr="003842CB" w:rsidRDefault="002D6A32" w:rsidP="002D6A32">
            <w:pPr>
              <w:jc w:val="center"/>
              <w:rPr>
                <w:rFonts w:ascii="Times New Roman" w:eastAsia="Times New Roman" w:hAnsi="Times New Roman" w:cs="Times New Roman"/>
                <w:sz w:val="20"/>
                <w:szCs w:val="20"/>
                <w:lang w:eastAsia="fr-FR"/>
              </w:rPr>
            </w:pPr>
          </w:p>
        </w:tc>
        <w:tc>
          <w:tcPr>
            <w:tcW w:w="734" w:type="dxa"/>
            <w:tcBorders>
              <w:left w:val="nil"/>
            </w:tcBorders>
            <w:shd w:val="clear" w:color="auto" w:fill="1F4E79" w:themeFill="accent1" w:themeFillShade="80"/>
            <w:noWrap/>
            <w:vAlign w:val="center"/>
            <w:hideMark/>
          </w:tcPr>
          <w:p w14:paraId="2179D8BF"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2023</w:t>
            </w:r>
          </w:p>
        </w:tc>
        <w:tc>
          <w:tcPr>
            <w:tcW w:w="735" w:type="dxa"/>
            <w:shd w:val="clear" w:color="auto" w:fill="1F4E79" w:themeFill="accent1" w:themeFillShade="80"/>
            <w:noWrap/>
            <w:vAlign w:val="center"/>
            <w:hideMark/>
          </w:tcPr>
          <w:p w14:paraId="5A7CCE75"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2024</w:t>
            </w:r>
          </w:p>
        </w:tc>
        <w:tc>
          <w:tcPr>
            <w:tcW w:w="735" w:type="dxa"/>
            <w:shd w:val="clear" w:color="auto" w:fill="1F4E79" w:themeFill="accent1" w:themeFillShade="80"/>
            <w:noWrap/>
            <w:vAlign w:val="center"/>
            <w:hideMark/>
          </w:tcPr>
          <w:p w14:paraId="01094BC1"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2025</w:t>
            </w:r>
          </w:p>
        </w:tc>
        <w:tc>
          <w:tcPr>
            <w:tcW w:w="735" w:type="dxa"/>
            <w:shd w:val="clear" w:color="auto" w:fill="1F4E79" w:themeFill="accent1" w:themeFillShade="80"/>
            <w:noWrap/>
            <w:vAlign w:val="center"/>
            <w:hideMark/>
          </w:tcPr>
          <w:p w14:paraId="5CABD825"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2026</w:t>
            </w:r>
          </w:p>
        </w:tc>
        <w:tc>
          <w:tcPr>
            <w:tcW w:w="734" w:type="dxa"/>
            <w:shd w:val="clear" w:color="auto" w:fill="1F4E79" w:themeFill="accent1" w:themeFillShade="80"/>
            <w:noWrap/>
            <w:vAlign w:val="center"/>
            <w:hideMark/>
          </w:tcPr>
          <w:p w14:paraId="478FE3A6"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2027</w:t>
            </w:r>
          </w:p>
        </w:tc>
        <w:tc>
          <w:tcPr>
            <w:tcW w:w="735" w:type="dxa"/>
            <w:shd w:val="clear" w:color="auto" w:fill="1F4E79" w:themeFill="accent1" w:themeFillShade="80"/>
            <w:noWrap/>
            <w:vAlign w:val="center"/>
            <w:hideMark/>
          </w:tcPr>
          <w:p w14:paraId="761D454C"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2028</w:t>
            </w:r>
          </w:p>
        </w:tc>
        <w:tc>
          <w:tcPr>
            <w:tcW w:w="735" w:type="dxa"/>
            <w:shd w:val="clear" w:color="auto" w:fill="1F4E79" w:themeFill="accent1" w:themeFillShade="80"/>
            <w:noWrap/>
            <w:vAlign w:val="center"/>
            <w:hideMark/>
          </w:tcPr>
          <w:p w14:paraId="5BF86753"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2029</w:t>
            </w:r>
          </w:p>
        </w:tc>
        <w:tc>
          <w:tcPr>
            <w:tcW w:w="735" w:type="dxa"/>
            <w:shd w:val="clear" w:color="auto" w:fill="1F4E79" w:themeFill="accent1" w:themeFillShade="80"/>
            <w:noWrap/>
            <w:vAlign w:val="center"/>
            <w:hideMark/>
          </w:tcPr>
          <w:p w14:paraId="63A0B896"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2030</w:t>
            </w:r>
          </w:p>
        </w:tc>
        <w:tc>
          <w:tcPr>
            <w:tcW w:w="734" w:type="dxa"/>
            <w:shd w:val="clear" w:color="auto" w:fill="1F4E79" w:themeFill="accent1" w:themeFillShade="80"/>
            <w:noWrap/>
            <w:vAlign w:val="center"/>
            <w:hideMark/>
          </w:tcPr>
          <w:p w14:paraId="27D63FBD"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2031</w:t>
            </w:r>
          </w:p>
        </w:tc>
        <w:tc>
          <w:tcPr>
            <w:tcW w:w="735" w:type="dxa"/>
            <w:shd w:val="clear" w:color="auto" w:fill="1F4E79" w:themeFill="accent1" w:themeFillShade="80"/>
            <w:noWrap/>
            <w:vAlign w:val="center"/>
            <w:hideMark/>
          </w:tcPr>
          <w:p w14:paraId="6158090E"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2032</w:t>
            </w:r>
          </w:p>
        </w:tc>
        <w:tc>
          <w:tcPr>
            <w:tcW w:w="735" w:type="dxa"/>
            <w:shd w:val="clear" w:color="auto" w:fill="1F4E79" w:themeFill="accent1" w:themeFillShade="80"/>
            <w:noWrap/>
            <w:vAlign w:val="center"/>
            <w:hideMark/>
          </w:tcPr>
          <w:p w14:paraId="09603E4C"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2033</w:t>
            </w:r>
          </w:p>
        </w:tc>
        <w:tc>
          <w:tcPr>
            <w:tcW w:w="735" w:type="dxa"/>
            <w:shd w:val="clear" w:color="auto" w:fill="1F4E79" w:themeFill="accent1" w:themeFillShade="80"/>
            <w:noWrap/>
            <w:vAlign w:val="center"/>
            <w:hideMark/>
          </w:tcPr>
          <w:p w14:paraId="4C42A5C7"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2034</w:t>
            </w:r>
          </w:p>
        </w:tc>
        <w:tc>
          <w:tcPr>
            <w:tcW w:w="735" w:type="dxa"/>
            <w:shd w:val="clear" w:color="auto" w:fill="1F4E79" w:themeFill="accent1" w:themeFillShade="80"/>
            <w:noWrap/>
            <w:vAlign w:val="center"/>
            <w:hideMark/>
          </w:tcPr>
          <w:p w14:paraId="33DE97AA" w14:textId="77777777" w:rsidR="002D6A32" w:rsidRPr="003842CB" w:rsidRDefault="002D6A32" w:rsidP="002D6A32">
            <w:pPr>
              <w:jc w:val="center"/>
              <w:cnfStyle w:val="100000000000" w:firstRow="1" w:lastRow="0" w:firstColumn="0" w:lastColumn="0" w:oddVBand="0" w:evenVBand="0" w:oddHBand="0" w:evenHBand="0" w:firstRowFirstColumn="0" w:firstRowLastColumn="0" w:lastRowFirstColumn="0" w:lastRowLastColumn="0"/>
              <w:rPr>
                <w:rFonts w:eastAsia="Times New Roman"/>
                <w:color w:val="FFFFFF" w:themeColor="background1"/>
                <w:sz w:val="20"/>
                <w:szCs w:val="20"/>
                <w:lang w:eastAsia="fr-FR"/>
              </w:rPr>
            </w:pPr>
            <w:r w:rsidRPr="003842CB">
              <w:rPr>
                <w:rFonts w:eastAsia="Times New Roman"/>
                <w:color w:val="FFFFFF" w:themeColor="background1"/>
                <w:sz w:val="20"/>
                <w:szCs w:val="20"/>
                <w:lang w:eastAsia="fr-FR"/>
              </w:rPr>
              <w:t>2035</w:t>
            </w:r>
          </w:p>
        </w:tc>
      </w:tr>
      <w:tr w:rsidR="002D6A32" w:rsidRPr="003842CB" w14:paraId="20907743" w14:textId="77777777" w:rsidTr="00AF59B9">
        <w:trPr>
          <w:cnfStyle w:val="000000100000" w:firstRow="0" w:lastRow="0" w:firstColumn="0" w:lastColumn="0" w:oddVBand="0" w:evenVBand="0" w:oddHBand="1"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1947" w:type="dxa"/>
            <w:tcBorders>
              <w:top w:val="single" w:sz="4" w:space="0" w:color="auto"/>
            </w:tcBorders>
            <w:shd w:val="clear" w:color="auto" w:fill="D0CECE" w:themeFill="background2" w:themeFillShade="E6"/>
            <w:noWrap/>
            <w:vAlign w:val="center"/>
            <w:hideMark/>
          </w:tcPr>
          <w:p w14:paraId="5DE9D48D" w14:textId="77777777" w:rsidR="002D6A32" w:rsidRPr="003842CB" w:rsidRDefault="002D6A32" w:rsidP="002D6A32">
            <w:pPr>
              <w:jc w:val="center"/>
              <w:rPr>
                <w:rFonts w:eastAsia="Times New Roman"/>
                <w:sz w:val="20"/>
                <w:szCs w:val="20"/>
                <w:lang w:eastAsia="fr-FR"/>
              </w:rPr>
            </w:pPr>
            <w:r w:rsidRPr="003842CB">
              <w:rPr>
                <w:rFonts w:eastAsia="Times New Roman"/>
                <w:sz w:val="20"/>
                <w:szCs w:val="20"/>
                <w:lang w:eastAsia="fr-FR"/>
              </w:rPr>
              <w:t>Ligne de base ktCO</w:t>
            </w:r>
            <w:r w:rsidRPr="003842CB">
              <w:rPr>
                <w:rFonts w:eastAsia="Times New Roman"/>
                <w:sz w:val="20"/>
                <w:szCs w:val="20"/>
                <w:vertAlign w:val="subscript"/>
                <w:lang w:eastAsia="fr-FR"/>
              </w:rPr>
              <w:t>2</w:t>
            </w:r>
            <w:r w:rsidRPr="003842CB">
              <w:rPr>
                <w:rFonts w:eastAsia="Times New Roman"/>
                <w:sz w:val="20"/>
                <w:szCs w:val="20"/>
                <w:lang w:eastAsia="fr-FR"/>
              </w:rPr>
              <w:t>eq secteur déchet</w:t>
            </w:r>
          </w:p>
        </w:tc>
        <w:tc>
          <w:tcPr>
            <w:tcW w:w="734" w:type="dxa"/>
            <w:noWrap/>
            <w:vAlign w:val="center"/>
            <w:hideMark/>
          </w:tcPr>
          <w:p w14:paraId="6E8BFE76" w14:textId="5A43E6FF"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249</w:t>
            </w:r>
          </w:p>
        </w:tc>
        <w:tc>
          <w:tcPr>
            <w:tcW w:w="735" w:type="dxa"/>
            <w:noWrap/>
            <w:vAlign w:val="center"/>
            <w:hideMark/>
          </w:tcPr>
          <w:p w14:paraId="0BADDB86" w14:textId="2B9F5AB1"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328</w:t>
            </w:r>
          </w:p>
        </w:tc>
        <w:tc>
          <w:tcPr>
            <w:tcW w:w="735" w:type="dxa"/>
            <w:noWrap/>
            <w:vAlign w:val="center"/>
            <w:hideMark/>
          </w:tcPr>
          <w:p w14:paraId="27CB5176" w14:textId="59CE5C2A"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409</w:t>
            </w:r>
          </w:p>
        </w:tc>
        <w:tc>
          <w:tcPr>
            <w:tcW w:w="735" w:type="dxa"/>
            <w:noWrap/>
            <w:vAlign w:val="center"/>
            <w:hideMark/>
          </w:tcPr>
          <w:p w14:paraId="3E00F508" w14:textId="4DD64B51"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492</w:t>
            </w:r>
          </w:p>
        </w:tc>
        <w:tc>
          <w:tcPr>
            <w:tcW w:w="734" w:type="dxa"/>
            <w:noWrap/>
            <w:vAlign w:val="center"/>
            <w:hideMark/>
          </w:tcPr>
          <w:p w14:paraId="45C51397" w14:textId="70E2C82A"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578</w:t>
            </w:r>
          </w:p>
        </w:tc>
        <w:tc>
          <w:tcPr>
            <w:tcW w:w="735" w:type="dxa"/>
            <w:noWrap/>
            <w:vAlign w:val="center"/>
            <w:hideMark/>
          </w:tcPr>
          <w:p w14:paraId="348D5FF9" w14:textId="150292BD"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666</w:t>
            </w:r>
          </w:p>
        </w:tc>
        <w:tc>
          <w:tcPr>
            <w:tcW w:w="735" w:type="dxa"/>
            <w:noWrap/>
            <w:vAlign w:val="center"/>
            <w:hideMark/>
          </w:tcPr>
          <w:p w14:paraId="2EA79E50" w14:textId="6504A55B"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757</w:t>
            </w:r>
          </w:p>
        </w:tc>
        <w:tc>
          <w:tcPr>
            <w:tcW w:w="735" w:type="dxa"/>
            <w:noWrap/>
            <w:vAlign w:val="center"/>
            <w:hideMark/>
          </w:tcPr>
          <w:p w14:paraId="6F712825" w14:textId="3EC35EAA"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851</w:t>
            </w:r>
          </w:p>
        </w:tc>
        <w:tc>
          <w:tcPr>
            <w:tcW w:w="734" w:type="dxa"/>
            <w:noWrap/>
            <w:vAlign w:val="center"/>
            <w:hideMark/>
          </w:tcPr>
          <w:p w14:paraId="631DFF69" w14:textId="4B0218B9"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947</w:t>
            </w:r>
          </w:p>
        </w:tc>
        <w:tc>
          <w:tcPr>
            <w:tcW w:w="735" w:type="dxa"/>
            <w:noWrap/>
            <w:vAlign w:val="center"/>
            <w:hideMark/>
          </w:tcPr>
          <w:p w14:paraId="10DC559C" w14:textId="5898CA68"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3</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046</w:t>
            </w:r>
          </w:p>
        </w:tc>
        <w:tc>
          <w:tcPr>
            <w:tcW w:w="735" w:type="dxa"/>
            <w:noWrap/>
            <w:vAlign w:val="center"/>
            <w:hideMark/>
          </w:tcPr>
          <w:p w14:paraId="6FCCFBD0" w14:textId="43083008"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3</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148</w:t>
            </w:r>
          </w:p>
        </w:tc>
        <w:tc>
          <w:tcPr>
            <w:tcW w:w="735" w:type="dxa"/>
            <w:noWrap/>
            <w:vAlign w:val="center"/>
            <w:hideMark/>
          </w:tcPr>
          <w:p w14:paraId="25E558F8" w14:textId="044AE1A5"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3</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253</w:t>
            </w:r>
          </w:p>
        </w:tc>
        <w:tc>
          <w:tcPr>
            <w:tcW w:w="735" w:type="dxa"/>
            <w:noWrap/>
            <w:vAlign w:val="center"/>
            <w:hideMark/>
          </w:tcPr>
          <w:p w14:paraId="6A92E60D" w14:textId="0D074E52" w:rsidR="002D6A32" w:rsidRPr="003842CB" w:rsidRDefault="002D6A32" w:rsidP="002D6A32">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3</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362</w:t>
            </w:r>
          </w:p>
        </w:tc>
      </w:tr>
      <w:tr w:rsidR="002D6A32" w:rsidRPr="003842CB" w14:paraId="4880CE77" w14:textId="77777777" w:rsidTr="00AF59B9">
        <w:trPr>
          <w:trHeight w:val="342"/>
          <w:jc w:val="center"/>
        </w:trPr>
        <w:tc>
          <w:tcPr>
            <w:cnfStyle w:val="001000000000" w:firstRow="0" w:lastRow="0" w:firstColumn="1" w:lastColumn="0" w:oddVBand="0" w:evenVBand="0" w:oddHBand="0" w:evenHBand="0" w:firstRowFirstColumn="0" w:firstRowLastColumn="0" w:lastRowFirstColumn="0" w:lastRowLastColumn="0"/>
            <w:tcW w:w="1947" w:type="dxa"/>
            <w:shd w:val="clear" w:color="auto" w:fill="D0CECE" w:themeFill="background2" w:themeFillShade="E6"/>
            <w:noWrap/>
            <w:vAlign w:val="center"/>
            <w:hideMark/>
          </w:tcPr>
          <w:p w14:paraId="613C0673" w14:textId="77777777" w:rsidR="002D6A32" w:rsidRPr="003842CB" w:rsidRDefault="002D6A32" w:rsidP="002D6A32">
            <w:pPr>
              <w:jc w:val="center"/>
              <w:rPr>
                <w:rFonts w:eastAsia="Times New Roman"/>
                <w:sz w:val="20"/>
                <w:szCs w:val="20"/>
                <w:lang w:eastAsia="fr-FR"/>
              </w:rPr>
            </w:pPr>
            <w:r w:rsidRPr="003842CB">
              <w:rPr>
                <w:rFonts w:eastAsia="Times New Roman"/>
                <w:sz w:val="20"/>
                <w:szCs w:val="20"/>
                <w:lang w:eastAsia="fr-FR"/>
              </w:rPr>
              <w:t>Ligne d'atténuation ktCO</w:t>
            </w:r>
            <w:r w:rsidRPr="003842CB">
              <w:rPr>
                <w:rFonts w:eastAsia="Times New Roman"/>
                <w:sz w:val="20"/>
                <w:szCs w:val="20"/>
                <w:vertAlign w:val="subscript"/>
                <w:lang w:eastAsia="fr-FR"/>
              </w:rPr>
              <w:t>2</w:t>
            </w:r>
            <w:r w:rsidRPr="003842CB">
              <w:rPr>
                <w:rFonts w:eastAsia="Times New Roman"/>
                <w:sz w:val="20"/>
                <w:szCs w:val="20"/>
                <w:lang w:eastAsia="fr-FR"/>
              </w:rPr>
              <w:t>eq secteur déchet</w:t>
            </w:r>
          </w:p>
        </w:tc>
        <w:tc>
          <w:tcPr>
            <w:tcW w:w="734" w:type="dxa"/>
            <w:noWrap/>
            <w:vAlign w:val="center"/>
            <w:hideMark/>
          </w:tcPr>
          <w:p w14:paraId="56D0640F" w14:textId="26665A3A"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156</w:t>
            </w:r>
          </w:p>
        </w:tc>
        <w:tc>
          <w:tcPr>
            <w:tcW w:w="735" w:type="dxa"/>
            <w:noWrap/>
            <w:vAlign w:val="center"/>
            <w:hideMark/>
          </w:tcPr>
          <w:p w14:paraId="139B7E13" w14:textId="7F6A9E0A"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217</w:t>
            </w:r>
          </w:p>
        </w:tc>
        <w:tc>
          <w:tcPr>
            <w:tcW w:w="735" w:type="dxa"/>
            <w:noWrap/>
            <w:vAlign w:val="center"/>
            <w:hideMark/>
          </w:tcPr>
          <w:p w14:paraId="4F406496" w14:textId="39DAD229"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Pr="003842CB">
              <w:rPr>
                <w:rFonts w:eastAsia="Times New Roman"/>
                <w:color w:val="000000"/>
                <w:sz w:val="20"/>
                <w:szCs w:val="20"/>
                <w:lang w:eastAsia="fr-FR"/>
              </w:rPr>
              <w:t>265</w:t>
            </w:r>
          </w:p>
        </w:tc>
        <w:tc>
          <w:tcPr>
            <w:tcW w:w="735" w:type="dxa"/>
            <w:noWrap/>
            <w:vAlign w:val="center"/>
            <w:hideMark/>
          </w:tcPr>
          <w:p w14:paraId="745FA57B" w14:textId="6BF7F651"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00AF59B9" w:rsidRPr="00AF59B9">
              <w:rPr>
                <w:rFonts w:eastAsia="Times New Roman"/>
                <w:color w:val="000000"/>
                <w:sz w:val="20"/>
                <w:szCs w:val="20"/>
                <w:lang w:eastAsia="fr-FR"/>
              </w:rPr>
              <w:t>204</w:t>
            </w:r>
          </w:p>
        </w:tc>
        <w:tc>
          <w:tcPr>
            <w:tcW w:w="734" w:type="dxa"/>
            <w:noWrap/>
            <w:vAlign w:val="center"/>
            <w:hideMark/>
          </w:tcPr>
          <w:p w14:paraId="145C5B78" w14:textId="0EB86FF6"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00AF59B9" w:rsidRPr="00AF59B9">
              <w:rPr>
                <w:rFonts w:eastAsia="Times New Roman"/>
                <w:color w:val="000000"/>
                <w:sz w:val="20"/>
                <w:szCs w:val="20"/>
                <w:lang w:eastAsia="fr-FR"/>
              </w:rPr>
              <w:t>220</w:t>
            </w:r>
          </w:p>
        </w:tc>
        <w:tc>
          <w:tcPr>
            <w:tcW w:w="735" w:type="dxa"/>
            <w:noWrap/>
            <w:vAlign w:val="center"/>
            <w:hideMark/>
          </w:tcPr>
          <w:p w14:paraId="362DC0C5" w14:textId="60ACCE83"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00AF59B9" w:rsidRPr="00AF59B9">
              <w:rPr>
                <w:rFonts w:eastAsia="Times New Roman"/>
                <w:color w:val="000000"/>
                <w:sz w:val="20"/>
                <w:szCs w:val="20"/>
                <w:lang w:eastAsia="fr-FR"/>
              </w:rPr>
              <w:t>236</w:t>
            </w:r>
          </w:p>
        </w:tc>
        <w:tc>
          <w:tcPr>
            <w:tcW w:w="735" w:type="dxa"/>
            <w:noWrap/>
            <w:vAlign w:val="center"/>
            <w:hideMark/>
          </w:tcPr>
          <w:p w14:paraId="1449058F" w14:textId="76939342"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00AF59B9" w:rsidRPr="00AF59B9">
              <w:rPr>
                <w:rFonts w:eastAsia="Times New Roman"/>
                <w:color w:val="000000"/>
                <w:sz w:val="20"/>
                <w:szCs w:val="20"/>
                <w:lang w:eastAsia="fr-FR"/>
              </w:rPr>
              <w:t>272</w:t>
            </w:r>
          </w:p>
        </w:tc>
        <w:tc>
          <w:tcPr>
            <w:tcW w:w="735" w:type="dxa"/>
            <w:noWrap/>
            <w:vAlign w:val="center"/>
            <w:hideMark/>
          </w:tcPr>
          <w:p w14:paraId="5066F712" w14:textId="11DB9E76"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00AF59B9" w:rsidRPr="00AF59B9">
              <w:rPr>
                <w:rFonts w:eastAsia="Times New Roman"/>
                <w:color w:val="000000"/>
                <w:sz w:val="20"/>
                <w:szCs w:val="20"/>
                <w:lang w:eastAsia="fr-FR"/>
              </w:rPr>
              <w:t>309</w:t>
            </w:r>
          </w:p>
        </w:tc>
        <w:tc>
          <w:tcPr>
            <w:tcW w:w="734" w:type="dxa"/>
            <w:noWrap/>
            <w:vAlign w:val="center"/>
            <w:hideMark/>
          </w:tcPr>
          <w:p w14:paraId="19214941" w14:textId="0168D94B"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00AF59B9" w:rsidRPr="00AF59B9">
              <w:rPr>
                <w:rFonts w:eastAsia="Times New Roman"/>
                <w:color w:val="000000"/>
                <w:sz w:val="20"/>
                <w:szCs w:val="20"/>
                <w:lang w:eastAsia="fr-FR"/>
              </w:rPr>
              <w:t>349</w:t>
            </w:r>
          </w:p>
        </w:tc>
        <w:tc>
          <w:tcPr>
            <w:tcW w:w="735" w:type="dxa"/>
            <w:noWrap/>
            <w:vAlign w:val="center"/>
            <w:hideMark/>
          </w:tcPr>
          <w:p w14:paraId="2D0402AE" w14:textId="6AEDFCC8"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00AF59B9" w:rsidRPr="00AF59B9">
              <w:rPr>
                <w:rFonts w:eastAsia="Times New Roman"/>
                <w:color w:val="000000"/>
                <w:sz w:val="20"/>
                <w:szCs w:val="20"/>
                <w:lang w:eastAsia="fr-FR"/>
              </w:rPr>
              <w:t>391</w:t>
            </w:r>
          </w:p>
        </w:tc>
        <w:tc>
          <w:tcPr>
            <w:tcW w:w="735" w:type="dxa"/>
            <w:noWrap/>
            <w:vAlign w:val="center"/>
            <w:hideMark/>
          </w:tcPr>
          <w:p w14:paraId="0DE78C4E" w14:textId="06BBAAFC"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00AF59B9" w:rsidRPr="00AF59B9">
              <w:rPr>
                <w:rFonts w:eastAsia="Times New Roman"/>
                <w:color w:val="000000"/>
                <w:sz w:val="20"/>
                <w:szCs w:val="20"/>
                <w:lang w:eastAsia="fr-FR"/>
              </w:rPr>
              <w:t>435</w:t>
            </w:r>
          </w:p>
        </w:tc>
        <w:tc>
          <w:tcPr>
            <w:tcW w:w="735" w:type="dxa"/>
            <w:noWrap/>
            <w:vAlign w:val="center"/>
            <w:hideMark/>
          </w:tcPr>
          <w:p w14:paraId="06FE3D91" w14:textId="25325500"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00AF59B9" w:rsidRPr="00AF59B9">
              <w:rPr>
                <w:rFonts w:eastAsia="Times New Roman"/>
                <w:color w:val="000000"/>
                <w:sz w:val="20"/>
                <w:szCs w:val="20"/>
                <w:lang w:eastAsia="fr-FR"/>
              </w:rPr>
              <w:t>482</w:t>
            </w:r>
          </w:p>
        </w:tc>
        <w:tc>
          <w:tcPr>
            <w:tcW w:w="735" w:type="dxa"/>
            <w:noWrap/>
            <w:vAlign w:val="center"/>
            <w:hideMark/>
          </w:tcPr>
          <w:p w14:paraId="628CA41D" w14:textId="1DEC4BF2" w:rsidR="002D6A32" w:rsidRPr="003842CB" w:rsidRDefault="002D6A32" w:rsidP="002D6A32">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fr-FR"/>
              </w:rPr>
            </w:pPr>
            <w:r w:rsidRPr="003842CB">
              <w:rPr>
                <w:rFonts w:eastAsia="Times New Roman"/>
                <w:color w:val="000000"/>
                <w:sz w:val="20"/>
                <w:szCs w:val="20"/>
                <w:lang w:eastAsia="fr-FR"/>
              </w:rPr>
              <w:t>2</w:t>
            </w:r>
            <w:r w:rsidR="00925DAB" w:rsidRPr="003842CB">
              <w:rPr>
                <w:rFonts w:eastAsia="Times New Roman"/>
                <w:color w:val="000000"/>
                <w:sz w:val="20"/>
                <w:szCs w:val="20"/>
                <w:lang w:eastAsia="fr-FR"/>
              </w:rPr>
              <w:t xml:space="preserve"> </w:t>
            </w:r>
            <w:r w:rsidR="00AF59B9" w:rsidRPr="00AF59B9">
              <w:rPr>
                <w:rFonts w:eastAsia="Times New Roman"/>
                <w:color w:val="000000"/>
                <w:sz w:val="20"/>
                <w:szCs w:val="20"/>
                <w:lang w:eastAsia="fr-FR"/>
              </w:rPr>
              <w:t>532</w:t>
            </w:r>
          </w:p>
        </w:tc>
      </w:tr>
    </w:tbl>
    <w:p w14:paraId="2E6A9EC5" w14:textId="1F5A6AB9" w:rsidR="001D6895" w:rsidRDefault="00D708CA" w:rsidP="001D6895">
      <w:pPr>
        <w:spacing w:before="240" w:after="360"/>
        <w:jc w:val="both"/>
      </w:pPr>
      <w:r w:rsidRPr="00D708CA">
        <w:t xml:space="preserve">L’écart entre les deux trajectoires représente l’impact annuel du portefeuille déchets. En 2035, cet écart atteint </w:t>
      </w:r>
      <w:r w:rsidR="00C808C5">
        <w:t>830</w:t>
      </w:r>
      <w:r w:rsidRPr="00D708CA">
        <w:t xml:space="preserve"> ktCO₂e, correspondant à une réduction d’environ </w:t>
      </w:r>
      <w:r w:rsidR="00BA4CF1">
        <w:t>24</w:t>
      </w:r>
      <w:r w:rsidRPr="00D708CA">
        <w:t>,</w:t>
      </w:r>
      <w:r w:rsidR="00BA4CF1">
        <w:t>7</w:t>
      </w:r>
      <w:r w:rsidRPr="00D708CA">
        <w:t xml:space="preserve"> % par rapport à la ligne de base du secteur. Ce niveau de réduction constitue l’objectif sectoriel d’atténuation retenu pour le secteur des déchets à l’horizon 2035 dans le cadre de la CDN 3.0.</w:t>
      </w:r>
      <w:r w:rsidR="007A5BFF">
        <w:t xml:space="preserve"> </w:t>
      </w:r>
      <w:r w:rsidR="007A5BFF" w:rsidRPr="007A5BFF">
        <w:t xml:space="preserve">La figure ci-dessous présente la </w:t>
      </w:r>
      <w:r w:rsidR="007A5BFF">
        <w:t>représentation graphique</w:t>
      </w:r>
      <w:r w:rsidR="007A5BFF" w:rsidRPr="007A5BFF">
        <w:t xml:space="preserve"> entre la ligne de base et la ligne d’atténuation du secteur des déchets sur la période 2023</w:t>
      </w:r>
      <w:r w:rsidR="007A5BFF">
        <w:t>-</w:t>
      </w:r>
      <w:r w:rsidR="007A5BFF" w:rsidRPr="007A5BFF">
        <w:t>2035.</w:t>
      </w:r>
    </w:p>
    <w:p w14:paraId="0B47C6B9" w14:textId="20B03019" w:rsidR="00451687" w:rsidRDefault="00451687" w:rsidP="001D6895">
      <w:pPr>
        <w:spacing w:before="240" w:after="360"/>
        <w:jc w:val="both"/>
      </w:pPr>
      <w:r>
        <w:rPr>
          <w:noProof/>
        </w:rPr>
        <w:drawing>
          <wp:inline distT="0" distB="0" distL="0" distR="0" wp14:anchorId="08395690" wp14:editId="4D03E860">
            <wp:extent cx="5731764" cy="3006523"/>
            <wp:effectExtent l="0" t="0" r="2540" b="3810"/>
            <wp:docPr id="6342206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7172" cy="3025096"/>
                    </a:xfrm>
                    <a:prstGeom prst="rect">
                      <a:avLst/>
                    </a:prstGeom>
                    <a:noFill/>
                  </pic:spPr>
                </pic:pic>
              </a:graphicData>
            </a:graphic>
          </wp:inline>
        </w:drawing>
      </w:r>
    </w:p>
    <w:p w14:paraId="4308ECD7" w14:textId="7E218112" w:rsidR="000E7A1A" w:rsidRPr="006C0FFD" w:rsidRDefault="001D6895" w:rsidP="00451687">
      <w:pPr>
        <w:pStyle w:val="Lgende"/>
        <w:spacing w:after="0"/>
        <w:jc w:val="center"/>
      </w:pPr>
      <w:bookmarkStart w:id="82" w:name="_Toc234853922"/>
      <w:r>
        <w:t xml:space="preserve">Figure </w:t>
      </w:r>
      <w:r>
        <w:fldChar w:fldCharType="begin"/>
      </w:r>
      <w:r>
        <w:instrText xml:space="preserve"> SEQ Figure \* ARABIC </w:instrText>
      </w:r>
      <w:r>
        <w:fldChar w:fldCharType="separate"/>
      </w:r>
      <w:r w:rsidR="004D5580">
        <w:rPr>
          <w:noProof/>
        </w:rPr>
        <w:t>12</w:t>
      </w:r>
      <w:r>
        <w:fldChar w:fldCharType="end"/>
      </w:r>
      <w:r>
        <w:t xml:space="preserve"> : </w:t>
      </w:r>
      <w:r w:rsidRPr="001F1DD6">
        <w:rPr>
          <w:sz w:val="20"/>
          <w:szCs w:val="20"/>
        </w:rPr>
        <w:t>ligne de base et la ligne d’atténuation du secteur des déchets, 20</w:t>
      </w:r>
      <w:r w:rsidR="003A058E">
        <w:rPr>
          <w:sz w:val="20"/>
          <w:szCs w:val="20"/>
        </w:rPr>
        <w:t>26</w:t>
      </w:r>
      <w:r>
        <w:rPr>
          <w:sz w:val="20"/>
          <w:szCs w:val="20"/>
        </w:rPr>
        <w:t>-</w:t>
      </w:r>
      <w:r w:rsidRPr="001F1DD6">
        <w:rPr>
          <w:sz w:val="20"/>
          <w:szCs w:val="20"/>
        </w:rPr>
        <w:t>2035</w:t>
      </w:r>
      <w:bookmarkEnd w:id="82"/>
    </w:p>
    <w:p w14:paraId="3E6569B6" w14:textId="6A71F322" w:rsidR="00C855DC" w:rsidRDefault="00A03F69" w:rsidP="00C855DC">
      <w:pPr>
        <w:pStyle w:val="Titre2"/>
      </w:pPr>
      <w:bookmarkStart w:id="83" w:name="_Toc234853883"/>
      <w:r>
        <w:t>F</w:t>
      </w:r>
      <w:r w:rsidR="00C855DC">
        <w:t>inancement</w:t>
      </w:r>
      <w:r>
        <w:t xml:space="preserve"> des mesures de la CDN 3.0</w:t>
      </w:r>
      <w:bookmarkEnd w:id="83"/>
      <w:r w:rsidR="001E256B">
        <w:t xml:space="preserve"> </w:t>
      </w:r>
    </w:p>
    <w:p w14:paraId="65406513" w14:textId="733FCAF3" w:rsidR="005E6665" w:rsidRPr="005E6665" w:rsidRDefault="005E6665" w:rsidP="00774D3A">
      <w:pPr>
        <w:jc w:val="both"/>
        <w:rPr>
          <w:lang w:eastAsia="en-US"/>
        </w:rPr>
      </w:pPr>
      <w:r w:rsidRPr="005E6665">
        <w:rPr>
          <w:lang w:eastAsia="en-US"/>
        </w:rPr>
        <w:t xml:space="preserve">Le coût total estimatif du </w:t>
      </w:r>
      <w:r w:rsidRPr="005E6665">
        <w:rPr>
          <w:b/>
          <w:bCs/>
          <w:lang w:eastAsia="en-US"/>
        </w:rPr>
        <w:t>volet atténuation de la CDN 3.0 du Mali</w:t>
      </w:r>
      <w:r w:rsidRPr="005E6665">
        <w:rPr>
          <w:lang w:eastAsia="en-US"/>
        </w:rPr>
        <w:t xml:space="preserve"> est évalué à environ </w:t>
      </w:r>
      <w:r w:rsidR="00940645" w:rsidRPr="00940645">
        <w:rPr>
          <w:b/>
          <w:bCs/>
          <w:lang w:eastAsia="en-US"/>
        </w:rPr>
        <w:t>5 714 760 473</w:t>
      </w:r>
      <w:r w:rsidR="00940645">
        <w:rPr>
          <w:b/>
          <w:bCs/>
          <w:lang w:eastAsia="en-US"/>
        </w:rPr>
        <w:t xml:space="preserve"> </w:t>
      </w:r>
      <w:r w:rsidRPr="005E6665">
        <w:rPr>
          <w:b/>
          <w:bCs/>
          <w:lang w:eastAsia="en-US"/>
        </w:rPr>
        <w:t>USD</w:t>
      </w:r>
      <w:r w:rsidRPr="005E6665">
        <w:rPr>
          <w:lang w:eastAsia="en-US"/>
        </w:rPr>
        <w:t xml:space="preserve">, soit </w:t>
      </w:r>
      <w:r w:rsidRPr="005E6665">
        <w:rPr>
          <w:b/>
          <w:bCs/>
          <w:lang w:eastAsia="en-US"/>
        </w:rPr>
        <w:t>5,71 milliards USD</w:t>
      </w:r>
      <w:r w:rsidRPr="005E6665">
        <w:rPr>
          <w:lang w:eastAsia="en-US"/>
        </w:rPr>
        <w:t xml:space="preserve">, en considérant uniquement les mesures pour lesquelles un coût a été renseigné. Les mesures dont le coût n’est pas encore disponible sont indiquées comme </w:t>
      </w:r>
      <w:r w:rsidRPr="005E6665">
        <w:rPr>
          <w:b/>
          <w:bCs/>
          <w:lang w:eastAsia="en-US"/>
        </w:rPr>
        <w:t>Non déterminé</w:t>
      </w:r>
      <w:r w:rsidRPr="005E6665">
        <w:rPr>
          <w:lang w:eastAsia="en-US"/>
        </w:rPr>
        <w:t xml:space="preserve"> et devront faire l’objet d’une estimation complémentaire.</w:t>
      </w:r>
    </w:p>
    <w:p w14:paraId="72727054" w14:textId="77777777" w:rsidR="005E6665" w:rsidRPr="005E6665" w:rsidRDefault="005E6665" w:rsidP="00774D3A">
      <w:pPr>
        <w:jc w:val="both"/>
        <w:rPr>
          <w:lang w:eastAsia="en-US"/>
        </w:rPr>
      </w:pPr>
      <w:r w:rsidRPr="005E6665">
        <w:rPr>
          <w:lang w:eastAsia="en-US"/>
        </w:rPr>
        <w:t xml:space="preserve">Le financement du portefeuille d’atténuation reposera sur une combinaison de ressources publiques, privées et internationales. Les ressources publiques permettront de soutenir les actions relevant de l’effort national et les programmes déjà engagés. Le secteur privé sera mobilisé en particulier pour les investissements dans les énergies renouvelables, l’industrie bas-carbone, la valorisation des déchets, la </w:t>
      </w:r>
      <w:r w:rsidRPr="005E6665">
        <w:rPr>
          <w:lang w:eastAsia="en-US"/>
        </w:rPr>
        <w:lastRenderedPageBreak/>
        <w:t>bioénergie et certaines infrastructures économiques. Les financements internationaux seront nécessaires pour appuyer la mise à l’échelle des mesures conditionnelles, le renforcement des capacités, le transfert de technologies et la mobilisation de financements climat concessionnels.</w:t>
      </w:r>
    </w:p>
    <w:p w14:paraId="2B4C2BF8" w14:textId="77777777" w:rsidR="005E6665" w:rsidRPr="005E6665" w:rsidRDefault="005E6665" w:rsidP="005E6665">
      <w:pPr>
        <w:rPr>
          <w:lang w:eastAsia="en-US"/>
        </w:rPr>
      </w:pPr>
      <w:r w:rsidRPr="005E6665">
        <w:rPr>
          <w:b/>
          <w:bCs/>
          <w:lang w:eastAsia="en-US"/>
        </w:rPr>
        <w:t>Sources de financement envisagées :</w:t>
      </w:r>
    </w:p>
    <w:p w14:paraId="1939726E" w14:textId="77777777" w:rsidR="004450D5" w:rsidRDefault="005E6665" w:rsidP="003E5044">
      <w:pPr>
        <w:pStyle w:val="Paragraphedeliste"/>
        <w:numPr>
          <w:ilvl w:val="0"/>
          <w:numId w:val="57"/>
        </w:numPr>
        <w:rPr>
          <w:lang w:eastAsia="en-US"/>
        </w:rPr>
      </w:pPr>
      <w:r w:rsidRPr="003E5044">
        <w:rPr>
          <w:b/>
          <w:bCs/>
          <w:lang w:eastAsia="en-US"/>
        </w:rPr>
        <w:t>Public :</w:t>
      </w:r>
      <w:r w:rsidRPr="005E6665">
        <w:rPr>
          <w:lang w:eastAsia="en-US"/>
        </w:rPr>
        <w:t xml:space="preserve"> budget de l’État, établissements publics, collectivités territoriales, programmes nationaux sectoriels.</w:t>
      </w:r>
    </w:p>
    <w:p w14:paraId="5D12956F" w14:textId="3BB4915D" w:rsidR="003E5044" w:rsidRDefault="005E6665" w:rsidP="003E5044">
      <w:pPr>
        <w:pStyle w:val="Paragraphedeliste"/>
        <w:numPr>
          <w:ilvl w:val="0"/>
          <w:numId w:val="57"/>
        </w:numPr>
        <w:rPr>
          <w:lang w:eastAsia="en-US"/>
        </w:rPr>
      </w:pPr>
      <w:r w:rsidRPr="003E5044">
        <w:rPr>
          <w:b/>
          <w:bCs/>
          <w:lang w:eastAsia="en-US"/>
        </w:rPr>
        <w:t>Privé :</w:t>
      </w:r>
      <w:r w:rsidRPr="005E6665">
        <w:rPr>
          <w:lang w:eastAsia="en-US"/>
        </w:rPr>
        <w:t xml:space="preserve"> producteurs indépendants d’électricité, opérateurs industriels, investisseurs privés, partenariats public-privé, entreprises de valorisation des déchets et bioénergies.</w:t>
      </w:r>
    </w:p>
    <w:p w14:paraId="243FA0D6" w14:textId="642791D5" w:rsidR="005E6665" w:rsidRPr="005E6665" w:rsidRDefault="005E6665" w:rsidP="003E5044">
      <w:pPr>
        <w:pStyle w:val="Paragraphedeliste"/>
        <w:numPr>
          <w:ilvl w:val="0"/>
          <w:numId w:val="57"/>
        </w:numPr>
        <w:rPr>
          <w:lang w:eastAsia="en-US"/>
        </w:rPr>
      </w:pPr>
      <w:r w:rsidRPr="003E5044">
        <w:rPr>
          <w:b/>
          <w:bCs/>
          <w:lang w:eastAsia="en-US"/>
        </w:rPr>
        <w:t>International :</w:t>
      </w:r>
      <w:r w:rsidRPr="005E6665">
        <w:rPr>
          <w:lang w:eastAsia="en-US"/>
        </w:rPr>
        <w:t xml:space="preserve"> partenaires techniques et financiers, fonds climat, banques multilatérales de développement, coopération bilatérale et mécanismes de financement carbone.</w:t>
      </w:r>
    </w:p>
    <w:p w14:paraId="0DC2DBF0" w14:textId="3417D203" w:rsidR="0018772E" w:rsidRPr="00BA1AED" w:rsidRDefault="0018772E" w:rsidP="00BA1AED">
      <w:pPr>
        <w:pStyle w:val="Lgende"/>
        <w:keepNext/>
        <w:spacing w:after="0"/>
        <w:rPr>
          <w:sz w:val="22"/>
          <w:szCs w:val="22"/>
        </w:rPr>
      </w:pPr>
      <w:bookmarkStart w:id="84" w:name="_Toc234853957"/>
      <w:r w:rsidRPr="00BA1AED">
        <w:rPr>
          <w:sz w:val="22"/>
          <w:szCs w:val="22"/>
        </w:rPr>
        <w:t xml:space="preserve">Tableau </w:t>
      </w:r>
      <w:r w:rsidRPr="00BA1AED">
        <w:rPr>
          <w:sz w:val="22"/>
          <w:szCs w:val="22"/>
        </w:rPr>
        <w:fldChar w:fldCharType="begin"/>
      </w:r>
      <w:r w:rsidRPr="00BA1AED">
        <w:rPr>
          <w:sz w:val="22"/>
          <w:szCs w:val="22"/>
        </w:rPr>
        <w:instrText xml:space="preserve"> SEQ Tableau \* ARABIC </w:instrText>
      </w:r>
      <w:r w:rsidRPr="00BA1AED">
        <w:rPr>
          <w:sz w:val="22"/>
          <w:szCs w:val="22"/>
        </w:rPr>
        <w:fldChar w:fldCharType="separate"/>
      </w:r>
      <w:r w:rsidRPr="00BA1AED">
        <w:rPr>
          <w:noProof/>
          <w:sz w:val="22"/>
          <w:szCs w:val="22"/>
        </w:rPr>
        <w:t>33</w:t>
      </w:r>
      <w:r w:rsidRPr="00BA1AED">
        <w:rPr>
          <w:sz w:val="22"/>
          <w:szCs w:val="22"/>
        </w:rPr>
        <w:fldChar w:fldCharType="end"/>
      </w:r>
      <w:r w:rsidRPr="00BA1AED">
        <w:rPr>
          <w:sz w:val="22"/>
          <w:szCs w:val="22"/>
        </w:rPr>
        <w:t> :</w:t>
      </w:r>
      <w:r w:rsidR="00BA1AED" w:rsidRPr="00BA1AED">
        <w:rPr>
          <w:sz w:val="22"/>
          <w:szCs w:val="22"/>
        </w:rPr>
        <w:t xml:space="preserve"> Coût estimatif du volet atténuation de la CDN 3.0 du Mali</w:t>
      </w:r>
      <w:bookmarkEnd w:id="84"/>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5434"/>
        <w:gridCol w:w="1696"/>
      </w:tblGrid>
      <w:tr w:rsidR="00F15FAD" w:rsidRPr="00FF045B" w14:paraId="7CD5F29A" w14:textId="77777777" w:rsidTr="0018772E">
        <w:tc>
          <w:tcPr>
            <w:tcW w:w="0" w:type="auto"/>
            <w:shd w:val="clear" w:color="auto" w:fill="1F4E79"/>
            <w:hideMark/>
          </w:tcPr>
          <w:p w14:paraId="2A48F8CF" w14:textId="77777777" w:rsidR="00F15FAD" w:rsidRPr="0018772E" w:rsidRDefault="00F15FAD">
            <w:pPr>
              <w:spacing w:line="259" w:lineRule="auto"/>
              <w:rPr>
                <w:b/>
                <w:bCs/>
                <w:color w:val="FFFFFF" w:themeColor="background1"/>
              </w:rPr>
            </w:pPr>
            <w:r w:rsidRPr="0018772E">
              <w:rPr>
                <w:b/>
                <w:bCs/>
                <w:color w:val="FFFFFF" w:themeColor="background1"/>
              </w:rPr>
              <w:t>Secteur</w:t>
            </w:r>
          </w:p>
        </w:tc>
        <w:tc>
          <w:tcPr>
            <w:tcW w:w="5434" w:type="dxa"/>
            <w:shd w:val="clear" w:color="auto" w:fill="1F4E79"/>
            <w:hideMark/>
          </w:tcPr>
          <w:p w14:paraId="4C7DDF23" w14:textId="77777777" w:rsidR="00F15FAD" w:rsidRPr="0018772E" w:rsidRDefault="00F15FAD">
            <w:pPr>
              <w:spacing w:line="259" w:lineRule="auto"/>
              <w:rPr>
                <w:b/>
                <w:bCs/>
                <w:color w:val="FFFFFF" w:themeColor="background1"/>
              </w:rPr>
            </w:pPr>
            <w:r w:rsidRPr="0018772E">
              <w:rPr>
                <w:b/>
                <w:bCs/>
                <w:color w:val="FFFFFF" w:themeColor="background1"/>
              </w:rPr>
              <w:t>Mesure</w:t>
            </w:r>
          </w:p>
        </w:tc>
        <w:tc>
          <w:tcPr>
            <w:tcW w:w="1696" w:type="dxa"/>
            <w:shd w:val="clear" w:color="auto" w:fill="1F4E79"/>
            <w:vAlign w:val="center"/>
            <w:hideMark/>
          </w:tcPr>
          <w:p w14:paraId="13E61590" w14:textId="77777777" w:rsidR="00F15FAD" w:rsidRPr="0018772E" w:rsidRDefault="00F15FAD">
            <w:pPr>
              <w:spacing w:line="259" w:lineRule="auto"/>
              <w:jc w:val="center"/>
              <w:rPr>
                <w:b/>
                <w:bCs/>
                <w:color w:val="FFFFFF" w:themeColor="background1"/>
              </w:rPr>
            </w:pPr>
            <w:r w:rsidRPr="0018772E">
              <w:rPr>
                <w:b/>
                <w:bCs/>
                <w:color w:val="FFFFFF" w:themeColor="background1"/>
              </w:rPr>
              <w:t>Coût en USD</w:t>
            </w:r>
          </w:p>
        </w:tc>
      </w:tr>
      <w:tr w:rsidR="00F15FAD" w:rsidRPr="00FF045B" w14:paraId="5C7540D7" w14:textId="77777777" w:rsidTr="0018772E">
        <w:tc>
          <w:tcPr>
            <w:tcW w:w="0" w:type="auto"/>
            <w:vMerge w:val="restart"/>
            <w:vAlign w:val="center"/>
            <w:hideMark/>
          </w:tcPr>
          <w:p w14:paraId="36C8EE1D" w14:textId="77777777" w:rsidR="00F15FAD" w:rsidRPr="00FF045B" w:rsidRDefault="00F15FAD">
            <w:pPr>
              <w:spacing w:line="259" w:lineRule="auto"/>
            </w:pPr>
            <w:r w:rsidRPr="00FF045B">
              <w:t>Énergie</w:t>
            </w:r>
          </w:p>
        </w:tc>
        <w:tc>
          <w:tcPr>
            <w:tcW w:w="5434" w:type="dxa"/>
            <w:hideMark/>
          </w:tcPr>
          <w:p w14:paraId="5563A53A" w14:textId="77777777" w:rsidR="00F15FAD" w:rsidRPr="00FF045B" w:rsidRDefault="00F15FAD">
            <w:pPr>
              <w:spacing w:line="259" w:lineRule="auto"/>
            </w:pPr>
            <w:r w:rsidRPr="00FF045B">
              <w:t>Programme national solaire photovoltaïque</w:t>
            </w:r>
          </w:p>
        </w:tc>
        <w:tc>
          <w:tcPr>
            <w:tcW w:w="1696" w:type="dxa"/>
          </w:tcPr>
          <w:p w14:paraId="6AC681FA" w14:textId="77777777" w:rsidR="00F15FAD" w:rsidRPr="00FF045B" w:rsidRDefault="00F15FAD">
            <w:pPr>
              <w:spacing w:line="259" w:lineRule="auto"/>
              <w:jc w:val="center"/>
            </w:pPr>
            <w:r w:rsidRPr="00793CAE">
              <w:t>159 583 333</w:t>
            </w:r>
          </w:p>
        </w:tc>
      </w:tr>
      <w:tr w:rsidR="00F15FAD" w:rsidRPr="00FF045B" w14:paraId="47214356" w14:textId="77777777" w:rsidTr="0018772E">
        <w:tc>
          <w:tcPr>
            <w:tcW w:w="0" w:type="auto"/>
            <w:vMerge/>
          </w:tcPr>
          <w:p w14:paraId="19455D09" w14:textId="77777777" w:rsidR="00F15FAD" w:rsidRPr="00FF045B" w:rsidRDefault="00F15FAD">
            <w:pPr>
              <w:spacing w:line="259" w:lineRule="auto"/>
            </w:pPr>
          </w:p>
        </w:tc>
        <w:tc>
          <w:tcPr>
            <w:tcW w:w="5434" w:type="dxa"/>
            <w:hideMark/>
          </w:tcPr>
          <w:p w14:paraId="150EEF73" w14:textId="77777777" w:rsidR="00F15FAD" w:rsidRPr="00FF045B" w:rsidRDefault="00F15FAD">
            <w:pPr>
              <w:spacing w:line="259" w:lineRule="auto"/>
            </w:pPr>
            <w:r w:rsidRPr="00FF045B">
              <w:t>Programme national solaire photovoltaïque avec stockage</w:t>
            </w:r>
          </w:p>
        </w:tc>
        <w:tc>
          <w:tcPr>
            <w:tcW w:w="1696" w:type="dxa"/>
          </w:tcPr>
          <w:p w14:paraId="7904C5B2" w14:textId="77777777" w:rsidR="00F15FAD" w:rsidRPr="00FF045B" w:rsidRDefault="00F15FAD">
            <w:pPr>
              <w:spacing w:line="259" w:lineRule="auto"/>
              <w:jc w:val="center"/>
            </w:pPr>
            <w:r w:rsidRPr="00793CAE">
              <w:t>1 286 203 333</w:t>
            </w:r>
          </w:p>
        </w:tc>
      </w:tr>
      <w:tr w:rsidR="00F15FAD" w:rsidRPr="00FF045B" w14:paraId="70F98CE0" w14:textId="77777777" w:rsidTr="0018772E">
        <w:tc>
          <w:tcPr>
            <w:tcW w:w="0" w:type="auto"/>
            <w:vMerge/>
          </w:tcPr>
          <w:p w14:paraId="622115E1" w14:textId="77777777" w:rsidR="00F15FAD" w:rsidRPr="00FF045B" w:rsidRDefault="00F15FAD">
            <w:pPr>
              <w:spacing w:line="259" w:lineRule="auto"/>
            </w:pPr>
          </w:p>
        </w:tc>
        <w:tc>
          <w:tcPr>
            <w:tcW w:w="5434" w:type="dxa"/>
            <w:hideMark/>
          </w:tcPr>
          <w:p w14:paraId="2A513833" w14:textId="77777777" w:rsidR="00F15FAD" w:rsidRPr="00FF045B" w:rsidRDefault="00F15FAD">
            <w:pPr>
              <w:spacing w:line="259" w:lineRule="auto"/>
            </w:pPr>
            <w:r w:rsidRPr="00FF045B">
              <w:t>Programme national hydroélectrique</w:t>
            </w:r>
          </w:p>
        </w:tc>
        <w:tc>
          <w:tcPr>
            <w:tcW w:w="1696" w:type="dxa"/>
          </w:tcPr>
          <w:p w14:paraId="08E5BFBE" w14:textId="77777777" w:rsidR="00F15FAD" w:rsidRPr="00FF045B" w:rsidRDefault="00F15FAD">
            <w:pPr>
              <w:spacing w:line="259" w:lineRule="auto"/>
              <w:jc w:val="center"/>
            </w:pPr>
            <w:r w:rsidRPr="00793CAE">
              <w:t>971 666 667</w:t>
            </w:r>
          </w:p>
        </w:tc>
      </w:tr>
      <w:tr w:rsidR="00F15FAD" w:rsidRPr="00FF045B" w14:paraId="7B17EE2C" w14:textId="77777777" w:rsidTr="0018772E">
        <w:tc>
          <w:tcPr>
            <w:tcW w:w="0" w:type="auto"/>
            <w:vMerge/>
          </w:tcPr>
          <w:p w14:paraId="309E57B3" w14:textId="77777777" w:rsidR="00F15FAD" w:rsidRPr="00FF045B" w:rsidRDefault="00F15FAD">
            <w:pPr>
              <w:spacing w:line="259" w:lineRule="auto"/>
            </w:pPr>
          </w:p>
        </w:tc>
        <w:tc>
          <w:tcPr>
            <w:tcW w:w="5434" w:type="dxa"/>
            <w:hideMark/>
          </w:tcPr>
          <w:p w14:paraId="45973E47" w14:textId="77777777" w:rsidR="00F15FAD" w:rsidRPr="00FF045B" w:rsidRDefault="00F15FAD">
            <w:pPr>
              <w:spacing w:line="259" w:lineRule="auto"/>
            </w:pPr>
            <w:r w:rsidRPr="00FF045B">
              <w:t>Extension du réseau de transport d’énergie électrique</w:t>
            </w:r>
          </w:p>
        </w:tc>
        <w:tc>
          <w:tcPr>
            <w:tcW w:w="1696" w:type="dxa"/>
          </w:tcPr>
          <w:p w14:paraId="563CF1DF" w14:textId="77777777" w:rsidR="00F15FAD" w:rsidRPr="00FF045B" w:rsidRDefault="00F15FAD">
            <w:pPr>
              <w:spacing w:line="259" w:lineRule="auto"/>
              <w:jc w:val="center"/>
            </w:pPr>
            <w:r w:rsidRPr="00793CAE">
              <w:t>1 636 333 333</w:t>
            </w:r>
          </w:p>
        </w:tc>
      </w:tr>
      <w:tr w:rsidR="00F15FAD" w:rsidRPr="00FF045B" w14:paraId="15F35928" w14:textId="77777777" w:rsidTr="0018772E">
        <w:tc>
          <w:tcPr>
            <w:tcW w:w="0" w:type="auto"/>
            <w:vMerge/>
          </w:tcPr>
          <w:p w14:paraId="6018F8FB" w14:textId="77777777" w:rsidR="00F15FAD" w:rsidRPr="00FF045B" w:rsidRDefault="00F15FAD">
            <w:pPr>
              <w:spacing w:line="259" w:lineRule="auto"/>
            </w:pPr>
          </w:p>
        </w:tc>
        <w:tc>
          <w:tcPr>
            <w:tcW w:w="5434" w:type="dxa"/>
            <w:hideMark/>
          </w:tcPr>
          <w:p w14:paraId="39149DB6" w14:textId="77777777" w:rsidR="00F15FAD" w:rsidRPr="00FF045B" w:rsidRDefault="00F15FAD">
            <w:pPr>
              <w:spacing w:line="259" w:lineRule="auto"/>
            </w:pPr>
            <w:r w:rsidRPr="00FF045B">
              <w:t>Électrification rurale par mini-réseaux hybrides solaire PV/Diesel</w:t>
            </w:r>
          </w:p>
        </w:tc>
        <w:tc>
          <w:tcPr>
            <w:tcW w:w="1696" w:type="dxa"/>
          </w:tcPr>
          <w:p w14:paraId="66F31180" w14:textId="77777777" w:rsidR="00F15FAD" w:rsidRPr="00FF045B" w:rsidRDefault="00F15FAD">
            <w:pPr>
              <w:spacing w:line="259" w:lineRule="auto"/>
              <w:jc w:val="center"/>
            </w:pPr>
            <w:r w:rsidRPr="00793CAE">
              <w:t>41 666 667</w:t>
            </w:r>
          </w:p>
        </w:tc>
      </w:tr>
      <w:tr w:rsidR="00F15FAD" w:rsidRPr="00FF045B" w14:paraId="450AFE1B" w14:textId="77777777" w:rsidTr="0018772E">
        <w:tc>
          <w:tcPr>
            <w:tcW w:w="0" w:type="auto"/>
            <w:vMerge/>
          </w:tcPr>
          <w:p w14:paraId="33B01E76" w14:textId="77777777" w:rsidR="00F15FAD" w:rsidRPr="00FF045B" w:rsidRDefault="00F15FAD">
            <w:pPr>
              <w:spacing w:line="259" w:lineRule="auto"/>
            </w:pPr>
          </w:p>
        </w:tc>
        <w:tc>
          <w:tcPr>
            <w:tcW w:w="5434" w:type="dxa"/>
            <w:hideMark/>
          </w:tcPr>
          <w:p w14:paraId="068D60EC" w14:textId="77777777" w:rsidR="00F15FAD" w:rsidRPr="00FF045B" w:rsidRDefault="00F15FAD">
            <w:pPr>
              <w:spacing w:line="259" w:lineRule="auto"/>
            </w:pPr>
            <w:r w:rsidRPr="00FF045B">
              <w:t>Électrification rurale par mini-réseaux solaires PV</w:t>
            </w:r>
          </w:p>
        </w:tc>
        <w:tc>
          <w:tcPr>
            <w:tcW w:w="1696" w:type="dxa"/>
          </w:tcPr>
          <w:p w14:paraId="78CBFF38" w14:textId="77777777" w:rsidR="00F15FAD" w:rsidRPr="00FF045B" w:rsidRDefault="00F15FAD">
            <w:pPr>
              <w:spacing w:line="259" w:lineRule="auto"/>
              <w:jc w:val="center"/>
            </w:pPr>
            <w:r w:rsidRPr="00793CAE">
              <w:t>590 000 000</w:t>
            </w:r>
          </w:p>
        </w:tc>
      </w:tr>
      <w:tr w:rsidR="00F15FAD" w:rsidRPr="00FF045B" w14:paraId="06011BB5" w14:textId="77777777" w:rsidTr="0018772E">
        <w:tc>
          <w:tcPr>
            <w:tcW w:w="0" w:type="auto"/>
            <w:vMerge/>
          </w:tcPr>
          <w:p w14:paraId="51C327E7" w14:textId="77777777" w:rsidR="00F15FAD" w:rsidRPr="00FF045B" w:rsidRDefault="00F15FAD">
            <w:pPr>
              <w:spacing w:line="259" w:lineRule="auto"/>
            </w:pPr>
          </w:p>
        </w:tc>
        <w:tc>
          <w:tcPr>
            <w:tcW w:w="5434" w:type="dxa"/>
            <w:hideMark/>
          </w:tcPr>
          <w:p w14:paraId="46DE9771" w14:textId="77777777" w:rsidR="00F15FAD" w:rsidRPr="00FF045B" w:rsidRDefault="00F15FAD">
            <w:pPr>
              <w:spacing w:line="259" w:lineRule="auto"/>
            </w:pPr>
            <w:r w:rsidRPr="00FF045B">
              <w:t>Électrification rurale décentralisée par systèmes solaires individuels</w:t>
            </w:r>
          </w:p>
        </w:tc>
        <w:tc>
          <w:tcPr>
            <w:tcW w:w="1696" w:type="dxa"/>
          </w:tcPr>
          <w:p w14:paraId="6464B1AD" w14:textId="77777777" w:rsidR="00F15FAD" w:rsidRPr="00FF045B" w:rsidRDefault="00F15FAD">
            <w:pPr>
              <w:spacing w:line="259" w:lineRule="auto"/>
              <w:jc w:val="center"/>
            </w:pPr>
            <w:r w:rsidRPr="00793CAE">
              <w:t>81 698 333</w:t>
            </w:r>
          </w:p>
        </w:tc>
      </w:tr>
      <w:tr w:rsidR="00F15FAD" w:rsidRPr="00FF045B" w14:paraId="095B35DF" w14:textId="77777777" w:rsidTr="0018772E">
        <w:tc>
          <w:tcPr>
            <w:tcW w:w="0" w:type="auto"/>
            <w:vMerge/>
          </w:tcPr>
          <w:p w14:paraId="7390AAC5" w14:textId="77777777" w:rsidR="00F15FAD" w:rsidRPr="00FF045B" w:rsidRDefault="00F15FAD">
            <w:pPr>
              <w:spacing w:line="259" w:lineRule="auto"/>
            </w:pPr>
          </w:p>
        </w:tc>
        <w:tc>
          <w:tcPr>
            <w:tcW w:w="5434" w:type="dxa"/>
            <w:hideMark/>
          </w:tcPr>
          <w:p w14:paraId="0FF4345E" w14:textId="77777777" w:rsidR="00F15FAD" w:rsidRPr="00FF045B" w:rsidRDefault="00F15FAD">
            <w:pPr>
              <w:spacing w:line="259" w:lineRule="auto"/>
            </w:pPr>
            <w:r w:rsidRPr="00FF045B">
              <w:t>Solaire pour la cuisson propre et l’énergie domestique</w:t>
            </w:r>
          </w:p>
        </w:tc>
        <w:tc>
          <w:tcPr>
            <w:tcW w:w="1696" w:type="dxa"/>
          </w:tcPr>
          <w:p w14:paraId="2689A3BC" w14:textId="77777777" w:rsidR="00F15FAD" w:rsidRPr="00FF045B" w:rsidRDefault="00F15FAD">
            <w:pPr>
              <w:spacing w:line="259" w:lineRule="auto"/>
              <w:jc w:val="center"/>
            </w:pPr>
            <w:r w:rsidRPr="00793CAE">
              <w:t>11 666 667</w:t>
            </w:r>
          </w:p>
        </w:tc>
      </w:tr>
      <w:tr w:rsidR="00F15FAD" w:rsidRPr="00FF045B" w14:paraId="7458B27A" w14:textId="77777777" w:rsidTr="0018772E">
        <w:tc>
          <w:tcPr>
            <w:tcW w:w="0" w:type="auto"/>
            <w:vMerge/>
          </w:tcPr>
          <w:p w14:paraId="0B2E65EF" w14:textId="77777777" w:rsidR="00F15FAD" w:rsidRPr="00FF045B" w:rsidRDefault="00F15FAD">
            <w:pPr>
              <w:spacing w:line="259" w:lineRule="auto"/>
            </w:pPr>
          </w:p>
        </w:tc>
        <w:tc>
          <w:tcPr>
            <w:tcW w:w="5434" w:type="dxa"/>
            <w:hideMark/>
          </w:tcPr>
          <w:p w14:paraId="0E0944F7" w14:textId="77777777" w:rsidR="00F15FAD" w:rsidRPr="00FF045B" w:rsidRDefault="00F15FAD">
            <w:pPr>
              <w:spacing w:line="259" w:lineRule="auto"/>
            </w:pPr>
            <w:r w:rsidRPr="00FF045B">
              <w:t>Construction des ports secs de Kayes et de Sikasso</w:t>
            </w:r>
          </w:p>
        </w:tc>
        <w:tc>
          <w:tcPr>
            <w:tcW w:w="1696" w:type="dxa"/>
          </w:tcPr>
          <w:p w14:paraId="14A7619E" w14:textId="77777777" w:rsidR="00F15FAD" w:rsidRPr="00FF045B" w:rsidRDefault="00F15FAD">
            <w:pPr>
              <w:spacing w:line="259" w:lineRule="auto"/>
              <w:jc w:val="center"/>
            </w:pPr>
            <w:r w:rsidRPr="00793CAE">
              <w:t>50 000 000</w:t>
            </w:r>
          </w:p>
        </w:tc>
      </w:tr>
      <w:tr w:rsidR="00F15FAD" w:rsidRPr="00FF045B" w14:paraId="7D4016EF" w14:textId="77777777" w:rsidTr="0018772E">
        <w:tc>
          <w:tcPr>
            <w:tcW w:w="0" w:type="auto"/>
            <w:vMerge/>
          </w:tcPr>
          <w:p w14:paraId="09C3E87C" w14:textId="77777777" w:rsidR="00F15FAD" w:rsidRPr="00FF045B" w:rsidRDefault="00F15FAD">
            <w:pPr>
              <w:spacing w:line="259" w:lineRule="auto"/>
            </w:pPr>
          </w:p>
        </w:tc>
        <w:tc>
          <w:tcPr>
            <w:tcW w:w="5434" w:type="dxa"/>
            <w:hideMark/>
          </w:tcPr>
          <w:p w14:paraId="3BBAA1C2" w14:textId="77777777" w:rsidR="00F15FAD" w:rsidRPr="00FF045B" w:rsidRDefault="00F15FAD">
            <w:pPr>
              <w:spacing w:line="259" w:lineRule="auto"/>
            </w:pPr>
            <w:r w:rsidRPr="00FF045B">
              <w:t>Renouvellement du parc automobile des transports commerciaux</w:t>
            </w:r>
          </w:p>
        </w:tc>
        <w:tc>
          <w:tcPr>
            <w:tcW w:w="1696" w:type="dxa"/>
          </w:tcPr>
          <w:p w14:paraId="01DC589C" w14:textId="77777777" w:rsidR="00F15FAD" w:rsidRPr="00FF045B" w:rsidRDefault="00F15FAD">
            <w:pPr>
              <w:spacing w:line="259" w:lineRule="auto"/>
              <w:jc w:val="center"/>
            </w:pPr>
            <w:r w:rsidRPr="00793CAE">
              <w:t>187 500 000</w:t>
            </w:r>
          </w:p>
        </w:tc>
      </w:tr>
      <w:tr w:rsidR="00F15FAD" w:rsidRPr="00FF045B" w14:paraId="35720F2F" w14:textId="77777777" w:rsidTr="0018772E">
        <w:tc>
          <w:tcPr>
            <w:tcW w:w="0" w:type="auto"/>
            <w:vMerge/>
          </w:tcPr>
          <w:p w14:paraId="1EBCCCDC" w14:textId="77777777" w:rsidR="00F15FAD" w:rsidRPr="00FF045B" w:rsidRDefault="00F15FAD">
            <w:pPr>
              <w:spacing w:line="259" w:lineRule="auto"/>
            </w:pPr>
          </w:p>
        </w:tc>
        <w:tc>
          <w:tcPr>
            <w:tcW w:w="5434" w:type="dxa"/>
            <w:hideMark/>
          </w:tcPr>
          <w:p w14:paraId="4C0BCC0B" w14:textId="77777777" w:rsidR="00F15FAD" w:rsidRPr="00FF045B" w:rsidRDefault="00F15FAD">
            <w:pPr>
              <w:spacing w:line="259" w:lineRule="auto"/>
            </w:pPr>
            <w:r w:rsidRPr="00FF045B">
              <w:t>Tramway dans la ville de Bamako</w:t>
            </w:r>
          </w:p>
        </w:tc>
        <w:tc>
          <w:tcPr>
            <w:tcW w:w="1696" w:type="dxa"/>
          </w:tcPr>
          <w:p w14:paraId="7B9F9DB4" w14:textId="77777777" w:rsidR="00F15FAD" w:rsidRPr="00FF045B" w:rsidRDefault="00F15FAD">
            <w:pPr>
              <w:spacing w:line="259" w:lineRule="auto"/>
              <w:jc w:val="center"/>
            </w:pPr>
            <w:r w:rsidRPr="00793CAE">
              <w:t>218 333 333</w:t>
            </w:r>
          </w:p>
        </w:tc>
      </w:tr>
      <w:tr w:rsidR="00F15FAD" w:rsidRPr="00FF045B" w14:paraId="5D52FABA" w14:textId="77777777" w:rsidTr="0018772E">
        <w:tc>
          <w:tcPr>
            <w:tcW w:w="0" w:type="auto"/>
            <w:vMerge/>
          </w:tcPr>
          <w:p w14:paraId="73BD3D3C" w14:textId="77777777" w:rsidR="00F15FAD" w:rsidRPr="00FF045B" w:rsidRDefault="00F15FAD">
            <w:pPr>
              <w:spacing w:line="259" w:lineRule="auto"/>
            </w:pPr>
          </w:p>
        </w:tc>
        <w:tc>
          <w:tcPr>
            <w:tcW w:w="5434" w:type="dxa"/>
            <w:hideMark/>
          </w:tcPr>
          <w:p w14:paraId="3DE32BB8" w14:textId="77777777" w:rsidR="00F15FAD" w:rsidRPr="00FF045B" w:rsidRDefault="00F15FAD">
            <w:pPr>
              <w:spacing w:line="259" w:lineRule="auto"/>
            </w:pPr>
            <w:r w:rsidRPr="00FF045B">
              <w:t>Transition vers une industrie bas-carbone</w:t>
            </w:r>
          </w:p>
        </w:tc>
        <w:tc>
          <w:tcPr>
            <w:tcW w:w="1696" w:type="dxa"/>
          </w:tcPr>
          <w:p w14:paraId="4F1114AC" w14:textId="77777777" w:rsidR="00F15FAD" w:rsidRPr="00FF045B" w:rsidRDefault="00F15FAD">
            <w:pPr>
              <w:spacing w:line="259" w:lineRule="auto"/>
              <w:jc w:val="center"/>
            </w:pPr>
            <w:r w:rsidRPr="00793CAE">
              <w:t>7 500 000</w:t>
            </w:r>
          </w:p>
        </w:tc>
      </w:tr>
      <w:tr w:rsidR="00F15FAD" w:rsidRPr="00FF045B" w14:paraId="6499A6CA" w14:textId="77777777" w:rsidTr="0018772E">
        <w:tc>
          <w:tcPr>
            <w:tcW w:w="0" w:type="auto"/>
            <w:vMerge/>
          </w:tcPr>
          <w:p w14:paraId="53698F28" w14:textId="77777777" w:rsidR="00F15FAD" w:rsidRPr="00FF045B" w:rsidRDefault="00F15FAD">
            <w:pPr>
              <w:spacing w:line="259" w:lineRule="auto"/>
            </w:pPr>
          </w:p>
        </w:tc>
        <w:tc>
          <w:tcPr>
            <w:tcW w:w="5434" w:type="dxa"/>
            <w:hideMark/>
          </w:tcPr>
          <w:p w14:paraId="13A5C65A" w14:textId="77777777" w:rsidR="00F15FAD" w:rsidRPr="00FF045B" w:rsidRDefault="00F15FAD">
            <w:pPr>
              <w:spacing w:line="259" w:lineRule="auto"/>
            </w:pPr>
            <w:r w:rsidRPr="00FF045B">
              <w:t>Projet de développement de la bioénergie et changements climatiques</w:t>
            </w:r>
          </w:p>
        </w:tc>
        <w:tc>
          <w:tcPr>
            <w:tcW w:w="1696" w:type="dxa"/>
          </w:tcPr>
          <w:p w14:paraId="59B735D9" w14:textId="77777777" w:rsidR="00F15FAD" w:rsidRPr="00FF045B" w:rsidRDefault="00F15FAD">
            <w:pPr>
              <w:spacing w:line="259" w:lineRule="auto"/>
              <w:jc w:val="center"/>
            </w:pPr>
            <w:r w:rsidRPr="00793CAE">
              <w:t>114 166 667</w:t>
            </w:r>
          </w:p>
        </w:tc>
      </w:tr>
      <w:tr w:rsidR="00F15FAD" w:rsidRPr="00FF045B" w14:paraId="722DCA2C" w14:textId="77777777" w:rsidTr="0018772E">
        <w:tc>
          <w:tcPr>
            <w:tcW w:w="0" w:type="auto"/>
            <w:vMerge/>
          </w:tcPr>
          <w:p w14:paraId="75A06EDE" w14:textId="77777777" w:rsidR="00F15FAD" w:rsidRPr="00FF045B" w:rsidRDefault="00F15FAD">
            <w:pPr>
              <w:spacing w:line="259" w:lineRule="auto"/>
            </w:pPr>
          </w:p>
        </w:tc>
        <w:tc>
          <w:tcPr>
            <w:tcW w:w="5434" w:type="dxa"/>
            <w:hideMark/>
          </w:tcPr>
          <w:p w14:paraId="26CA3289" w14:textId="77777777" w:rsidR="00F15FAD" w:rsidRPr="00FF045B" w:rsidRDefault="00F15FAD">
            <w:pPr>
              <w:spacing w:line="259" w:lineRule="auto"/>
            </w:pPr>
            <w:r w:rsidRPr="00FF045B">
              <w:t>Centre de certification des technologies et carburants destinés à la cuisine propre</w:t>
            </w:r>
          </w:p>
        </w:tc>
        <w:tc>
          <w:tcPr>
            <w:tcW w:w="1696" w:type="dxa"/>
          </w:tcPr>
          <w:p w14:paraId="36017D39" w14:textId="77777777" w:rsidR="00F15FAD" w:rsidRPr="00FF045B" w:rsidRDefault="00F15FAD">
            <w:pPr>
              <w:spacing w:line="259" w:lineRule="auto"/>
              <w:jc w:val="center"/>
            </w:pPr>
            <w:r w:rsidRPr="00793CAE">
              <w:t>1 885 308</w:t>
            </w:r>
          </w:p>
        </w:tc>
      </w:tr>
      <w:tr w:rsidR="00F15FAD" w:rsidRPr="00FF045B" w14:paraId="20ED0049" w14:textId="77777777" w:rsidTr="0018772E">
        <w:tc>
          <w:tcPr>
            <w:tcW w:w="0" w:type="auto"/>
            <w:vMerge/>
          </w:tcPr>
          <w:p w14:paraId="61B1EB59" w14:textId="77777777" w:rsidR="00F15FAD" w:rsidRPr="00FF045B" w:rsidRDefault="00F15FAD">
            <w:pPr>
              <w:spacing w:line="259" w:lineRule="auto"/>
            </w:pPr>
          </w:p>
        </w:tc>
        <w:tc>
          <w:tcPr>
            <w:tcW w:w="5434" w:type="dxa"/>
            <w:hideMark/>
          </w:tcPr>
          <w:p w14:paraId="019EAECC" w14:textId="77777777" w:rsidR="00F15FAD" w:rsidRPr="00FF045B" w:rsidRDefault="00F15FAD">
            <w:pPr>
              <w:spacing w:line="259" w:lineRule="auto"/>
            </w:pPr>
            <w:r w:rsidRPr="00FF045B">
              <w:t>Étude de faisabilité pour une unité de production de briquettes à Bamako</w:t>
            </w:r>
          </w:p>
        </w:tc>
        <w:tc>
          <w:tcPr>
            <w:tcW w:w="1696" w:type="dxa"/>
          </w:tcPr>
          <w:p w14:paraId="3FA46615" w14:textId="77777777" w:rsidR="00F15FAD" w:rsidRPr="00FF045B" w:rsidRDefault="00F15FAD">
            <w:pPr>
              <w:spacing w:line="259" w:lineRule="auto"/>
              <w:jc w:val="center"/>
            </w:pPr>
            <w:r w:rsidRPr="00793CAE">
              <w:t>5 146 832</w:t>
            </w:r>
          </w:p>
        </w:tc>
      </w:tr>
      <w:tr w:rsidR="00F15FAD" w:rsidRPr="00FF045B" w14:paraId="774F73BE" w14:textId="77777777" w:rsidTr="0018772E">
        <w:tc>
          <w:tcPr>
            <w:tcW w:w="0" w:type="auto"/>
            <w:shd w:val="clear" w:color="auto" w:fill="F2F2F2" w:themeFill="background1" w:themeFillShade="F2"/>
            <w:hideMark/>
          </w:tcPr>
          <w:p w14:paraId="3F30A87E" w14:textId="77777777" w:rsidR="00F15FAD" w:rsidRPr="00FF045B" w:rsidRDefault="00F15FAD">
            <w:pPr>
              <w:spacing w:line="259" w:lineRule="auto"/>
            </w:pPr>
            <w:r w:rsidRPr="00FF045B">
              <w:rPr>
                <w:b/>
                <w:bCs/>
              </w:rPr>
              <w:t>Total Énergie</w:t>
            </w:r>
          </w:p>
        </w:tc>
        <w:tc>
          <w:tcPr>
            <w:tcW w:w="5434" w:type="dxa"/>
            <w:shd w:val="clear" w:color="auto" w:fill="F2F2F2" w:themeFill="background1" w:themeFillShade="F2"/>
            <w:hideMark/>
          </w:tcPr>
          <w:p w14:paraId="48BCB78C" w14:textId="77777777" w:rsidR="00F15FAD" w:rsidRPr="00FF045B" w:rsidRDefault="00F15FAD">
            <w:pPr>
              <w:spacing w:line="259" w:lineRule="auto"/>
            </w:pPr>
          </w:p>
        </w:tc>
        <w:tc>
          <w:tcPr>
            <w:tcW w:w="1696" w:type="dxa"/>
            <w:shd w:val="clear" w:color="auto" w:fill="F2F2F2" w:themeFill="background1" w:themeFillShade="F2"/>
            <w:vAlign w:val="center"/>
            <w:hideMark/>
          </w:tcPr>
          <w:p w14:paraId="0ADA6488" w14:textId="77777777" w:rsidR="00F15FAD" w:rsidRPr="00FF045B" w:rsidRDefault="00F15FAD">
            <w:pPr>
              <w:spacing w:line="259" w:lineRule="auto"/>
              <w:jc w:val="center"/>
            </w:pPr>
            <w:r w:rsidRPr="00B73D1C">
              <w:rPr>
                <w:b/>
                <w:bCs/>
              </w:rPr>
              <w:t>5 363 350 473</w:t>
            </w:r>
          </w:p>
        </w:tc>
      </w:tr>
      <w:tr w:rsidR="00F15FAD" w:rsidRPr="00FF045B" w14:paraId="67FC4399" w14:textId="77777777" w:rsidTr="0018772E">
        <w:tc>
          <w:tcPr>
            <w:tcW w:w="0" w:type="auto"/>
            <w:vMerge w:val="restart"/>
            <w:vAlign w:val="center"/>
            <w:hideMark/>
          </w:tcPr>
          <w:p w14:paraId="3E184506" w14:textId="77777777" w:rsidR="00F15FAD" w:rsidRPr="00FF045B" w:rsidRDefault="00F15FAD">
            <w:pPr>
              <w:spacing w:line="259" w:lineRule="auto"/>
            </w:pPr>
            <w:r w:rsidRPr="00FF045B">
              <w:t>Agriculture</w:t>
            </w:r>
          </w:p>
        </w:tc>
        <w:tc>
          <w:tcPr>
            <w:tcW w:w="5434" w:type="dxa"/>
            <w:hideMark/>
          </w:tcPr>
          <w:p w14:paraId="441CBA8A" w14:textId="77777777" w:rsidR="00F15FAD" w:rsidRPr="00FF045B" w:rsidRDefault="00F15FAD">
            <w:pPr>
              <w:spacing w:line="259" w:lineRule="auto"/>
            </w:pPr>
            <w:r w:rsidRPr="00FF045B">
              <w:t>Intensification durable et résiliente des systèmes de production agricole</w:t>
            </w:r>
          </w:p>
        </w:tc>
        <w:tc>
          <w:tcPr>
            <w:tcW w:w="1696" w:type="dxa"/>
            <w:vAlign w:val="center"/>
            <w:hideMark/>
          </w:tcPr>
          <w:p w14:paraId="1D2D254A" w14:textId="77777777" w:rsidR="00F15FAD" w:rsidRPr="00FF045B" w:rsidRDefault="00F15FAD">
            <w:pPr>
              <w:spacing w:line="259" w:lineRule="auto"/>
              <w:jc w:val="center"/>
            </w:pPr>
            <w:r w:rsidRPr="007B2F5D">
              <w:t>68</w:t>
            </w:r>
            <w:r>
              <w:t xml:space="preserve"> </w:t>
            </w:r>
            <w:r w:rsidRPr="007B2F5D">
              <w:t>488</w:t>
            </w:r>
            <w:r>
              <w:t xml:space="preserve"> </w:t>
            </w:r>
            <w:r w:rsidRPr="007B2F5D">
              <w:t>333</w:t>
            </w:r>
          </w:p>
        </w:tc>
      </w:tr>
      <w:tr w:rsidR="00F15FAD" w:rsidRPr="00FF045B" w14:paraId="13BF5366" w14:textId="77777777" w:rsidTr="0018772E">
        <w:tc>
          <w:tcPr>
            <w:tcW w:w="0" w:type="auto"/>
            <w:vMerge/>
          </w:tcPr>
          <w:p w14:paraId="53BA3BDE" w14:textId="77777777" w:rsidR="00F15FAD" w:rsidRPr="00FF045B" w:rsidRDefault="00F15FAD">
            <w:pPr>
              <w:spacing w:line="259" w:lineRule="auto"/>
            </w:pPr>
          </w:p>
        </w:tc>
        <w:tc>
          <w:tcPr>
            <w:tcW w:w="5434" w:type="dxa"/>
            <w:hideMark/>
          </w:tcPr>
          <w:p w14:paraId="2A979415" w14:textId="77777777" w:rsidR="00F15FAD" w:rsidRPr="00FF045B" w:rsidRDefault="00F15FAD">
            <w:pPr>
              <w:spacing w:line="259" w:lineRule="auto"/>
            </w:pPr>
            <w:r w:rsidRPr="00FF045B">
              <w:t>Restauration de la fertilité des sols, agroécologie et gestion durable des terres</w:t>
            </w:r>
          </w:p>
        </w:tc>
        <w:tc>
          <w:tcPr>
            <w:tcW w:w="1696" w:type="dxa"/>
            <w:vAlign w:val="center"/>
            <w:hideMark/>
          </w:tcPr>
          <w:p w14:paraId="1418BAB4" w14:textId="6F707878" w:rsidR="00F15FAD" w:rsidRPr="00FF045B" w:rsidRDefault="00D24082">
            <w:pPr>
              <w:spacing w:line="259" w:lineRule="auto"/>
              <w:jc w:val="center"/>
            </w:pPr>
            <w:r>
              <w:t>5</w:t>
            </w:r>
            <w:r w:rsidR="00F15FAD" w:rsidRPr="007B2F5D">
              <w:t>1</w:t>
            </w:r>
            <w:r w:rsidR="00F15FAD">
              <w:t xml:space="preserve"> </w:t>
            </w:r>
            <w:r>
              <w:t>813</w:t>
            </w:r>
            <w:r w:rsidR="00F15FAD">
              <w:t xml:space="preserve"> </w:t>
            </w:r>
            <w:r w:rsidR="00973386">
              <w:t>333</w:t>
            </w:r>
          </w:p>
        </w:tc>
      </w:tr>
      <w:tr w:rsidR="00F15FAD" w:rsidRPr="00FF045B" w14:paraId="64A8770B" w14:textId="77777777" w:rsidTr="0018772E">
        <w:tc>
          <w:tcPr>
            <w:tcW w:w="0" w:type="auto"/>
            <w:vMerge/>
          </w:tcPr>
          <w:p w14:paraId="2DEF38E3" w14:textId="77777777" w:rsidR="00F15FAD" w:rsidRPr="00FF045B" w:rsidRDefault="00F15FAD">
            <w:pPr>
              <w:spacing w:line="259" w:lineRule="auto"/>
            </w:pPr>
          </w:p>
        </w:tc>
        <w:tc>
          <w:tcPr>
            <w:tcW w:w="5434" w:type="dxa"/>
            <w:hideMark/>
          </w:tcPr>
          <w:p w14:paraId="4D662538" w14:textId="77777777" w:rsidR="00F15FAD" w:rsidRPr="00FF045B" w:rsidRDefault="00F15FAD">
            <w:pPr>
              <w:spacing w:line="259" w:lineRule="auto"/>
            </w:pPr>
            <w:r w:rsidRPr="00FF045B">
              <w:t>Résilience des territoires, paysages et écosystèmes agricoles vulnérables</w:t>
            </w:r>
          </w:p>
        </w:tc>
        <w:tc>
          <w:tcPr>
            <w:tcW w:w="1696" w:type="dxa"/>
            <w:vAlign w:val="center"/>
            <w:hideMark/>
          </w:tcPr>
          <w:p w14:paraId="62AEBD7E" w14:textId="77777777" w:rsidR="00F15FAD" w:rsidRPr="00FF045B" w:rsidRDefault="00F15FAD">
            <w:pPr>
              <w:spacing w:line="259" w:lineRule="auto"/>
              <w:jc w:val="center"/>
            </w:pPr>
            <w:r w:rsidRPr="007B2F5D">
              <w:t>46</w:t>
            </w:r>
            <w:r>
              <w:t xml:space="preserve"> </w:t>
            </w:r>
            <w:r w:rsidRPr="007B2F5D">
              <w:t>458</w:t>
            </w:r>
            <w:r>
              <w:t xml:space="preserve"> </w:t>
            </w:r>
            <w:r w:rsidRPr="007B2F5D">
              <w:t>333</w:t>
            </w:r>
          </w:p>
        </w:tc>
      </w:tr>
      <w:tr w:rsidR="00F15FAD" w:rsidRPr="00FF045B" w14:paraId="06F892A6" w14:textId="77777777" w:rsidTr="0018772E">
        <w:tc>
          <w:tcPr>
            <w:tcW w:w="0" w:type="auto"/>
            <w:vMerge/>
          </w:tcPr>
          <w:p w14:paraId="2DEBCCE5" w14:textId="77777777" w:rsidR="00F15FAD" w:rsidRPr="00FF045B" w:rsidRDefault="00F15FAD">
            <w:pPr>
              <w:spacing w:line="259" w:lineRule="auto"/>
            </w:pPr>
          </w:p>
        </w:tc>
        <w:tc>
          <w:tcPr>
            <w:tcW w:w="5434" w:type="dxa"/>
            <w:hideMark/>
          </w:tcPr>
          <w:p w14:paraId="4A20363F" w14:textId="77777777" w:rsidR="00F15FAD" w:rsidRPr="00FF045B" w:rsidRDefault="00F15FAD">
            <w:pPr>
              <w:spacing w:line="259" w:lineRule="auto"/>
            </w:pPr>
            <w:r w:rsidRPr="00FF045B">
              <w:t>Formation, insertion des jeunes ruraux et innovation agricole</w:t>
            </w:r>
          </w:p>
        </w:tc>
        <w:tc>
          <w:tcPr>
            <w:tcW w:w="1696" w:type="dxa"/>
            <w:vAlign w:val="center"/>
            <w:hideMark/>
          </w:tcPr>
          <w:p w14:paraId="50CDEC8C" w14:textId="77777777" w:rsidR="00F15FAD" w:rsidRPr="00FF045B" w:rsidRDefault="00F15FAD">
            <w:pPr>
              <w:spacing w:line="259" w:lineRule="auto"/>
              <w:jc w:val="center"/>
            </w:pPr>
            <w:r w:rsidRPr="007B2F5D">
              <w:t>9</w:t>
            </w:r>
            <w:r>
              <w:t xml:space="preserve"> </w:t>
            </w:r>
            <w:r w:rsidRPr="007B2F5D">
              <w:t>166</w:t>
            </w:r>
            <w:r>
              <w:t xml:space="preserve"> </w:t>
            </w:r>
            <w:r w:rsidRPr="007B2F5D">
              <w:t>667</w:t>
            </w:r>
          </w:p>
        </w:tc>
      </w:tr>
      <w:tr w:rsidR="00F15FAD" w:rsidRPr="00FF045B" w14:paraId="37B05594" w14:textId="77777777" w:rsidTr="0018772E">
        <w:tc>
          <w:tcPr>
            <w:tcW w:w="0" w:type="auto"/>
            <w:vMerge/>
          </w:tcPr>
          <w:p w14:paraId="091EB157" w14:textId="77777777" w:rsidR="00F15FAD" w:rsidRPr="00FF045B" w:rsidRDefault="00F15FAD">
            <w:pPr>
              <w:spacing w:line="259" w:lineRule="auto"/>
            </w:pPr>
          </w:p>
        </w:tc>
        <w:tc>
          <w:tcPr>
            <w:tcW w:w="5434" w:type="dxa"/>
            <w:hideMark/>
          </w:tcPr>
          <w:p w14:paraId="79861192" w14:textId="77777777" w:rsidR="00F15FAD" w:rsidRPr="00FF045B" w:rsidRDefault="00F15FAD">
            <w:pPr>
              <w:spacing w:line="259" w:lineRule="auto"/>
            </w:pPr>
            <w:r w:rsidRPr="00FF045B">
              <w:t>MRV, données et comptabilisation des émissions du secteur agriculture-élevage</w:t>
            </w:r>
          </w:p>
        </w:tc>
        <w:tc>
          <w:tcPr>
            <w:tcW w:w="1696" w:type="dxa"/>
            <w:vAlign w:val="center"/>
            <w:hideMark/>
          </w:tcPr>
          <w:p w14:paraId="275D0C5F" w14:textId="77777777" w:rsidR="00F15FAD" w:rsidRPr="00FF045B" w:rsidRDefault="00F15FAD">
            <w:pPr>
              <w:spacing w:line="259" w:lineRule="auto"/>
              <w:jc w:val="center"/>
            </w:pPr>
            <w:r w:rsidRPr="00FF045B">
              <w:t>Non déterminé</w:t>
            </w:r>
          </w:p>
        </w:tc>
      </w:tr>
      <w:tr w:rsidR="00F15FAD" w:rsidRPr="00FF045B" w14:paraId="0C60E990" w14:textId="77777777" w:rsidTr="0018772E">
        <w:tc>
          <w:tcPr>
            <w:tcW w:w="0" w:type="auto"/>
            <w:shd w:val="clear" w:color="auto" w:fill="F2F2F2" w:themeFill="background1" w:themeFillShade="F2"/>
            <w:hideMark/>
          </w:tcPr>
          <w:p w14:paraId="02CFEA08" w14:textId="77777777" w:rsidR="00F15FAD" w:rsidRPr="00FF045B" w:rsidRDefault="00F15FAD">
            <w:pPr>
              <w:spacing w:line="259" w:lineRule="auto"/>
            </w:pPr>
            <w:r w:rsidRPr="00FF045B">
              <w:rPr>
                <w:b/>
                <w:bCs/>
              </w:rPr>
              <w:t>Total Agriculture</w:t>
            </w:r>
          </w:p>
        </w:tc>
        <w:tc>
          <w:tcPr>
            <w:tcW w:w="5434" w:type="dxa"/>
            <w:shd w:val="clear" w:color="auto" w:fill="F2F2F2" w:themeFill="background1" w:themeFillShade="F2"/>
            <w:hideMark/>
          </w:tcPr>
          <w:p w14:paraId="7D51F185" w14:textId="77777777" w:rsidR="00F15FAD" w:rsidRPr="00FF045B" w:rsidRDefault="00F15FAD">
            <w:pPr>
              <w:spacing w:line="259" w:lineRule="auto"/>
            </w:pPr>
          </w:p>
        </w:tc>
        <w:tc>
          <w:tcPr>
            <w:tcW w:w="1696" w:type="dxa"/>
            <w:shd w:val="clear" w:color="auto" w:fill="F2F2F2" w:themeFill="background1" w:themeFillShade="F2"/>
            <w:vAlign w:val="center"/>
            <w:hideMark/>
          </w:tcPr>
          <w:p w14:paraId="4BAB797F" w14:textId="3B8A0F77" w:rsidR="00F15FAD" w:rsidRPr="00FF045B" w:rsidRDefault="00F15FAD">
            <w:pPr>
              <w:spacing w:line="259" w:lineRule="auto"/>
              <w:jc w:val="center"/>
            </w:pPr>
            <w:r w:rsidRPr="00FF045B">
              <w:rPr>
                <w:b/>
                <w:bCs/>
              </w:rPr>
              <w:t>1</w:t>
            </w:r>
            <w:r w:rsidR="00E46602">
              <w:rPr>
                <w:b/>
                <w:bCs/>
              </w:rPr>
              <w:t>7</w:t>
            </w:r>
            <w:r w:rsidRPr="00FF045B">
              <w:rPr>
                <w:b/>
                <w:bCs/>
              </w:rPr>
              <w:t xml:space="preserve">5 </w:t>
            </w:r>
            <w:r w:rsidR="00AA19EC">
              <w:rPr>
                <w:b/>
                <w:bCs/>
              </w:rPr>
              <w:t>926</w:t>
            </w:r>
            <w:r w:rsidRPr="00FF045B">
              <w:rPr>
                <w:b/>
                <w:bCs/>
              </w:rPr>
              <w:t xml:space="preserve"> </w:t>
            </w:r>
            <w:r w:rsidR="00AA19EC">
              <w:rPr>
                <w:b/>
                <w:bCs/>
              </w:rPr>
              <w:t>667</w:t>
            </w:r>
          </w:p>
        </w:tc>
      </w:tr>
      <w:tr w:rsidR="00F15FAD" w:rsidRPr="00FF045B" w14:paraId="69F5EA2E" w14:textId="77777777" w:rsidTr="0018772E">
        <w:tc>
          <w:tcPr>
            <w:tcW w:w="0" w:type="auto"/>
            <w:vMerge w:val="restart"/>
            <w:vAlign w:val="center"/>
            <w:hideMark/>
          </w:tcPr>
          <w:p w14:paraId="7CECE66A" w14:textId="77777777" w:rsidR="00F15FAD" w:rsidRPr="00FF045B" w:rsidRDefault="00F15FAD">
            <w:pPr>
              <w:spacing w:line="259" w:lineRule="auto"/>
            </w:pPr>
            <w:r w:rsidRPr="00FF045B">
              <w:t>Forêts</w:t>
            </w:r>
          </w:p>
        </w:tc>
        <w:tc>
          <w:tcPr>
            <w:tcW w:w="5434" w:type="dxa"/>
            <w:hideMark/>
          </w:tcPr>
          <w:p w14:paraId="27507E0D" w14:textId="77777777" w:rsidR="00F15FAD" w:rsidRPr="00FF045B" w:rsidRDefault="00F15FAD">
            <w:pPr>
              <w:spacing w:line="259" w:lineRule="auto"/>
            </w:pPr>
            <w:r w:rsidRPr="00FF045B">
              <w:t>Programme d’amélioration de la couverture végétale et des écosystèmes agroforestiers</w:t>
            </w:r>
          </w:p>
        </w:tc>
        <w:tc>
          <w:tcPr>
            <w:tcW w:w="1696" w:type="dxa"/>
            <w:vAlign w:val="center"/>
            <w:hideMark/>
          </w:tcPr>
          <w:p w14:paraId="560070D8" w14:textId="77777777" w:rsidR="00F15FAD" w:rsidRPr="00FF045B" w:rsidRDefault="00F15FAD">
            <w:pPr>
              <w:spacing w:line="259" w:lineRule="auto"/>
              <w:jc w:val="center"/>
            </w:pPr>
            <w:r w:rsidRPr="005A5D79">
              <w:t>66 666 667</w:t>
            </w:r>
          </w:p>
        </w:tc>
      </w:tr>
      <w:tr w:rsidR="00F15FAD" w:rsidRPr="00FF045B" w14:paraId="51A3C86B" w14:textId="77777777" w:rsidTr="0018772E">
        <w:tc>
          <w:tcPr>
            <w:tcW w:w="0" w:type="auto"/>
            <w:vMerge/>
          </w:tcPr>
          <w:p w14:paraId="1A25CD24" w14:textId="77777777" w:rsidR="00F15FAD" w:rsidRPr="00FF045B" w:rsidRDefault="00F15FAD">
            <w:pPr>
              <w:spacing w:line="259" w:lineRule="auto"/>
            </w:pPr>
          </w:p>
        </w:tc>
        <w:tc>
          <w:tcPr>
            <w:tcW w:w="5434" w:type="dxa"/>
            <w:hideMark/>
          </w:tcPr>
          <w:p w14:paraId="373B9D2B" w14:textId="77777777" w:rsidR="00F15FAD" w:rsidRPr="00FF045B" w:rsidRDefault="00F15FAD">
            <w:pPr>
              <w:spacing w:line="259" w:lineRule="auto"/>
            </w:pPr>
            <w:r w:rsidRPr="00FF045B">
              <w:t>Programme de développement et de valorisation des produits forestiers non ligneux et résilience des communautés</w:t>
            </w:r>
          </w:p>
        </w:tc>
        <w:tc>
          <w:tcPr>
            <w:tcW w:w="1696" w:type="dxa"/>
            <w:vAlign w:val="center"/>
            <w:hideMark/>
          </w:tcPr>
          <w:p w14:paraId="05095237" w14:textId="77777777" w:rsidR="00F15FAD" w:rsidRPr="00FF045B" w:rsidRDefault="00F15FAD">
            <w:pPr>
              <w:spacing w:line="259" w:lineRule="auto"/>
              <w:jc w:val="center"/>
            </w:pPr>
            <w:r w:rsidRPr="005A5D79">
              <w:t>500 000</w:t>
            </w:r>
          </w:p>
        </w:tc>
      </w:tr>
      <w:tr w:rsidR="00F15FAD" w:rsidRPr="00FF045B" w14:paraId="433DF721" w14:textId="77777777" w:rsidTr="0018772E">
        <w:tc>
          <w:tcPr>
            <w:tcW w:w="0" w:type="auto"/>
            <w:vMerge/>
          </w:tcPr>
          <w:p w14:paraId="134C92CE" w14:textId="77777777" w:rsidR="00F15FAD" w:rsidRPr="00FF045B" w:rsidRDefault="00F15FAD">
            <w:pPr>
              <w:spacing w:line="259" w:lineRule="auto"/>
            </w:pPr>
          </w:p>
        </w:tc>
        <w:tc>
          <w:tcPr>
            <w:tcW w:w="5434" w:type="dxa"/>
            <w:hideMark/>
          </w:tcPr>
          <w:p w14:paraId="7BA8ABD2" w14:textId="77777777" w:rsidR="00F15FAD" w:rsidRPr="00FF045B" w:rsidRDefault="00F15FAD">
            <w:pPr>
              <w:spacing w:line="259" w:lineRule="auto"/>
            </w:pPr>
            <w:r w:rsidRPr="00FF045B">
              <w:t>Promotion, développement et valorisation durable de la filière gomme arabique</w:t>
            </w:r>
          </w:p>
        </w:tc>
        <w:tc>
          <w:tcPr>
            <w:tcW w:w="1696" w:type="dxa"/>
            <w:vAlign w:val="center"/>
            <w:hideMark/>
          </w:tcPr>
          <w:p w14:paraId="10D47FF8" w14:textId="77777777" w:rsidR="00F15FAD" w:rsidRPr="00FF045B" w:rsidRDefault="00F15FAD">
            <w:pPr>
              <w:spacing w:line="259" w:lineRule="auto"/>
              <w:jc w:val="center"/>
            </w:pPr>
            <w:r w:rsidRPr="005A5D79">
              <w:t>9 500 000</w:t>
            </w:r>
          </w:p>
        </w:tc>
      </w:tr>
      <w:tr w:rsidR="00F15FAD" w:rsidRPr="00FF045B" w14:paraId="40438366" w14:textId="77777777" w:rsidTr="0018772E">
        <w:tc>
          <w:tcPr>
            <w:tcW w:w="0" w:type="auto"/>
            <w:vMerge/>
          </w:tcPr>
          <w:p w14:paraId="3B3E8302" w14:textId="77777777" w:rsidR="00F15FAD" w:rsidRPr="00FF045B" w:rsidRDefault="00F15FAD">
            <w:pPr>
              <w:spacing w:line="259" w:lineRule="auto"/>
            </w:pPr>
          </w:p>
        </w:tc>
        <w:tc>
          <w:tcPr>
            <w:tcW w:w="5434" w:type="dxa"/>
            <w:hideMark/>
          </w:tcPr>
          <w:p w14:paraId="6834AB48" w14:textId="77777777" w:rsidR="00F15FAD" w:rsidRPr="00FF045B" w:rsidRDefault="00F15FAD">
            <w:pPr>
              <w:spacing w:line="259" w:lineRule="auto"/>
            </w:pPr>
            <w:r w:rsidRPr="00FF045B">
              <w:t>Programme de reboisement intensif et restauration du couvert végétal</w:t>
            </w:r>
          </w:p>
        </w:tc>
        <w:tc>
          <w:tcPr>
            <w:tcW w:w="1696" w:type="dxa"/>
            <w:vAlign w:val="center"/>
            <w:hideMark/>
          </w:tcPr>
          <w:p w14:paraId="479BD4E7" w14:textId="77777777" w:rsidR="00F15FAD" w:rsidRPr="00FF045B" w:rsidRDefault="00F15FAD">
            <w:pPr>
              <w:spacing w:line="259" w:lineRule="auto"/>
              <w:jc w:val="center"/>
            </w:pPr>
            <w:r w:rsidRPr="005A5D79">
              <w:t>Non déterminé</w:t>
            </w:r>
          </w:p>
        </w:tc>
      </w:tr>
      <w:tr w:rsidR="00F15FAD" w:rsidRPr="00FF045B" w14:paraId="6B901596" w14:textId="77777777" w:rsidTr="0018772E">
        <w:tc>
          <w:tcPr>
            <w:tcW w:w="0" w:type="auto"/>
            <w:vMerge/>
          </w:tcPr>
          <w:p w14:paraId="7914C5F4" w14:textId="77777777" w:rsidR="00F15FAD" w:rsidRPr="00FF045B" w:rsidRDefault="00F15FAD">
            <w:pPr>
              <w:spacing w:line="259" w:lineRule="auto"/>
            </w:pPr>
          </w:p>
        </w:tc>
        <w:tc>
          <w:tcPr>
            <w:tcW w:w="5434" w:type="dxa"/>
            <w:hideMark/>
          </w:tcPr>
          <w:p w14:paraId="2CFB230B" w14:textId="77777777" w:rsidR="00F15FAD" w:rsidRPr="00FF045B" w:rsidRDefault="00F15FAD">
            <w:pPr>
              <w:spacing w:line="259" w:lineRule="auto"/>
            </w:pPr>
            <w:r w:rsidRPr="00FF045B">
              <w:t>PRTD — Projet de Résilience des Terres et du Développement</w:t>
            </w:r>
          </w:p>
        </w:tc>
        <w:tc>
          <w:tcPr>
            <w:tcW w:w="1696" w:type="dxa"/>
            <w:vAlign w:val="center"/>
            <w:hideMark/>
          </w:tcPr>
          <w:p w14:paraId="397C2B26" w14:textId="2DE16730" w:rsidR="00F15FAD" w:rsidRPr="00FF045B" w:rsidRDefault="00681D59">
            <w:pPr>
              <w:spacing w:line="259" w:lineRule="auto"/>
              <w:jc w:val="center"/>
            </w:pPr>
            <w:r>
              <w:t>150</w:t>
            </w:r>
            <w:r w:rsidR="00F15FAD" w:rsidRPr="005A5D79">
              <w:t xml:space="preserve"> 000</w:t>
            </w:r>
          </w:p>
        </w:tc>
      </w:tr>
      <w:tr w:rsidR="00F15FAD" w:rsidRPr="00FF045B" w14:paraId="3909859C" w14:textId="77777777" w:rsidTr="0018772E">
        <w:tc>
          <w:tcPr>
            <w:tcW w:w="0" w:type="auto"/>
            <w:shd w:val="clear" w:color="auto" w:fill="F2F2F2" w:themeFill="background1" w:themeFillShade="F2"/>
            <w:hideMark/>
          </w:tcPr>
          <w:p w14:paraId="119911F5" w14:textId="77777777" w:rsidR="00F15FAD" w:rsidRPr="00FF045B" w:rsidRDefault="00F15FAD">
            <w:pPr>
              <w:spacing w:line="259" w:lineRule="auto"/>
            </w:pPr>
            <w:r w:rsidRPr="00FF045B">
              <w:rPr>
                <w:b/>
                <w:bCs/>
              </w:rPr>
              <w:t>Total Forêts</w:t>
            </w:r>
          </w:p>
        </w:tc>
        <w:tc>
          <w:tcPr>
            <w:tcW w:w="5434" w:type="dxa"/>
            <w:shd w:val="clear" w:color="auto" w:fill="F2F2F2" w:themeFill="background1" w:themeFillShade="F2"/>
            <w:hideMark/>
          </w:tcPr>
          <w:p w14:paraId="38529E39" w14:textId="77777777" w:rsidR="00F15FAD" w:rsidRPr="00FF045B" w:rsidRDefault="00F15FAD">
            <w:pPr>
              <w:spacing w:line="259" w:lineRule="auto"/>
            </w:pPr>
          </w:p>
        </w:tc>
        <w:tc>
          <w:tcPr>
            <w:tcW w:w="1696" w:type="dxa"/>
            <w:shd w:val="clear" w:color="auto" w:fill="F2F2F2" w:themeFill="background1" w:themeFillShade="F2"/>
            <w:vAlign w:val="center"/>
            <w:hideMark/>
          </w:tcPr>
          <w:p w14:paraId="548CCFB7" w14:textId="0FE85035" w:rsidR="00436138" w:rsidRPr="00FF045B" w:rsidRDefault="00436138">
            <w:pPr>
              <w:spacing w:line="259" w:lineRule="auto"/>
              <w:jc w:val="center"/>
            </w:pPr>
            <w:r w:rsidRPr="00436138">
              <w:rPr>
                <w:b/>
                <w:bCs/>
              </w:rPr>
              <w:t>76 816 667</w:t>
            </w:r>
          </w:p>
        </w:tc>
      </w:tr>
      <w:tr w:rsidR="00F15FAD" w:rsidRPr="00FF045B" w14:paraId="432A5129" w14:textId="77777777" w:rsidTr="0018772E">
        <w:tc>
          <w:tcPr>
            <w:tcW w:w="0" w:type="auto"/>
            <w:vMerge w:val="restart"/>
            <w:vAlign w:val="center"/>
            <w:hideMark/>
          </w:tcPr>
          <w:p w14:paraId="3D577B40" w14:textId="77777777" w:rsidR="00F15FAD" w:rsidRPr="00FF045B" w:rsidRDefault="00F15FAD">
            <w:pPr>
              <w:spacing w:line="259" w:lineRule="auto"/>
            </w:pPr>
            <w:r w:rsidRPr="00FF045B">
              <w:t>Déchets</w:t>
            </w:r>
          </w:p>
        </w:tc>
        <w:tc>
          <w:tcPr>
            <w:tcW w:w="5434" w:type="dxa"/>
            <w:hideMark/>
          </w:tcPr>
          <w:p w14:paraId="60202E53" w14:textId="77777777" w:rsidR="00F15FAD" w:rsidRPr="00FF045B" w:rsidRDefault="00F15FAD">
            <w:pPr>
              <w:spacing w:line="259" w:lineRule="auto"/>
            </w:pPr>
            <w:r w:rsidRPr="00FF045B">
              <w:t>PRUBA — Projet de gestion des déchets solides urbains du Grand Bamako</w:t>
            </w:r>
          </w:p>
        </w:tc>
        <w:tc>
          <w:tcPr>
            <w:tcW w:w="1696" w:type="dxa"/>
            <w:vAlign w:val="center"/>
            <w:hideMark/>
          </w:tcPr>
          <w:p w14:paraId="4D9E0B74" w14:textId="77777777" w:rsidR="00F15FAD" w:rsidRPr="00FF045B" w:rsidRDefault="00F15FAD">
            <w:pPr>
              <w:spacing w:line="259" w:lineRule="auto"/>
              <w:jc w:val="center"/>
            </w:pPr>
            <w:r w:rsidRPr="00FF045B">
              <w:t>49 000 000</w:t>
            </w:r>
          </w:p>
        </w:tc>
      </w:tr>
      <w:tr w:rsidR="00F15FAD" w:rsidRPr="00FF045B" w14:paraId="026277D8" w14:textId="77777777" w:rsidTr="0018772E">
        <w:tc>
          <w:tcPr>
            <w:tcW w:w="0" w:type="auto"/>
            <w:vMerge/>
          </w:tcPr>
          <w:p w14:paraId="49785A93" w14:textId="77777777" w:rsidR="00F15FAD" w:rsidRPr="00FF045B" w:rsidRDefault="00F15FAD">
            <w:pPr>
              <w:spacing w:line="259" w:lineRule="auto"/>
            </w:pPr>
          </w:p>
        </w:tc>
        <w:tc>
          <w:tcPr>
            <w:tcW w:w="5434" w:type="dxa"/>
            <w:hideMark/>
          </w:tcPr>
          <w:p w14:paraId="29379A96" w14:textId="77777777" w:rsidR="00F15FAD" w:rsidRPr="00FF045B" w:rsidRDefault="00F15FAD">
            <w:pPr>
              <w:spacing w:line="259" w:lineRule="auto"/>
            </w:pPr>
            <w:r w:rsidRPr="00FF045B">
              <w:t>Extension de la gestion durable des déchets ménagers dans les villes secondaires</w:t>
            </w:r>
          </w:p>
        </w:tc>
        <w:tc>
          <w:tcPr>
            <w:tcW w:w="1696" w:type="dxa"/>
            <w:vAlign w:val="center"/>
            <w:hideMark/>
          </w:tcPr>
          <w:p w14:paraId="55323685" w14:textId="77777777" w:rsidR="00F15FAD" w:rsidRPr="00FF045B" w:rsidRDefault="00F15FAD">
            <w:pPr>
              <w:spacing w:line="259" w:lineRule="auto"/>
              <w:jc w:val="center"/>
            </w:pPr>
            <w:r w:rsidRPr="00FF045B">
              <w:t>Non déterminé</w:t>
            </w:r>
          </w:p>
        </w:tc>
      </w:tr>
      <w:tr w:rsidR="00F15FAD" w:rsidRPr="00FF045B" w14:paraId="627CD0BC" w14:textId="77777777" w:rsidTr="0018772E">
        <w:tc>
          <w:tcPr>
            <w:tcW w:w="0" w:type="auto"/>
            <w:vMerge/>
          </w:tcPr>
          <w:p w14:paraId="169C3FAF" w14:textId="77777777" w:rsidR="00F15FAD" w:rsidRPr="00FF045B" w:rsidRDefault="00F15FAD">
            <w:pPr>
              <w:spacing w:line="259" w:lineRule="auto"/>
            </w:pPr>
          </w:p>
        </w:tc>
        <w:tc>
          <w:tcPr>
            <w:tcW w:w="5434" w:type="dxa"/>
            <w:hideMark/>
          </w:tcPr>
          <w:p w14:paraId="0343E87C" w14:textId="77777777" w:rsidR="00F15FAD" w:rsidRPr="00FF045B" w:rsidRDefault="00F15FAD">
            <w:pPr>
              <w:spacing w:line="259" w:lineRule="auto"/>
            </w:pPr>
            <w:r w:rsidRPr="00FF045B">
              <w:t>PRUBA — Réalisation de stations de traitement des boues de vidange</w:t>
            </w:r>
          </w:p>
        </w:tc>
        <w:tc>
          <w:tcPr>
            <w:tcW w:w="1696" w:type="dxa"/>
            <w:vAlign w:val="center"/>
            <w:hideMark/>
          </w:tcPr>
          <w:p w14:paraId="5F3A813C" w14:textId="77777777" w:rsidR="00F15FAD" w:rsidRPr="00FF045B" w:rsidRDefault="00F15FAD">
            <w:pPr>
              <w:spacing w:line="259" w:lineRule="auto"/>
              <w:jc w:val="center"/>
            </w:pPr>
            <w:r w:rsidRPr="00FF045B">
              <w:t>70 000 000</w:t>
            </w:r>
          </w:p>
        </w:tc>
      </w:tr>
      <w:tr w:rsidR="00F15FAD" w:rsidRPr="00FF045B" w14:paraId="0CD10666" w14:textId="77777777" w:rsidTr="0018772E">
        <w:tc>
          <w:tcPr>
            <w:tcW w:w="0" w:type="auto"/>
            <w:vMerge/>
          </w:tcPr>
          <w:p w14:paraId="6960A964" w14:textId="77777777" w:rsidR="00F15FAD" w:rsidRPr="00FF045B" w:rsidRDefault="00F15FAD">
            <w:pPr>
              <w:spacing w:line="259" w:lineRule="auto"/>
            </w:pPr>
          </w:p>
        </w:tc>
        <w:tc>
          <w:tcPr>
            <w:tcW w:w="5434" w:type="dxa"/>
            <w:hideMark/>
          </w:tcPr>
          <w:p w14:paraId="3C4F4D27" w14:textId="77777777" w:rsidR="00F15FAD" w:rsidRPr="00FF045B" w:rsidRDefault="00F15FAD">
            <w:pPr>
              <w:spacing w:line="259" w:lineRule="auto"/>
            </w:pPr>
            <w:r w:rsidRPr="00FF045B">
              <w:t>Extension du traitement et de la valorisation des boues de vidange dans les villes secondaires</w:t>
            </w:r>
          </w:p>
        </w:tc>
        <w:tc>
          <w:tcPr>
            <w:tcW w:w="1696" w:type="dxa"/>
            <w:vAlign w:val="center"/>
            <w:hideMark/>
          </w:tcPr>
          <w:p w14:paraId="494F9341" w14:textId="77777777" w:rsidR="00F15FAD" w:rsidRPr="00FF045B" w:rsidRDefault="00F15FAD">
            <w:pPr>
              <w:spacing w:line="259" w:lineRule="auto"/>
              <w:jc w:val="center"/>
            </w:pPr>
            <w:r w:rsidRPr="00FF045B">
              <w:t>Non déterminé</w:t>
            </w:r>
          </w:p>
        </w:tc>
      </w:tr>
      <w:tr w:rsidR="00F15FAD" w:rsidRPr="00FF045B" w14:paraId="546DE4AA" w14:textId="77777777" w:rsidTr="0018772E">
        <w:tc>
          <w:tcPr>
            <w:tcW w:w="0" w:type="auto"/>
            <w:vMerge/>
          </w:tcPr>
          <w:p w14:paraId="49EF2C1B" w14:textId="77777777" w:rsidR="00F15FAD" w:rsidRPr="00FF045B" w:rsidRDefault="00F15FAD">
            <w:pPr>
              <w:spacing w:line="259" w:lineRule="auto"/>
            </w:pPr>
          </w:p>
        </w:tc>
        <w:tc>
          <w:tcPr>
            <w:tcW w:w="5434" w:type="dxa"/>
            <w:hideMark/>
          </w:tcPr>
          <w:p w14:paraId="777BD25C" w14:textId="77777777" w:rsidR="00F15FAD" w:rsidRPr="00FF045B" w:rsidRDefault="00F15FAD">
            <w:pPr>
              <w:spacing w:line="259" w:lineRule="auto"/>
            </w:pPr>
            <w:r w:rsidRPr="00FF045B">
              <w:t>Valorisation énergétique et organique des déchets</w:t>
            </w:r>
          </w:p>
        </w:tc>
        <w:tc>
          <w:tcPr>
            <w:tcW w:w="1696" w:type="dxa"/>
            <w:vAlign w:val="center"/>
            <w:hideMark/>
          </w:tcPr>
          <w:p w14:paraId="6442095B" w14:textId="77777777" w:rsidR="00F15FAD" w:rsidRPr="00FF045B" w:rsidRDefault="00F15FAD">
            <w:pPr>
              <w:spacing w:line="259" w:lineRule="auto"/>
              <w:jc w:val="center"/>
            </w:pPr>
            <w:r w:rsidRPr="00FF045B">
              <w:t>Non déterminé</w:t>
            </w:r>
          </w:p>
        </w:tc>
      </w:tr>
      <w:tr w:rsidR="00F15FAD" w:rsidRPr="00FF045B" w14:paraId="7A3980AF" w14:textId="77777777" w:rsidTr="0018772E">
        <w:tc>
          <w:tcPr>
            <w:tcW w:w="0" w:type="auto"/>
            <w:vMerge/>
          </w:tcPr>
          <w:p w14:paraId="16EA2A39" w14:textId="77777777" w:rsidR="00F15FAD" w:rsidRPr="00FF045B" w:rsidRDefault="00F15FAD">
            <w:pPr>
              <w:spacing w:line="259" w:lineRule="auto"/>
            </w:pPr>
          </w:p>
        </w:tc>
        <w:tc>
          <w:tcPr>
            <w:tcW w:w="5434" w:type="dxa"/>
            <w:hideMark/>
          </w:tcPr>
          <w:p w14:paraId="306285BB" w14:textId="77777777" w:rsidR="00F15FAD" w:rsidRPr="00FF045B" w:rsidRDefault="00F15FAD">
            <w:pPr>
              <w:spacing w:line="259" w:lineRule="auto"/>
            </w:pPr>
            <w:r w:rsidRPr="00FF045B">
              <w:t>Recyclage et valorisation des déchets plastiques</w:t>
            </w:r>
          </w:p>
        </w:tc>
        <w:tc>
          <w:tcPr>
            <w:tcW w:w="1696" w:type="dxa"/>
            <w:vAlign w:val="center"/>
            <w:hideMark/>
          </w:tcPr>
          <w:p w14:paraId="4EB1132D" w14:textId="77777777" w:rsidR="00F15FAD" w:rsidRPr="00FF045B" w:rsidRDefault="00F15FAD">
            <w:pPr>
              <w:spacing w:line="259" w:lineRule="auto"/>
              <w:jc w:val="center"/>
            </w:pPr>
            <w:r w:rsidRPr="00FF045B">
              <w:t>Non déterminé</w:t>
            </w:r>
          </w:p>
        </w:tc>
      </w:tr>
      <w:tr w:rsidR="00F15FAD" w:rsidRPr="00FF045B" w14:paraId="6A8F1C0B" w14:textId="77777777" w:rsidTr="0018772E">
        <w:tc>
          <w:tcPr>
            <w:tcW w:w="0" w:type="auto"/>
            <w:shd w:val="clear" w:color="auto" w:fill="F2F2F2" w:themeFill="background1" w:themeFillShade="F2"/>
            <w:hideMark/>
          </w:tcPr>
          <w:p w14:paraId="0B0AA387" w14:textId="77777777" w:rsidR="00F15FAD" w:rsidRPr="00FF045B" w:rsidRDefault="00F15FAD">
            <w:pPr>
              <w:spacing w:line="259" w:lineRule="auto"/>
            </w:pPr>
            <w:r w:rsidRPr="00FF045B">
              <w:rPr>
                <w:b/>
                <w:bCs/>
              </w:rPr>
              <w:t>Total Déchets</w:t>
            </w:r>
          </w:p>
        </w:tc>
        <w:tc>
          <w:tcPr>
            <w:tcW w:w="5434" w:type="dxa"/>
            <w:shd w:val="clear" w:color="auto" w:fill="F2F2F2" w:themeFill="background1" w:themeFillShade="F2"/>
            <w:hideMark/>
          </w:tcPr>
          <w:p w14:paraId="32301F87" w14:textId="77777777" w:rsidR="00F15FAD" w:rsidRPr="00FF045B" w:rsidRDefault="00F15FAD">
            <w:pPr>
              <w:spacing w:line="259" w:lineRule="auto"/>
            </w:pPr>
          </w:p>
        </w:tc>
        <w:tc>
          <w:tcPr>
            <w:tcW w:w="1696" w:type="dxa"/>
            <w:shd w:val="clear" w:color="auto" w:fill="F2F2F2" w:themeFill="background1" w:themeFillShade="F2"/>
            <w:vAlign w:val="center"/>
            <w:hideMark/>
          </w:tcPr>
          <w:p w14:paraId="7B363B55" w14:textId="77777777" w:rsidR="00F15FAD" w:rsidRPr="00FF045B" w:rsidRDefault="00F15FAD">
            <w:pPr>
              <w:spacing w:line="259" w:lineRule="auto"/>
              <w:jc w:val="center"/>
            </w:pPr>
            <w:r w:rsidRPr="00FF045B">
              <w:rPr>
                <w:b/>
                <w:bCs/>
              </w:rPr>
              <w:t>119 000 000</w:t>
            </w:r>
          </w:p>
        </w:tc>
      </w:tr>
      <w:tr w:rsidR="00F15FAD" w:rsidRPr="00FF045B" w14:paraId="37EC0615" w14:textId="77777777" w:rsidTr="0018772E">
        <w:tc>
          <w:tcPr>
            <w:tcW w:w="0" w:type="auto"/>
            <w:hideMark/>
          </w:tcPr>
          <w:p w14:paraId="0F33CF0E" w14:textId="77777777" w:rsidR="00F15FAD" w:rsidRPr="00FF045B" w:rsidRDefault="00F15FAD">
            <w:pPr>
              <w:spacing w:line="259" w:lineRule="auto"/>
            </w:pPr>
            <w:r w:rsidRPr="00FF045B">
              <w:rPr>
                <w:b/>
                <w:bCs/>
              </w:rPr>
              <w:t>TOTAL ATTÉNUATION</w:t>
            </w:r>
          </w:p>
        </w:tc>
        <w:tc>
          <w:tcPr>
            <w:tcW w:w="5434" w:type="dxa"/>
            <w:hideMark/>
          </w:tcPr>
          <w:p w14:paraId="519B05A1" w14:textId="77777777" w:rsidR="00F15FAD" w:rsidRPr="00FF045B" w:rsidRDefault="00F15FAD">
            <w:pPr>
              <w:spacing w:line="259" w:lineRule="auto"/>
            </w:pPr>
            <w:r w:rsidRPr="00FF045B">
              <w:t>Mesures chiffrées uniquement</w:t>
            </w:r>
          </w:p>
        </w:tc>
        <w:tc>
          <w:tcPr>
            <w:tcW w:w="1696" w:type="dxa"/>
            <w:vAlign w:val="center"/>
            <w:hideMark/>
          </w:tcPr>
          <w:p w14:paraId="4333DE82" w14:textId="70C460B5" w:rsidR="00CA6931" w:rsidRPr="00CA6931" w:rsidRDefault="00CA6931">
            <w:pPr>
              <w:spacing w:line="259" w:lineRule="auto"/>
              <w:jc w:val="center"/>
              <w:rPr>
                <w:b/>
                <w:bCs/>
              </w:rPr>
            </w:pPr>
            <w:r w:rsidRPr="00CA6931">
              <w:rPr>
                <w:b/>
                <w:bCs/>
              </w:rPr>
              <w:t>5 714 760 473</w:t>
            </w:r>
          </w:p>
        </w:tc>
      </w:tr>
    </w:tbl>
    <w:p w14:paraId="42D6174F" w14:textId="77777777" w:rsidR="00F15FAD" w:rsidRPr="005E6665" w:rsidRDefault="00F15FAD" w:rsidP="005E6665">
      <w:pPr>
        <w:rPr>
          <w:lang w:eastAsia="en-US"/>
        </w:rPr>
      </w:pPr>
    </w:p>
    <w:p w14:paraId="6EE34D08" w14:textId="1098134A" w:rsidR="001F64BE" w:rsidRDefault="0050646E" w:rsidP="001F64BE">
      <w:pPr>
        <w:pStyle w:val="Titre2"/>
      </w:pPr>
      <w:bookmarkStart w:id="85" w:name="_Toc234853884"/>
      <w:r>
        <w:t>Objectif</w:t>
      </w:r>
      <w:r w:rsidR="00F11C42">
        <w:t xml:space="preserve"> national</w:t>
      </w:r>
      <w:bookmarkEnd w:id="85"/>
    </w:p>
    <w:p w14:paraId="5F96B4B8" w14:textId="044F61E9" w:rsidR="000A5A43" w:rsidRDefault="000541D7" w:rsidP="00F45877">
      <w:pPr>
        <w:jc w:val="both"/>
        <w:rPr>
          <w:lang w:eastAsia="en-US"/>
        </w:rPr>
      </w:pPr>
      <w:r>
        <w:rPr>
          <w:lang w:eastAsia="en-US"/>
        </w:rPr>
        <w:t xml:space="preserve">Dans le cadre de sa troisième Contribution Déterminée au niveau National, le Mali s'engage à réduire ses émissions de gaz à effet de serre à l'horizon 2035, selon deux périmètres complémentaires : </w:t>
      </w:r>
      <w:r w:rsidRPr="00B4321E">
        <w:rPr>
          <w:b/>
          <w:bCs/>
          <w:color w:val="2F5496" w:themeColor="accent5" w:themeShade="BF"/>
          <w:lang w:eastAsia="en-US"/>
        </w:rPr>
        <w:t>2</w:t>
      </w:r>
      <w:r w:rsidR="000126E3">
        <w:rPr>
          <w:b/>
          <w:bCs/>
          <w:color w:val="2F5496" w:themeColor="accent5" w:themeShade="BF"/>
          <w:lang w:eastAsia="en-US"/>
        </w:rPr>
        <w:t>5</w:t>
      </w:r>
      <w:r w:rsidRPr="00B4321E">
        <w:rPr>
          <w:b/>
          <w:bCs/>
          <w:color w:val="2F5496" w:themeColor="accent5" w:themeShade="BF"/>
          <w:lang w:eastAsia="en-US"/>
        </w:rPr>
        <w:t xml:space="preserve"> %</w:t>
      </w:r>
      <w:r w:rsidRPr="00B4321E">
        <w:rPr>
          <w:color w:val="2F5496" w:themeColor="accent5" w:themeShade="BF"/>
          <w:lang w:eastAsia="en-US"/>
        </w:rPr>
        <w:t xml:space="preserve"> </w:t>
      </w:r>
      <w:r>
        <w:rPr>
          <w:lang w:eastAsia="en-US"/>
        </w:rPr>
        <w:t xml:space="preserve">par rapport au scénario de référence sur le périmètre des secteurs émetteurs (énergie, agriculture, déchets), et </w:t>
      </w:r>
      <w:r w:rsidR="000126E3">
        <w:rPr>
          <w:b/>
          <w:bCs/>
          <w:color w:val="2F5496" w:themeColor="accent5" w:themeShade="BF"/>
          <w:lang w:eastAsia="en-US"/>
        </w:rPr>
        <w:t>42,7</w:t>
      </w:r>
      <w:r w:rsidR="0043477F">
        <w:rPr>
          <w:b/>
          <w:bCs/>
          <w:color w:val="2F5496" w:themeColor="accent5" w:themeShade="BF"/>
          <w:lang w:eastAsia="en-US"/>
        </w:rPr>
        <w:t xml:space="preserve"> </w:t>
      </w:r>
      <w:r w:rsidRPr="00F45877">
        <w:rPr>
          <w:b/>
          <w:bCs/>
          <w:color w:val="2F5496" w:themeColor="accent5" w:themeShade="BF"/>
          <w:lang w:eastAsia="en-US"/>
        </w:rPr>
        <w:t>%</w:t>
      </w:r>
      <w:r w:rsidRPr="00F45877">
        <w:rPr>
          <w:color w:val="2F5496" w:themeColor="accent5" w:themeShade="BF"/>
          <w:lang w:eastAsia="en-US"/>
        </w:rPr>
        <w:t xml:space="preserve"> </w:t>
      </w:r>
      <w:r>
        <w:rPr>
          <w:lang w:eastAsia="en-US"/>
        </w:rPr>
        <w:t>lorsque la contribution du secteur des forêts (UTCATF) est intégrée.</w:t>
      </w:r>
    </w:p>
    <w:p w14:paraId="2A705F7B" w14:textId="6169B91D" w:rsidR="00733D03" w:rsidRDefault="00733D03" w:rsidP="00733D03">
      <w:pPr>
        <w:pStyle w:val="Lgende"/>
        <w:keepNext/>
      </w:pPr>
      <w:bookmarkStart w:id="86" w:name="_Toc234853958"/>
      <w:r>
        <w:t xml:space="preserve">Tableau </w:t>
      </w:r>
      <w:r>
        <w:fldChar w:fldCharType="begin"/>
      </w:r>
      <w:r>
        <w:instrText xml:space="preserve"> SEQ Tableau \* ARABIC </w:instrText>
      </w:r>
      <w:r>
        <w:fldChar w:fldCharType="separate"/>
      </w:r>
      <w:r w:rsidR="0018772E">
        <w:rPr>
          <w:noProof/>
        </w:rPr>
        <w:t>34</w:t>
      </w:r>
      <w:r>
        <w:fldChar w:fldCharType="end"/>
      </w:r>
      <w:r w:rsidRPr="00AD35DA">
        <w:t xml:space="preserve"> : Synthèse des objectifs nationaux d'atténuation à l'horizon 2035</w:t>
      </w:r>
      <w:bookmarkEnd w:id="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9"/>
        <w:gridCol w:w="2447"/>
        <w:gridCol w:w="3350"/>
      </w:tblGrid>
      <w:tr w:rsidR="002E5A61" w:rsidRPr="00031E43" w14:paraId="11D817C2" w14:textId="77777777" w:rsidTr="00987340">
        <w:trPr>
          <w:tblHeader/>
        </w:trPr>
        <w:tc>
          <w:tcPr>
            <w:tcW w:w="1918" w:type="pct"/>
            <w:tcBorders>
              <w:top w:val="single" w:sz="4" w:space="0" w:color="BFBFBF"/>
              <w:left w:val="single" w:sz="4" w:space="0" w:color="BFBFBF"/>
              <w:bottom w:val="single" w:sz="4" w:space="0" w:color="BFBFBF"/>
              <w:right w:val="single" w:sz="4" w:space="0" w:color="BFBFBF"/>
            </w:tcBorders>
            <w:shd w:val="clear" w:color="auto" w:fill="1F4E79" w:themeFill="accent1" w:themeFillShade="80"/>
            <w:tcMar>
              <w:top w:w="100" w:type="dxa"/>
              <w:left w:w="120" w:type="dxa"/>
              <w:bottom w:w="100" w:type="dxa"/>
              <w:right w:w="120" w:type="dxa"/>
            </w:tcMar>
            <w:vAlign w:val="center"/>
          </w:tcPr>
          <w:p w14:paraId="2B72347B" w14:textId="77777777" w:rsidR="002E5A61" w:rsidRPr="00031E43" w:rsidRDefault="002E5A61" w:rsidP="006F7DE9">
            <w:pPr>
              <w:spacing w:after="0"/>
              <w:jc w:val="center"/>
              <w:rPr>
                <w:sz w:val="20"/>
                <w:szCs w:val="20"/>
              </w:rPr>
            </w:pPr>
            <w:r w:rsidRPr="00031E43">
              <w:rPr>
                <w:rFonts w:eastAsia="Arial"/>
                <w:b/>
                <w:bCs/>
                <w:color w:val="FFFFFF"/>
                <w:sz w:val="20"/>
                <w:szCs w:val="20"/>
              </w:rPr>
              <w:t>Périmètre</w:t>
            </w:r>
          </w:p>
        </w:tc>
        <w:tc>
          <w:tcPr>
            <w:tcW w:w="1301" w:type="pct"/>
            <w:tcBorders>
              <w:top w:val="single" w:sz="4" w:space="0" w:color="BFBFBF"/>
              <w:left w:val="single" w:sz="4" w:space="0" w:color="BFBFBF"/>
              <w:bottom w:val="single" w:sz="4" w:space="0" w:color="BFBFBF"/>
              <w:right w:val="single" w:sz="4" w:space="0" w:color="BFBFBF"/>
            </w:tcBorders>
            <w:shd w:val="clear" w:color="auto" w:fill="1F4E79" w:themeFill="accent1" w:themeFillShade="80"/>
            <w:tcMar>
              <w:top w:w="100" w:type="dxa"/>
              <w:left w:w="120" w:type="dxa"/>
              <w:bottom w:w="100" w:type="dxa"/>
              <w:right w:w="120" w:type="dxa"/>
            </w:tcMar>
            <w:vAlign w:val="center"/>
          </w:tcPr>
          <w:p w14:paraId="57540BDA" w14:textId="77777777" w:rsidR="002E5A61" w:rsidRPr="00031E43" w:rsidRDefault="002E5A61" w:rsidP="006F7DE9">
            <w:pPr>
              <w:spacing w:after="0"/>
              <w:jc w:val="center"/>
              <w:rPr>
                <w:sz w:val="20"/>
                <w:szCs w:val="20"/>
              </w:rPr>
            </w:pPr>
            <w:r w:rsidRPr="00031E43">
              <w:rPr>
                <w:rFonts w:eastAsia="Arial"/>
                <w:b/>
                <w:bCs/>
                <w:color w:val="FFFFFF"/>
                <w:sz w:val="20"/>
                <w:szCs w:val="20"/>
              </w:rPr>
              <w:t>Atténuation 2035 (kt CO₂éq/an)</w:t>
            </w:r>
          </w:p>
        </w:tc>
        <w:tc>
          <w:tcPr>
            <w:tcW w:w="1781" w:type="pct"/>
            <w:tcBorders>
              <w:top w:val="single" w:sz="4" w:space="0" w:color="BFBFBF"/>
              <w:left w:val="single" w:sz="4" w:space="0" w:color="BFBFBF"/>
              <w:bottom w:val="single" w:sz="4" w:space="0" w:color="BFBFBF"/>
              <w:right w:val="single" w:sz="4" w:space="0" w:color="BFBFBF"/>
            </w:tcBorders>
            <w:shd w:val="clear" w:color="auto" w:fill="1F4E79" w:themeFill="accent1" w:themeFillShade="80"/>
            <w:tcMar>
              <w:top w:w="100" w:type="dxa"/>
              <w:left w:w="120" w:type="dxa"/>
              <w:bottom w:w="100" w:type="dxa"/>
              <w:right w:w="120" w:type="dxa"/>
            </w:tcMar>
            <w:vAlign w:val="center"/>
          </w:tcPr>
          <w:p w14:paraId="4E579ABD" w14:textId="77777777" w:rsidR="002E5A61" w:rsidRPr="00031E43" w:rsidRDefault="002E5A61" w:rsidP="006F7DE9">
            <w:pPr>
              <w:spacing w:after="0"/>
              <w:jc w:val="center"/>
              <w:rPr>
                <w:sz w:val="20"/>
                <w:szCs w:val="20"/>
              </w:rPr>
            </w:pPr>
            <w:r w:rsidRPr="00031E43">
              <w:rPr>
                <w:rFonts w:eastAsia="Arial"/>
                <w:b/>
                <w:bCs/>
                <w:color w:val="FFFFFF"/>
                <w:sz w:val="20"/>
                <w:szCs w:val="20"/>
              </w:rPr>
              <w:t>Réduction par rapport au scénario de référence</w:t>
            </w:r>
          </w:p>
        </w:tc>
      </w:tr>
      <w:tr w:rsidR="002E5A61" w:rsidRPr="00031E43" w14:paraId="617EFDFD" w14:textId="77777777" w:rsidTr="002E5A61">
        <w:tc>
          <w:tcPr>
            <w:tcW w:w="1918" w:type="pct"/>
            <w:tcBorders>
              <w:top w:val="single" w:sz="4" w:space="0" w:color="BFBFBF"/>
              <w:left w:val="single" w:sz="4" w:space="0" w:color="BFBFBF"/>
              <w:bottom w:val="single" w:sz="4" w:space="0" w:color="BFBFBF"/>
              <w:right w:val="single" w:sz="4" w:space="0" w:color="BFBFBF"/>
            </w:tcBorders>
            <w:shd w:val="clear" w:color="auto" w:fill="EDEDED" w:themeFill="accent3" w:themeFillTint="33"/>
            <w:tcMar>
              <w:top w:w="100" w:type="dxa"/>
              <w:left w:w="120" w:type="dxa"/>
              <w:bottom w:w="100" w:type="dxa"/>
              <w:right w:w="120" w:type="dxa"/>
            </w:tcMar>
            <w:vAlign w:val="center"/>
          </w:tcPr>
          <w:p w14:paraId="2A1431D0" w14:textId="77777777" w:rsidR="002E5A61" w:rsidRPr="00031E43" w:rsidRDefault="002E5A61" w:rsidP="006F7DE9">
            <w:pPr>
              <w:spacing w:after="0" w:line="280" w:lineRule="auto"/>
              <w:jc w:val="both"/>
              <w:rPr>
                <w:sz w:val="20"/>
                <w:szCs w:val="20"/>
              </w:rPr>
            </w:pPr>
            <w:r w:rsidRPr="00031E43">
              <w:rPr>
                <w:rFonts w:eastAsia="Arial"/>
                <w:b/>
                <w:bCs/>
                <w:sz w:val="20"/>
                <w:szCs w:val="20"/>
              </w:rPr>
              <w:t>Hors UTCATF (énergie, agriculture, déchets)</w:t>
            </w:r>
          </w:p>
        </w:tc>
        <w:tc>
          <w:tcPr>
            <w:tcW w:w="1301"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3C7C536" w14:textId="6A983AE3" w:rsidR="002E5A61" w:rsidRPr="00031E43" w:rsidRDefault="00F41623" w:rsidP="006F7DE9">
            <w:pPr>
              <w:spacing w:after="0" w:line="280" w:lineRule="auto"/>
              <w:jc w:val="center"/>
              <w:rPr>
                <w:sz w:val="20"/>
                <w:szCs w:val="20"/>
              </w:rPr>
            </w:pPr>
            <w:r w:rsidRPr="00F41623">
              <w:rPr>
                <w:rFonts w:eastAsia="Arial"/>
                <w:b/>
                <w:bCs/>
                <w:sz w:val="20"/>
                <w:szCs w:val="20"/>
              </w:rPr>
              <w:t>16 532</w:t>
            </w:r>
          </w:p>
        </w:tc>
        <w:tc>
          <w:tcPr>
            <w:tcW w:w="1781"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01E5A1DB" w14:textId="6A479D19" w:rsidR="002E5A61" w:rsidRPr="00031E43" w:rsidRDefault="005164F7" w:rsidP="006F7DE9">
            <w:pPr>
              <w:spacing w:after="0" w:line="280" w:lineRule="auto"/>
              <w:jc w:val="center"/>
              <w:rPr>
                <w:sz w:val="20"/>
                <w:szCs w:val="20"/>
              </w:rPr>
            </w:pPr>
            <w:r w:rsidRPr="005164F7">
              <w:rPr>
                <w:rFonts w:eastAsia="Arial"/>
                <w:b/>
                <w:bCs/>
                <w:color w:val="085041"/>
                <w:sz w:val="20"/>
                <w:szCs w:val="20"/>
              </w:rPr>
              <w:t>25</w:t>
            </w:r>
            <w:r w:rsidR="002E5A61" w:rsidRPr="00031E43">
              <w:rPr>
                <w:rFonts w:eastAsia="Arial"/>
                <w:b/>
                <w:bCs/>
                <w:color w:val="085041"/>
                <w:sz w:val="20"/>
                <w:szCs w:val="20"/>
              </w:rPr>
              <w:t>,5 %</w:t>
            </w:r>
          </w:p>
        </w:tc>
      </w:tr>
      <w:tr w:rsidR="002E5A61" w:rsidRPr="00031E43" w14:paraId="48FA258E" w14:textId="77777777" w:rsidTr="002E5A61">
        <w:tc>
          <w:tcPr>
            <w:tcW w:w="1918" w:type="pct"/>
            <w:tcBorders>
              <w:top w:val="single" w:sz="4" w:space="0" w:color="BFBFBF"/>
              <w:left w:val="single" w:sz="4" w:space="0" w:color="BFBFBF"/>
              <w:bottom w:val="single" w:sz="4" w:space="0" w:color="BFBFBF"/>
              <w:right w:val="single" w:sz="4" w:space="0" w:color="BFBFBF"/>
            </w:tcBorders>
            <w:shd w:val="clear" w:color="auto" w:fill="EDEDED" w:themeFill="accent3" w:themeFillTint="33"/>
            <w:tcMar>
              <w:top w:w="100" w:type="dxa"/>
              <w:left w:w="120" w:type="dxa"/>
              <w:bottom w:w="100" w:type="dxa"/>
              <w:right w:w="120" w:type="dxa"/>
            </w:tcMar>
            <w:vAlign w:val="center"/>
          </w:tcPr>
          <w:p w14:paraId="5FE2ABED" w14:textId="77777777" w:rsidR="002E5A61" w:rsidRPr="00031E43" w:rsidRDefault="002E5A61" w:rsidP="006F7DE9">
            <w:pPr>
              <w:spacing w:after="0" w:line="280" w:lineRule="auto"/>
              <w:jc w:val="both"/>
              <w:rPr>
                <w:sz w:val="20"/>
                <w:szCs w:val="20"/>
              </w:rPr>
            </w:pPr>
            <w:r w:rsidRPr="00031E43">
              <w:rPr>
                <w:rFonts w:eastAsia="Arial"/>
                <w:b/>
                <w:bCs/>
                <w:sz w:val="20"/>
                <w:szCs w:val="20"/>
              </w:rPr>
              <w:lastRenderedPageBreak/>
              <w:t>Avec UTCATF (incluant la séquestration forestière)</w:t>
            </w:r>
          </w:p>
        </w:tc>
        <w:tc>
          <w:tcPr>
            <w:tcW w:w="1301"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15EA8BDA" w14:textId="63430431" w:rsidR="002E5A61" w:rsidRPr="00031E43" w:rsidRDefault="007E65B6" w:rsidP="006F7DE9">
            <w:pPr>
              <w:spacing w:after="0" w:line="280" w:lineRule="auto"/>
              <w:jc w:val="center"/>
              <w:rPr>
                <w:sz w:val="20"/>
                <w:szCs w:val="20"/>
              </w:rPr>
            </w:pPr>
            <w:r w:rsidRPr="007E65B6">
              <w:rPr>
                <w:rFonts w:eastAsia="Arial"/>
                <w:b/>
                <w:bCs/>
                <w:sz w:val="20"/>
                <w:szCs w:val="20"/>
              </w:rPr>
              <w:t>83 846</w:t>
            </w:r>
          </w:p>
        </w:tc>
        <w:tc>
          <w:tcPr>
            <w:tcW w:w="1781"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203DB1F" w14:textId="32BBBD75" w:rsidR="002E5A61" w:rsidRPr="00031E43" w:rsidRDefault="00D137DA" w:rsidP="006F7DE9">
            <w:pPr>
              <w:spacing w:after="0" w:line="280" w:lineRule="auto"/>
              <w:jc w:val="center"/>
              <w:rPr>
                <w:sz w:val="20"/>
                <w:szCs w:val="20"/>
              </w:rPr>
            </w:pPr>
            <w:r>
              <w:rPr>
                <w:rFonts w:eastAsia="Arial"/>
                <w:b/>
                <w:bCs/>
                <w:color w:val="085041"/>
                <w:sz w:val="20"/>
                <w:szCs w:val="20"/>
              </w:rPr>
              <w:t>42,7</w:t>
            </w:r>
            <w:r w:rsidR="002E5A61" w:rsidRPr="00031E43">
              <w:rPr>
                <w:rFonts w:eastAsia="Arial"/>
                <w:b/>
                <w:bCs/>
                <w:color w:val="085041"/>
                <w:sz w:val="20"/>
                <w:szCs w:val="20"/>
              </w:rPr>
              <w:t xml:space="preserve"> %</w:t>
            </w:r>
          </w:p>
        </w:tc>
      </w:tr>
    </w:tbl>
    <w:p w14:paraId="1C6271E9" w14:textId="1F3B440E" w:rsidR="00E5470A" w:rsidRDefault="00E5470A" w:rsidP="006778D4">
      <w:pPr>
        <w:spacing w:before="120" w:after="120"/>
        <w:jc w:val="both"/>
        <w:rPr>
          <w:lang w:eastAsia="en-US"/>
        </w:rPr>
      </w:pPr>
      <w:r>
        <w:rPr>
          <w:lang w:eastAsia="en-US"/>
        </w:rPr>
        <w:t>L'objectif national agrège les contributions des trois secteurs émetteurs retenus dans le cadre de la CDN 3.0 du Mali pour l'atténuation : énergie, agriculture et déchets, sur la base d'une approche méthodologique adaptée à chaque secteur et conforme aux lignes directrices du GIEC 2006 : modélisation prospective sous LEAP (Low Emissions Analysis Platform) pour les lignes de base; recours à l'outil EX-ACT (FAO) pour l'estimation des potentiels d'atténuation des secteurs agriculture et forêts ; et application des méthodologies GIEC complétées par les approches MDP pour le secteur des déchets. Le secteur agricole concentre la part la plus importante de l'effort sectoriel en valeur absolue, suivi du secteur de l'énergie qui constitue le levier structurant de la décarbonation du mix national. Le secteur des déchets apporte une contribution complémentaire ciblée sur les leviers transversaux de la transition bas-carbone.</w:t>
      </w:r>
    </w:p>
    <w:p w14:paraId="1F9260EB" w14:textId="07A47290" w:rsidR="002F4134" w:rsidRPr="000A5A43" w:rsidRDefault="00E5470A" w:rsidP="006778D4">
      <w:pPr>
        <w:spacing w:before="120" w:after="120"/>
        <w:jc w:val="both"/>
        <w:rPr>
          <w:lang w:eastAsia="en-US"/>
        </w:rPr>
      </w:pPr>
      <w:r>
        <w:rPr>
          <w:lang w:eastAsia="en-US"/>
        </w:rPr>
        <w:t xml:space="preserve">En parallèle, le secteur des forêts joue un rôle stratégique de renforcement du puits net de carbone, avec une séquestration additionnelle de </w:t>
      </w:r>
      <w:r w:rsidR="00B0520B" w:rsidRPr="00B0520B">
        <w:rPr>
          <w:lang w:eastAsia="en-US"/>
        </w:rPr>
        <w:t>67 314</w:t>
      </w:r>
      <w:r>
        <w:rPr>
          <w:lang w:eastAsia="en-US"/>
        </w:rPr>
        <w:t xml:space="preserve"> kt CO₂éq/an à l'horizon 2035, soit un renforcement de </w:t>
      </w:r>
      <w:r w:rsidR="00185311" w:rsidRPr="00185311">
        <w:rPr>
          <w:lang w:eastAsia="en-US"/>
        </w:rPr>
        <w:t>25,78</w:t>
      </w:r>
      <w:r>
        <w:rPr>
          <w:lang w:eastAsia="en-US"/>
        </w:rPr>
        <w:t xml:space="preserve"> % du puits existant. Cette contribution est présentée séparément de l'objectif principal d'atténuation afin de préserver la lisibilité de l'effort fourni par les secteurs émetteurs et de mettre en évidence le rôle spécifique du puits forestier dans la trajectoire climatique nationale.</w:t>
      </w:r>
    </w:p>
    <w:p w14:paraId="10191443" w14:textId="5531158B" w:rsidR="00802CA1" w:rsidRDefault="00802CA1" w:rsidP="00802CA1">
      <w:pPr>
        <w:pStyle w:val="Lgende"/>
        <w:keepNext/>
      </w:pPr>
      <w:bookmarkStart w:id="87" w:name="_Toc234853959"/>
      <w:r>
        <w:t xml:space="preserve">Tableau </w:t>
      </w:r>
      <w:r>
        <w:fldChar w:fldCharType="begin"/>
      </w:r>
      <w:r>
        <w:instrText xml:space="preserve"> SEQ Tableau \* ARABIC </w:instrText>
      </w:r>
      <w:r>
        <w:fldChar w:fldCharType="separate"/>
      </w:r>
      <w:r w:rsidR="0018772E">
        <w:rPr>
          <w:noProof/>
        </w:rPr>
        <w:t>35</w:t>
      </w:r>
      <w:r>
        <w:fldChar w:fldCharType="end"/>
      </w:r>
      <w:r>
        <w:t xml:space="preserve"> : </w:t>
      </w:r>
      <w:r w:rsidRPr="00802CA1">
        <w:t>Contributions sectorielles à l'objectif national d'atténuation à l'horizon 2035</w:t>
      </w:r>
      <w:bookmarkEnd w:id="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68"/>
        <w:gridCol w:w="2244"/>
        <w:gridCol w:w="2566"/>
        <w:gridCol w:w="2028"/>
      </w:tblGrid>
      <w:tr w:rsidR="007537D4" w:rsidRPr="007537D4" w14:paraId="1061E28C" w14:textId="77777777" w:rsidTr="00B95E3C">
        <w:trPr>
          <w:tblHeader/>
        </w:trPr>
        <w:tc>
          <w:tcPr>
            <w:tcW w:w="1365" w:type="pct"/>
            <w:tcBorders>
              <w:top w:val="single" w:sz="4" w:space="0" w:color="BFBFBF"/>
              <w:left w:val="single" w:sz="4" w:space="0" w:color="BFBFBF"/>
              <w:bottom w:val="single" w:sz="4" w:space="0" w:color="BFBFBF"/>
              <w:right w:val="single" w:sz="4" w:space="0" w:color="BFBFBF"/>
            </w:tcBorders>
            <w:shd w:val="clear" w:color="auto" w:fill="1F4E79" w:themeFill="accent1" w:themeFillShade="80"/>
            <w:tcMar>
              <w:top w:w="100" w:type="dxa"/>
              <w:left w:w="120" w:type="dxa"/>
              <w:bottom w:w="100" w:type="dxa"/>
              <w:right w:w="120" w:type="dxa"/>
            </w:tcMar>
            <w:vAlign w:val="center"/>
          </w:tcPr>
          <w:p w14:paraId="2D72314A" w14:textId="77777777" w:rsidR="007537D4" w:rsidRPr="007537D4" w:rsidRDefault="007537D4" w:rsidP="002F3C32">
            <w:pPr>
              <w:spacing w:after="0" w:line="240" w:lineRule="auto"/>
              <w:jc w:val="center"/>
              <w:rPr>
                <w:rFonts w:asciiTheme="minorHAnsi" w:eastAsia="Arial" w:hAnsiTheme="minorHAnsi" w:cstheme="minorHAnsi"/>
                <w:sz w:val="20"/>
                <w:szCs w:val="20"/>
                <w:lang w:eastAsia="en-US"/>
              </w:rPr>
            </w:pPr>
            <w:r w:rsidRPr="007537D4">
              <w:rPr>
                <w:rFonts w:asciiTheme="minorHAnsi" w:eastAsia="Arial" w:hAnsiTheme="minorHAnsi" w:cstheme="minorHAnsi"/>
                <w:b/>
                <w:bCs/>
                <w:color w:val="FFFFFF"/>
                <w:sz w:val="20"/>
                <w:szCs w:val="20"/>
                <w:lang w:eastAsia="en-US"/>
              </w:rPr>
              <w:t>Secteur</w:t>
            </w:r>
          </w:p>
        </w:tc>
        <w:tc>
          <w:tcPr>
            <w:tcW w:w="1193" w:type="pct"/>
            <w:tcBorders>
              <w:top w:val="single" w:sz="4" w:space="0" w:color="BFBFBF"/>
              <w:left w:val="single" w:sz="4" w:space="0" w:color="BFBFBF"/>
              <w:bottom w:val="single" w:sz="4" w:space="0" w:color="BFBFBF"/>
              <w:right w:val="single" w:sz="4" w:space="0" w:color="BFBFBF"/>
            </w:tcBorders>
            <w:shd w:val="clear" w:color="auto" w:fill="1F4E79" w:themeFill="accent1" w:themeFillShade="80"/>
            <w:tcMar>
              <w:top w:w="100" w:type="dxa"/>
              <w:left w:w="120" w:type="dxa"/>
              <w:bottom w:w="100" w:type="dxa"/>
              <w:right w:w="120" w:type="dxa"/>
            </w:tcMar>
            <w:vAlign w:val="center"/>
          </w:tcPr>
          <w:p w14:paraId="10D9B9D4" w14:textId="77777777" w:rsidR="007537D4" w:rsidRPr="007537D4" w:rsidRDefault="007537D4" w:rsidP="002F3C32">
            <w:pPr>
              <w:spacing w:after="0" w:line="240" w:lineRule="auto"/>
              <w:jc w:val="center"/>
              <w:rPr>
                <w:rFonts w:asciiTheme="minorHAnsi" w:eastAsia="Arial" w:hAnsiTheme="minorHAnsi" w:cstheme="minorHAnsi"/>
                <w:sz w:val="20"/>
                <w:szCs w:val="20"/>
                <w:lang w:eastAsia="en-US"/>
              </w:rPr>
            </w:pPr>
            <w:r w:rsidRPr="007537D4">
              <w:rPr>
                <w:rFonts w:asciiTheme="minorHAnsi" w:eastAsia="Arial" w:hAnsiTheme="minorHAnsi" w:cstheme="minorHAnsi"/>
                <w:b/>
                <w:bCs/>
                <w:color w:val="FFFFFF"/>
                <w:sz w:val="20"/>
                <w:szCs w:val="20"/>
                <w:lang w:eastAsia="en-US"/>
              </w:rPr>
              <w:t>Ligne de base 2035 (kt CO₂éq)</w:t>
            </w:r>
          </w:p>
        </w:tc>
        <w:tc>
          <w:tcPr>
            <w:tcW w:w="1364" w:type="pct"/>
            <w:tcBorders>
              <w:top w:val="single" w:sz="4" w:space="0" w:color="BFBFBF"/>
              <w:left w:val="single" w:sz="4" w:space="0" w:color="BFBFBF"/>
              <w:bottom w:val="single" w:sz="4" w:space="0" w:color="BFBFBF"/>
              <w:right w:val="single" w:sz="4" w:space="0" w:color="BFBFBF"/>
            </w:tcBorders>
            <w:shd w:val="clear" w:color="auto" w:fill="1F4E79" w:themeFill="accent1" w:themeFillShade="80"/>
            <w:tcMar>
              <w:top w:w="100" w:type="dxa"/>
              <w:left w:w="120" w:type="dxa"/>
              <w:bottom w:w="100" w:type="dxa"/>
              <w:right w:w="120" w:type="dxa"/>
            </w:tcMar>
            <w:vAlign w:val="center"/>
          </w:tcPr>
          <w:p w14:paraId="0BBABA9B" w14:textId="77777777" w:rsidR="007537D4" w:rsidRPr="007537D4" w:rsidRDefault="007537D4" w:rsidP="002F3C32">
            <w:pPr>
              <w:spacing w:after="0" w:line="240" w:lineRule="auto"/>
              <w:jc w:val="center"/>
              <w:rPr>
                <w:rFonts w:asciiTheme="minorHAnsi" w:eastAsia="Arial" w:hAnsiTheme="minorHAnsi" w:cstheme="minorHAnsi"/>
                <w:sz w:val="20"/>
                <w:szCs w:val="20"/>
                <w:lang w:eastAsia="en-US"/>
              </w:rPr>
            </w:pPr>
            <w:r w:rsidRPr="007537D4">
              <w:rPr>
                <w:rFonts w:asciiTheme="minorHAnsi" w:eastAsia="Arial" w:hAnsiTheme="minorHAnsi" w:cstheme="minorHAnsi"/>
                <w:b/>
                <w:bCs/>
                <w:color w:val="FFFFFF"/>
                <w:sz w:val="20"/>
                <w:szCs w:val="20"/>
                <w:lang w:eastAsia="en-US"/>
              </w:rPr>
              <w:t>Atténuation 2035 (kt CO₂éq/an)</w:t>
            </w:r>
          </w:p>
        </w:tc>
        <w:tc>
          <w:tcPr>
            <w:tcW w:w="1078" w:type="pct"/>
            <w:tcBorders>
              <w:top w:val="single" w:sz="4" w:space="0" w:color="BFBFBF"/>
              <w:left w:val="single" w:sz="4" w:space="0" w:color="BFBFBF"/>
              <w:bottom w:val="single" w:sz="4" w:space="0" w:color="BFBFBF"/>
              <w:right w:val="single" w:sz="4" w:space="0" w:color="BFBFBF"/>
            </w:tcBorders>
            <w:shd w:val="clear" w:color="auto" w:fill="1F4E79" w:themeFill="accent1" w:themeFillShade="80"/>
            <w:tcMar>
              <w:top w:w="100" w:type="dxa"/>
              <w:left w:w="120" w:type="dxa"/>
              <w:bottom w:w="100" w:type="dxa"/>
              <w:right w:w="120" w:type="dxa"/>
            </w:tcMar>
            <w:vAlign w:val="center"/>
          </w:tcPr>
          <w:p w14:paraId="159595D1" w14:textId="77777777" w:rsidR="007537D4" w:rsidRPr="007537D4" w:rsidRDefault="007537D4" w:rsidP="002F3C32">
            <w:pPr>
              <w:spacing w:after="0" w:line="240" w:lineRule="auto"/>
              <w:jc w:val="center"/>
              <w:rPr>
                <w:rFonts w:asciiTheme="minorHAnsi" w:eastAsia="Arial" w:hAnsiTheme="minorHAnsi" w:cstheme="minorHAnsi"/>
                <w:sz w:val="20"/>
                <w:szCs w:val="20"/>
                <w:lang w:eastAsia="en-US"/>
              </w:rPr>
            </w:pPr>
            <w:r w:rsidRPr="007537D4">
              <w:rPr>
                <w:rFonts w:asciiTheme="minorHAnsi" w:eastAsia="Arial" w:hAnsiTheme="minorHAnsi" w:cstheme="minorHAnsi"/>
                <w:b/>
                <w:bCs/>
                <w:color w:val="FFFFFF"/>
                <w:sz w:val="20"/>
                <w:szCs w:val="20"/>
                <w:lang w:eastAsia="en-US"/>
              </w:rPr>
              <w:t>Réduction</w:t>
            </w:r>
          </w:p>
        </w:tc>
      </w:tr>
      <w:tr w:rsidR="007537D4" w:rsidRPr="007537D4" w14:paraId="6372A265" w14:textId="77777777" w:rsidTr="002F3C32">
        <w:tc>
          <w:tcPr>
            <w:tcW w:w="1365" w:type="pct"/>
            <w:tcBorders>
              <w:top w:val="single" w:sz="4" w:space="0" w:color="BFBFBF"/>
              <w:left w:val="single" w:sz="4" w:space="0" w:color="BFBFBF"/>
              <w:bottom w:val="single" w:sz="4" w:space="0" w:color="BFBFBF"/>
              <w:right w:val="single" w:sz="4" w:space="0" w:color="BFBFBF"/>
            </w:tcBorders>
            <w:shd w:val="clear" w:color="auto" w:fill="E7E6E6" w:themeFill="background2"/>
            <w:tcMar>
              <w:top w:w="100" w:type="dxa"/>
              <w:left w:w="120" w:type="dxa"/>
              <w:bottom w:w="100" w:type="dxa"/>
              <w:right w:w="120" w:type="dxa"/>
            </w:tcMar>
            <w:vAlign w:val="center"/>
          </w:tcPr>
          <w:p w14:paraId="163CDE24" w14:textId="77777777" w:rsidR="007537D4" w:rsidRPr="007537D4" w:rsidRDefault="007537D4" w:rsidP="002F3C32">
            <w:pPr>
              <w:spacing w:after="0" w:line="280" w:lineRule="auto"/>
              <w:rPr>
                <w:rFonts w:asciiTheme="minorHAnsi" w:eastAsia="Arial" w:hAnsiTheme="minorHAnsi" w:cstheme="minorHAnsi"/>
                <w:sz w:val="20"/>
                <w:szCs w:val="20"/>
                <w:lang w:eastAsia="en-US"/>
              </w:rPr>
            </w:pPr>
            <w:r w:rsidRPr="007537D4">
              <w:rPr>
                <w:rFonts w:asciiTheme="minorHAnsi" w:eastAsia="Arial" w:hAnsiTheme="minorHAnsi" w:cstheme="minorHAnsi"/>
                <w:b/>
                <w:bCs/>
                <w:sz w:val="20"/>
                <w:szCs w:val="20"/>
                <w:lang w:eastAsia="en-US"/>
              </w:rPr>
              <w:t>Énergie</w:t>
            </w:r>
          </w:p>
        </w:tc>
        <w:tc>
          <w:tcPr>
            <w:tcW w:w="1193"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3822D748" w14:textId="77777777" w:rsidR="007537D4" w:rsidRPr="007537D4" w:rsidRDefault="007537D4" w:rsidP="002F3C32">
            <w:pPr>
              <w:spacing w:after="0" w:line="280" w:lineRule="auto"/>
              <w:jc w:val="center"/>
              <w:rPr>
                <w:rFonts w:asciiTheme="minorHAnsi" w:eastAsia="Arial" w:hAnsiTheme="minorHAnsi" w:cstheme="minorHAnsi"/>
                <w:sz w:val="20"/>
                <w:szCs w:val="20"/>
                <w:lang w:val="en-US" w:eastAsia="en-US"/>
              </w:rPr>
            </w:pPr>
            <w:r>
              <w:rPr>
                <w:sz w:val="20"/>
                <w:szCs w:val="20"/>
              </w:rPr>
              <w:t>22 488</w:t>
            </w:r>
          </w:p>
        </w:tc>
        <w:tc>
          <w:tcPr>
            <w:tcW w:w="1364"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2BA9B495" w14:textId="5E27702F" w:rsidR="007537D4" w:rsidRPr="007537D4" w:rsidRDefault="00AC0556" w:rsidP="002F3C32">
            <w:pPr>
              <w:spacing w:after="0" w:line="280" w:lineRule="auto"/>
              <w:jc w:val="center"/>
              <w:rPr>
                <w:rFonts w:asciiTheme="minorHAnsi" w:eastAsia="Arial" w:hAnsiTheme="minorHAnsi" w:cstheme="minorHAnsi"/>
                <w:sz w:val="20"/>
                <w:szCs w:val="20"/>
                <w:lang w:val="en-US" w:eastAsia="en-US"/>
              </w:rPr>
            </w:pPr>
            <w:r>
              <w:rPr>
                <w:sz w:val="20"/>
                <w:szCs w:val="20"/>
              </w:rPr>
              <w:t>5 197</w:t>
            </w:r>
          </w:p>
        </w:tc>
        <w:tc>
          <w:tcPr>
            <w:tcW w:w="1078"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28818049" w14:textId="1CF42056" w:rsidR="007537D4" w:rsidRPr="00C62CE4" w:rsidRDefault="00AC0556" w:rsidP="002F3C32">
            <w:pPr>
              <w:spacing w:after="0" w:line="280" w:lineRule="auto"/>
              <w:jc w:val="center"/>
              <w:rPr>
                <w:rFonts w:asciiTheme="minorHAnsi" w:eastAsia="Arial" w:hAnsiTheme="minorHAnsi" w:cstheme="minorHAnsi"/>
                <w:b/>
                <w:bCs/>
                <w:sz w:val="20"/>
                <w:szCs w:val="20"/>
                <w:lang w:val="en-US" w:eastAsia="en-US"/>
              </w:rPr>
            </w:pPr>
            <w:r>
              <w:rPr>
                <w:b/>
                <w:bCs/>
                <w:sz w:val="20"/>
                <w:szCs w:val="20"/>
              </w:rPr>
              <w:t>23,11</w:t>
            </w:r>
            <w:r w:rsidR="007537D4">
              <w:rPr>
                <w:b/>
                <w:sz w:val="20"/>
                <w:szCs w:val="20"/>
              </w:rPr>
              <w:t xml:space="preserve"> %</w:t>
            </w:r>
          </w:p>
        </w:tc>
      </w:tr>
      <w:tr w:rsidR="003A0D0C" w:rsidRPr="007537D4" w14:paraId="06769EC2" w14:textId="77777777">
        <w:tc>
          <w:tcPr>
            <w:tcW w:w="1365" w:type="pct"/>
            <w:tcBorders>
              <w:top w:val="single" w:sz="4" w:space="0" w:color="BFBFBF"/>
              <w:left w:val="single" w:sz="4" w:space="0" w:color="BFBFBF"/>
              <w:bottom w:val="single" w:sz="4" w:space="0" w:color="BFBFBF"/>
              <w:right w:val="single" w:sz="4" w:space="0" w:color="BFBFBF"/>
            </w:tcBorders>
            <w:shd w:val="clear" w:color="auto" w:fill="EDEDED" w:themeFill="accent3" w:themeFillTint="33"/>
            <w:tcMar>
              <w:top w:w="100" w:type="dxa"/>
              <w:left w:w="120" w:type="dxa"/>
              <w:bottom w:w="100" w:type="dxa"/>
              <w:right w:w="120" w:type="dxa"/>
            </w:tcMar>
            <w:vAlign w:val="center"/>
          </w:tcPr>
          <w:p w14:paraId="185FEA5B" w14:textId="77777777" w:rsidR="003A0D0C" w:rsidRPr="003A0D0C" w:rsidRDefault="003A0D0C" w:rsidP="00392144">
            <w:pPr>
              <w:spacing w:after="0" w:line="240" w:lineRule="auto"/>
              <w:rPr>
                <w:rFonts w:asciiTheme="minorHAnsi" w:eastAsia="Arial" w:hAnsiTheme="minorHAnsi" w:cstheme="minorHAnsi"/>
                <w:b/>
                <w:bCs/>
                <w:sz w:val="20"/>
                <w:szCs w:val="20"/>
                <w:lang w:eastAsia="en-US"/>
              </w:rPr>
            </w:pPr>
            <w:r w:rsidRPr="007537D4">
              <w:rPr>
                <w:rFonts w:asciiTheme="minorHAnsi" w:eastAsia="Arial" w:hAnsiTheme="minorHAnsi" w:cstheme="minorHAnsi"/>
                <w:b/>
                <w:bCs/>
                <w:sz w:val="20"/>
                <w:szCs w:val="20"/>
                <w:lang w:eastAsia="en-US"/>
              </w:rPr>
              <w:t>Agriculture</w:t>
            </w:r>
          </w:p>
        </w:tc>
        <w:tc>
          <w:tcPr>
            <w:tcW w:w="1193"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32AE705D" w14:textId="77777777" w:rsidR="003A0D0C" w:rsidRPr="007537D4" w:rsidRDefault="003A0D0C" w:rsidP="00392144">
            <w:pPr>
              <w:spacing w:after="0" w:line="280" w:lineRule="auto"/>
              <w:jc w:val="center"/>
              <w:rPr>
                <w:rFonts w:asciiTheme="minorHAnsi" w:eastAsia="Arial" w:hAnsiTheme="minorHAnsi" w:cstheme="minorHAnsi"/>
                <w:sz w:val="20"/>
                <w:szCs w:val="20"/>
                <w:lang w:val="en-US" w:eastAsia="en-US"/>
              </w:rPr>
            </w:pPr>
            <w:r>
              <w:rPr>
                <w:sz w:val="20"/>
                <w:szCs w:val="20"/>
              </w:rPr>
              <w:t>38 907</w:t>
            </w:r>
          </w:p>
        </w:tc>
        <w:tc>
          <w:tcPr>
            <w:tcW w:w="1364"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69196850" w14:textId="1E517036" w:rsidR="003A0D0C" w:rsidRPr="003A0D0C" w:rsidRDefault="00AC0556" w:rsidP="00392144">
            <w:pPr>
              <w:spacing w:after="0" w:line="280" w:lineRule="auto"/>
              <w:jc w:val="center"/>
              <w:rPr>
                <w:rFonts w:asciiTheme="minorHAnsi" w:eastAsia="Times New Roman" w:hAnsiTheme="minorHAnsi" w:cstheme="minorHAnsi"/>
                <w:sz w:val="20"/>
                <w:szCs w:val="20"/>
                <w:lang w:eastAsia="fr-FR"/>
              </w:rPr>
            </w:pPr>
            <w:r>
              <w:rPr>
                <w:sz w:val="20"/>
                <w:szCs w:val="20"/>
              </w:rPr>
              <w:t>10 505</w:t>
            </w:r>
          </w:p>
        </w:tc>
        <w:tc>
          <w:tcPr>
            <w:tcW w:w="1078"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0EC3BEAD" w14:textId="167548FC" w:rsidR="003A0D0C" w:rsidRPr="00C62CE4" w:rsidRDefault="00AC0556" w:rsidP="00392144">
            <w:pPr>
              <w:spacing w:after="0" w:line="280" w:lineRule="auto"/>
              <w:jc w:val="center"/>
              <w:rPr>
                <w:rFonts w:asciiTheme="minorHAnsi" w:eastAsia="Arial" w:hAnsiTheme="minorHAnsi" w:cstheme="minorHAnsi"/>
                <w:b/>
                <w:bCs/>
                <w:sz w:val="20"/>
                <w:szCs w:val="20"/>
                <w:lang w:val="en-US" w:eastAsia="en-US"/>
              </w:rPr>
            </w:pPr>
            <w:r>
              <w:rPr>
                <w:b/>
                <w:bCs/>
                <w:sz w:val="20"/>
                <w:szCs w:val="20"/>
              </w:rPr>
              <w:t>27</w:t>
            </w:r>
            <w:r w:rsidR="003A0D0C">
              <w:rPr>
                <w:b/>
                <w:sz w:val="20"/>
                <w:szCs w:val="20"/>
              </w:rPr>
              <w:t xml:space="preserve"> %</w:t>
            </w:r>
          </w:p>
        </w:tc>
      </w:tr>
      <w:tr w:rsidR="0069150F" w:rsidRPr="007537D4" w14:paraId="30B5145C" w14:textId="77777777" w:rsidTr="002F3C32">
        <w:tc>
          <w:tcPr>
            <w:tcW w:w="1365" w:type="pct"/>
            <w:tcBorders>
              <w:top w:val="single" w:sz="4" w:space="0" w:color="BFBFBF"/>
              <w:left w:val="single" w:sz="4" w:space="0" w:color="BFBFBF"/>
              <w:bottom w:val="single" w:sz="4" w:space="0" w:color="BFBFBF"/>
              <w:right w:val="single" w:sz="4" w:space="0" w:color="BFBFBF"/>
            </w:tcBorders>
            <w:shd w:val="clear" w:color="auto" w:fill="EDEDED" w:themeFill="accent3" w:themeFillTint="33"/>
            <w:tcMar>
              <w:top w:w="100" w:type="dxa"/>
              <w:left w:w="120" w:type="dxa"/>
              <w:bottom w:w="100" w:type="dxa"/>
              <w:right w:w="120" w:type="dxa"/>
            </w:tcMar>
            <w:vAlign w:val="center"/>
          </w:tcPr>
          <w:p w14:paraId="54B43112" w14:textId="77777777" w:rsidR="0069150F" w:rsidRPr="007537D4" w:rsidRDefault="0069150F" w:rsidP="002F3C32">
            <w:pPr>
              <w:spacing w:after="0" w:line="281" w:lineRule="auto"/>
              <w:rPr>
                <w:rFonts w:asciiTheme="minorHAnsi" w:eastAsia="Arial" w:hAnsiTheme="minorHAnsi" w:cstheme="minorHAnsi"/>
                <w:sz w:val="20"/>
                <w:szCs w:val="20"/>
                <w:lang w:eastAsia="en-US"/>
              </w:rPr>
            </w:pPr>
            <w:r w:rsidRPr="007537D4">
              <w:rPr>
                <w:rFonts w:asciiTheme="minorHAnsi" w:eastAsia="Arial" w:hAnsiTheme="minorHAnsi" w:cstheme="minorHAnsi"/>
                <w:b/>
                <w:bCs/>
                <w:sz w:val="20"/>
                <w:szCs w:val="20"/>
                <w:lang w:eastAsia="en-US"/>
              </w:rPr>
              <w:t>Déchets</w:t>
            </w:r>
          </w:p>
        </w:tc>
        <w:tc>
          <w:tcPr>
            <w:tcW w:w="1193"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1FCB65E5" w14:textId="77777777" w:rsidR="0069150F" w:rsidRPr="007537D4" w:rsidRDefault="0069150F" w:rsidP="002F3C32">
            <w:pPr>
              <w:spacing w:after="0" w:line="280" w:lineRule="auto"/>
              <w:jc w:val="center"/>
              <w:rPr>
                <w:rFonts w:asciiTheme="minorHAnsi" w:eastAsia="Arial" w:hAnsiTheme="minorHAnsi" w:cstheme="minorHAnsi"/>
                <w:sz w:val="20"/>
                <w:szCs w:val="20"/>
                <w:lang w:val="en-US" w:eastAsia="en-US"/>
              </w:rPr>
            </w:pPr>
            <w:r>
              <w:rPr>
                <w:sz w:val="20"/>
                <w:szCs w:val="20"/>
              </w:rPr>
              <w:t>3 362</w:t>
            </w:r>
          </w:p>
        </w:tc>
        <w:tc>
          <w:tcPr>
            <w:tcW w:w="1364"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5910BA50" w14:textId="0679E8C5" w:rsidR="0069150F" w:rsidRPr="007537D4" w:rsidRDefault="00AC0556" w:rsidP="002F3C32">
            <w:pPr>
              <w:spacing w:after="0" w:line="280" w:lineRule="auto"/>
              <w:jc w:val="center"/>
              <w:rPr>
                <w:rFonts w:asciiTheme="minorHAnsi" w:eastAsia="Arial" w:hAnsiTheme="minorHAnsi" w:cstheme="minorHAnsi"/>
                <w:sz w:val="20"/>
                <w:szCs w:val="20"/>
                <w:lang w:val="en-US" w:eastAsia="en-US"/>
              </w:rPr>
            </w:pPr>
            <w:r>
              <w:rPr>
                <w:sz w:val="20"/>
                <w:szCs w:val="20"/>
              </w:rPr>
              <w:t>830</w:t>
            </w:r>
          </w:p>
        </w:tc>
        <w:tc>
          <w:tcPr>
            <w:tcW w:w="1078"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71C86AC6" w14:textId="6C5B630E" w:rsidR="0069150F" w:rsidRPr="007537D4" w:rsidRDefault="00AC0556" w:rsidP="002F3C32">
            <w:pPr>
              <w:spacing w:after="0" w:line="280" w:lineRule="auto"/>
              <w:jc w:val="center"/>
              <w:rPr>
                <w:rFonts w:asciiTheme="minorHAnsi" w:eastAsia="Arial" w:hAnsiTheme="minorHAnsi" w:cstheme="minorHAnsi"/>
                <w:sz w:val="20"/>
                <w:szCs w:val="20"/>
                <w:lang w:val="en-US" w:eastAsia="en-US"/>
              </w:rPr>
            </w:pPr>
            <w:r>
              <w:rPr>
                <w:b/>
                <w:bCs/>
                <w:sz w:val="20"/>
                <w:szCs w:val="20"/>
              </w:rPr>
              <w:t>24,7</w:t>
            </w:r>
            <w:r w:rsidR="0069150F">
              <w:rPr>
                <w:b/>
                <w:sz w:val="20"/>
                <w:szCs w:val="20"/>
              </w:rPr>
              <w:t xml:space="preserve"> %</w:t>
            </w:r>
          </w:p>
        </w:tc>
      </w:tr>
      <w:tr w:rsidR="002F3C32" w:rsidRPr="00141341" w14:paraId="56A5B887" w14:textId="77777777" w:rsidTr="002F3C32">
        <w:tblPrEx>
          <w:tblLook w:val="04A0" w:firstRow="1" w:lastRow="0" w:firstColumn="1" w:lastColumn="0" w:noHBand="0" w:noVBand="1"/>
        </w:tblPrEx>
        <w:tc>
          <w:tcPr>
            <w:tcW w:w="1365" w:type="pct"/>
            <w:tcBorders>
              <w:top w:val="single" w:sz="4" w:space="0" w:color="BFBFBF"/>
              <w:left w:val="single" w:sz="4" w:space="0" w:color="BFBFBF"/>
              <w:bottom w:val="single" w:sz="4" w:space="0" w:color="BFBFBF"/>
              <w:right w:val="single" w:sz="4" w:space="0" w:color="BFBFBF"/>
            </w:tcBorders>
            <w:shd w:val="clear" w:color="auto" w:fill="EDEDED" w:themeFill="accent3" w:themeFillTint="33"/>
            <w:tcMar>
              <w:top w:w="100" w:type="dxa"/>
              <w:left w:w="120" w:type="dxa"/>
              <w:bottom w:w="100" w:type="dxa"/>
              <w:right w:w="120" w:type="dxa"/>
            </w:tcMar>
            <w:vAlign w:val="center"/>
          </w:tcPr>
          <w:p w14:paraId="2853134D" w14:textId="77777777" w:rsidR="002F3C32" w:rsidRPr="00141341" w:rsidRDefault="002F3C32" w:rsidP="002F3C32">
            <w:pPr>
              <w:spacing w:after="0" w:line="281" w:lineRule="auto"/>
              <w:rPr>
                <w:color w:val="1F4E79" w:themeColor="accent1" w:themeShade="80"/>
              </w:rPr>
            </w:pPr>
            <w:r w:rsidRPr="00141341">
              <w:rPr>
                <w:rFonts w:eastAsia="Arial"/>
                <w:b/>
                <w:bCs/>
                <w:color w:val="1F4E79" w:themeColor="accent1" w:themeShade="80"/>
                <w:sz w:val="20"/>
                <w:szCs w:val="20"/>
              </w:rPr>
              <w:t>Sous-total (hors UTCATF)</w:t>
            </w:r>
          </w:p>
        </w:tc>
        <w:tc>
          <w:tcPr>
            <w:tcW w:w="1193" w:type="pct"/>
            <w:tcBorders>
              <w:top w:val="single" w:sz="4" w:space="0" w:color="BFBFBF"/>
              <w:left w:val="single" w:sz="4" w:space="0" w:color="BFBFBF"/>
              <w:bottom w:val="single" w:sz="4" w:space="0" w:color="BFBFBF"/>
              <w:right w:val="single" w:sz="4" w:space="0" w:color="BFBFBF"/>
            </w:tcBorders>
            <w:shd w:val="clear" w:color="auto" w:fill="EDEDED" w:themeFill="accent3" w:themeFillTint="33"/>
            <w:tcMar>
              <w:top w:w="100" w:type="dxa"/>
              <w:left w:w="120" w:type="dxa"/>
              <w:bottom w:w="100" w:type="dxa"/>
              <w:right w:w="120" w:type="dxa"/>
            </w:tcMar>
          </w:tcPr>
          <w:p w14:paraId="16183FA6" w14:textId="77777777" w:rsidR="002F3C32" w:rsidRPr="00141341" w:rsidRDefault="002F3C32" w:rsidP="002F3C32">
            <w:pPr>
              <w:spacing w:after="0" w:line="281" w:lineRule="auto"/>
              <w:jc w:val="center"/>
              <w:rPr>
                <w:color w:val="1F4E79" w:themeColor="accent1" w:themeShade="80"/>
              </w:rPr>
            </w:pPr>
            <w:r w:rsidRPr="00141341">
              <w:rPr>
                <w:rFonts w:eastAsia="Arial"/>
                <w:b/>
                <w:bCs/>
                <w:color w:val="1F4E79" w:themeColor="accent1" w:themeShade="80"/>
                <w:sz w:val="20"/>
                <w:szCs w:val="20"/>
              </w:rPr>
              <w:t>64 757</w:t>
            </w:r>
          </w:p>
        </w:tc>
        <w:tc>
          <w:tcPr>
            <w:tcW w:w="1364" w:type="pct"/>
            <w:tcBorders>
              <w:top w:val="single" w:sz="4" w:space="0" w:color="BFBFBF"/>
              <w:left w:val="single" w:sz="4" w:space="0" w:color="BFBFBF"/>
              <w:bottom w:val="single" w:sz="4" w:space="0" w:color="BFBFBF"/>
              <w:right w:val="single" w:sz="4" w:space="0" w:color="BFBFBF"/>
            </w:tcBorders>
            <w:shd w:val="clear" w:color="auto" w:fill="EDEDED" w:themeFill="accent3" w:themeFillTint="33"/>
            <w:tcMar>
              <w:top w:w="100" w:type="dxa"/>
              <w:left w:w="120" w:type="dxa"/>
              <w:bottom w:w="100" w:type="dxa"/>
              <w:right w:w="120" w:type="dxa"/>
            </w:tcMar>
          </w:tcPr>
          <w:p w14:paraId="3B4E9281" w14:textId="637F0ECF" w:rsidR="002F3C32" w:rsidRPr="00141341" w:rsidRDefault="002F3C32" w:rsidP="002F3C32">
            <w:pPr>
              <w:spacing w:after="0" w:line="281" w:lineRule="auto"/>
              <w:jc w:val="center"/>
              <w:rPr>
                <w:color w:val="1F4E79" w:themeColor="accent1" w:themeShade="80"/>
              </w:rPr>
            </w:pPr>
            <w:r w:rsidRPr="00141341">
              <w:rPr>
                <w:rFonts w:eastAsia="Arial"/>
                <w:b/>
                <w:bCs/>
                <w:color w:val="1F4E79" w:themeColor="accent1" w:themeShade="80"/>
                <w:sz w:val="20"/>
                <w:szCs w:val="20"/>
              </w:rPr>
              <w:t>1</w:t>
            </w:r>
            <w:r w:rsidR="00930444">
              <w:rPr>
                <w:rFonts w:eastAsia="Arial"/>
                <w:b/>
                <w:bCs/>
                <w:color w:val="1F4E79" w:themeColor="accent1" w:themeShade="80"/>
                <w:sz w:val="20"/>
                <w:szCs w:val="20"/>
              </w:rPr>
              <w:t>6</w:t>
            </w:r>
            <w:r w:rsidRPr="00141341">
              <w:rPr>
                <w:rFonts w:eastAsia="Arial"/>
                <w:b/>
                <w:bCs/>
                <w:color w:val="1F4E79" w:themeColor="accent1" w:themeShade="80"/>
                <w:sz w:val="20"/>
                <w:szCs w:val="20"/>
              </w:rPr>
              <w:t xml:space="preserve"> </w:t>
            </w:r>
            <w:r w:rsidR="00930444">
              <w:rPr>
                <w:rFonts w:eastAsia="Arial"/>
                <w:b/>
                <w:bCs/>
                <w:color w:val="1F4E79" w:themeColor="accent1" w:themeShade="80"/>
                <w:sz w:val="20"/>
                <w:szCs w:val="20"/>
              </w:rPr>
              <w:t>532</w:t>
            </w:r>
          </w:p>
        </w:tc>
        <w:tc>
          <w:tcPr>
            <w:tcW w:w="1078" w:type="pct"/>
            <w:tcBorders>
              <w:top w:val="single" w:sz="4" w:space="0" w:color="BFBFBF"/>
              <w:left w:val="single" w:sz="4" w:space="0" w:color="BFBFBF"/>
              <w:bottom w:val="single" w:sz="4" w:space="0" w:color="BFBFBF"/>
              <w:right w:val="single" w:sz="4" w:space="0" w:color="BFBFBF"/>
            </w:tcBorders>
            <w:shd w:val="clear" w:color="auto" w:fill="EDEDED" w:themeFill="accent3" w:themeFillTint="33"/>
            <w:tcMar>
              <w:top w:w="100" w:type="dxa"/>
              <w:left w:w="120" w:type="dxa"/>
              <w:bottom w:w="100" w:type="dxa"/>
              <w:right w:w="120" w:type="dxa"/>
            </w:tcMar>
          </w:tcPr>
          <w:p w14:paraId="3D1E8373" w14:textId="5CC2C033" w:rsidR="002F3C32" w:rsidRPr="00141341" w:rsidRDefault="002F3C32" w:rsidP="002F3C32">
            <w:pPr>
              <w:spacing w:after="0" w:line="281" w:lineRule="auto"/>
              <w:jc w:val="center"/>
              <w:rPr>
                <w:color w:val="1F4E79" w:themeColor="accent1" w:themeShade="80"/>
              </w:rPr>
            </w:pPr>
            <w:r w:rsidRPr="00141341">
              <w:rPr>
                <w:rFonts w:eastAsia="Arial"/>
                <w:b/>
                <w:bCs/>
                <w:color w:val="1F4E79" w:themeColor="accent1" w:themeShade="80"/>
                <w:sz w:val="20"/>
                <w:szCs w:val="20"/>
              </w:rPr>
              <w:t>2</w:t>
            </w:r>
            <w:r w:rsidR="00930444">
              <w:rPr>
                <w:rFonts w:eastAsia="Arial"/>
                <w:b/>
                <w:bCs/>
                <w:color w:val="1F4E79" w:themeColor="accent1" w:themeShade="80"/>
                <w:sz w:val="20"/>
                <w:szCs w:val="20"/>
              </w:rPr>
              <w:t>5</w:t>
            </w:r>
            <w:r w:rsidRPr="00141341">
              <w:rPr>
                <w:rFonts w:eastAsia="Arial"/>
                <w:b/>
                <w:bCs/>
                <w:color w:val="1F4E79" w:themeColor="accent1" w:themeShade="80"/>
                <w:sz w:val="20"/>
                <w:szCs w:val="20"/>
              </w:rPr>
              <w:t>,5 %</w:t>
            </w:r>
          </w:p>
        </w:tc>
      </w:tr>
      <w:tr w:rsidR="007537D4" w:rsidRPr="007537D4" w14:paraId="2E3032B4" w14:textId="77777777" w:rsidTr="002F3C32">
        <w:tc>
          <w:tcPr>
            <w:tcW w:w="1365" w:type="pct"/>
            <w:tcBorders>
              <w:top w:val="single" w:sz="4" w:space="0" w:color="BFBFBF"/>
              <w:left w:val="single" w:sz="4" w:space="0" w:color="BFBFBF"/>
              <w:bottom w:val="single" w:sz="4" w:space="0" w:color="BFBFBF"/>
              <w:right w:val="single" w:sz="4" w:space="0" w:color="BFBFBF"/>
            </w:tcBorders>
            <w:shd w:val="clear" w:color="auto" w:fill="E7E6E6" w:themeFill="background2"/>
            <w:tcMar>
              <w:top w:w="100" w:type="dxa"/>
              <w:left w:w="120" w:type="dxa"/>
              <w:bottom w:w="100" w:type="dxa"/>
              <w:right w:w="120" w:type="dxa"/>
            </w:tcMar>
            <w:vAlign w:val="center"/>
          </w:tcPr>
          <w:p w14:paraId="3B5BC477" w14:textId="1225E5A2" w:rsidR="007537D4" w:rsidRPr="007537D4" w:rsidRDefault="007537D4" w:rsidP="002F3C32">
            <w:pPr>
              <w:spacing w:after="0" w:line="281" w:lineRule="auto"/>
              <w:rPr>
                <w:rFonts w:asciiTheme="minorHAnsi" w:eastAsia="Arial" w:hAnsiTheme="minorHAnsi" w:cstheme="minorHAnsi"/>
                <w:sz w:val="20"/>
                <w:szCs w:val="20"/>
                <w:lang w:eastAsia="en-US"/>
              </w:rPr>
            </w:pPr>
            <w:r w:rsidRPr="007537D4">
              <w:rPr>
                <w:rFonts w:asciiTheme="minorHAnsi" w:eastAsia="Arial" w:hAnsiTheme="minorHAnsi" w:cstheme="minorHAnsi"/>
                <w:b/>
                <w:bCs/>
                <w:sz w:val="20"/>
                <w:szCs w:val="20"/>
                <w:lang w:eastAsia="en-US"/>
              </w:rPr>
              <w:t xml:space="preserve">Forêts </w:t>
            </w:r>
          </w:p>
        </w:tc>
        <w:tc>
          <w:tcPr>
            <w:tcW w:w="1193"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4A8CD44F" w14:textId="77777777" w:rsidR="007537D4" w:rsidRPr="007537D4" w:rsidRDefault="007537D4" w:rsidP="002F3C32">
            <w:pPr>
              <w:spacing w:after="0" w:line="280" w:lineRule="auto"/>
              <w:jc w:val="center"/>
              <w:rPr>
                <w:rFonts w:asciiTheme="minorHAnsi" w:eastAsia="Arial" w:hAnsiTheme="minorHAnsi" w:cstheme="minorHAnsi"/>
                <w:sz w:val="20"/>
                <w:szCs w:val="20"/>
                <w:lang w:val="en-US" w:eastAsia="en-US"/>
              </w:rPr>
            </w:pPr>
            <w:r>
              <w:rPr>
                <w:sz w:val="20"/>
                <w:szCs w:val="20"/>
              </w:rPr>
              <w:t>− 261 110</w:t>
            </w:r>
          </w:p>
        </w:tc>
        <w:tc>
          <w:tcPr>
            <w:tcW w:w="1364"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17B9B4B1" w14:textId="31C0443C" w:rsidR="007537D4" w:rsidRPr="007537D4" w:rsidRDefault="002239F6" w:rsidP="002F3C32">
            <w:pPr>
              <w:spacing w:after="0" w:line="280" w:lineRule="auto"/>
              <w:jc w:val="center"/>
              <w:rPr>
                <w:rFonts w:asciiTheme="minorHAnsi" w:eastAsia="Arial" w:hAnsiTheme="minorHAnsi" w:cstheme="minorHAnsi"/>
                <w:sz w:val="20"/>
                <w:szCs w:val="20"/>
                <w:lang w:val="en-US" w:eastAsia="en-US"/>
              </w:rPr>
            </w:pPr>
            <w:r>
              <w:rPr>
                <w:sz w:val="20"/>
                <w:szCs w:val="20"/>
              </w:rPr>
              <w:t>− 67 314</w:t>
            </w:r>
          </w:p>
        </w:tc>
        <w:tc>
          <w:tcPr>
            <w:tcW w:w="1078"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tcPr>
          <w:p w14:paraId="4A55A38C" w14:textId="0B55067B" w:rsidR="007537D4" w:rsidRPr="007537D4" w:rsidRDefault="002239F6" w:rsidP="002F3C32">
            <w:pPr>
              <w:spacing w:after="0" w:line="280" w:lineRule="auto"/>
              <w:jc w:val="center"/>
              <w:rPr>
                <w:rFonts w:asciiTheme="minorHAnsi" w:eastAsia="Arial" w:hAnsiTheme="minorHAnsi" w:cstheme="minorHAnsi"/>
                <w:sz w:val="20"/>
                <w:szCs w:val="20"/>
                <w:lang w:val="en-US" w:eastAsia="en-US"/>
              </w:rPr>
            </w:pPr>
            <w:r>
              <w:rPr>
                <w:b/>
                <w:bCs/>
                <w:sz w:val="20"/>
                <w:szCs w:val="20"/>
              </w:rPr>
              <w:t>25,78 % *</w:t>
            </w:r>
          </w:p>
        </w:tc>
      </w:tr>
      <w:tr w:rsidR="0035221D" w:rsidRPr="0035221D" w14:paraId="1D402838" w14:textId="77777777" w:rsidTr="00EA1CC4">
        <w:tc>
          <w:tcPr>
            <w:tcW w:w="1365" w:type="pct"/>
            <w:tcBorders>
              <w:top w:val="single" w:sz="4" w:space="0" w:color="BFBFBF"/>
              <w:left w:val="single" w:sz="4" w:space="0" w:color="BFBFBF"/>
              <w:bottom w:val="single" w:sz="4" w:space="0" w:color="BFBFBF"/>
              <w:right w:val="single" w:sz="4" w:space="0" w:color="BFBFBF"/>
            </w:tcBorders>
            <w:shd w:val="clear" w:color="auto" w:fill="E7E6E6" w:themeFill="background2"/>
            <w:tcMar>
              <w:top w:w="100" w:type="dxa"/>
              <w:left w:w="120" w:type="dxa"/>
              <w:bottom w:w="100" w:type="dxa"/>
              <w:right w:w="120" w:type="dxa"/>
            </w:tcMar>
            <w:vAlign w:val="center"/>
          </w:tcPr>
          <w:p w14:paraId="1B3BE59C" w14:textId="5E992E0C" w:rsidR="0035221D" w:rsidRPr="0035221D" w:rsidRDefault="0035221D" w:rsidP="002F3C32">
            <w:pPr>
              <w:spacing w:after="0" w:line="281" w:lineRule="auto"/>
              <w:rPr>
                <w:rFonts w:eastAsia="Arial"/>
                <w:b/>
                <w:bCs/>
                <w:color w:val="1F4E79" w:themeColor="accent1" w:themeShade="80"/>
                <w:sz w:val="20"/>
                <w:szCs w:val="20"/>
              </w:rPr>
            </w:pPr>
            <w:r w:rsidRPr="0035221D">
              <w:rPr>
                <w:rFonts w:eastAsia="Arial"/>
                <w:b/>
                <w:bCs/>
                <w:color w:val="1F4E79" w:themeColor="accent1" w:themeShade="80"/>
                <w:sz w:val="20"/>
                <w:szCs w:val="20"/>
              </w:rPr>
              <w:t>TOTAL (Avec UTCATF)</w:t>
            </w:r>
          </w:p>
        </w:tc>
        <w:tc>
          <w:tcPr>
            <w:tcW w:w="1193" w:type="pct"/>
            <w:tcBorders>
              <w:top w:val="single" w:sz="4" w:space="0" w:color="BFBFBF"/>
              <w:left w:val="single" w:sz="4" w:space="0" w:color="BFBFBF"/>
              <w:bottom w:val="single" w:sz="4" w:space="0" w:color="BFBFBF"/>
              <w:right w:val="single" w:sz="4" w:space="0" w:color="BFBFBF"/>
            </w:tcBorders>
            <w:shd w:val="clear" w:color="auto" w:fill="EDEDED" w:themeFill="accent3" w:themeFillTint="33"/>
            <w:tcMar>
              <w:top w:w="100" w:type="dxa"/>
              <w:left w:w="120" w:type="dxa"/>
              <w:bottom w:w="100" w:type="dxa"/>
              <w:right w:w="120" w:type="dxa"/>
            </w:tcMar>
          </w:tcPr>
          <w:p w14:paraId="63E45209" w14:textId="304937FF" w:rsidR="0035221D" w:rsidRPr="0035221D" w:rsidRDefault="002404D3" w:rsidP="0021703E">
            <w:pPr>
              <w:spacing w:after="0" w:line="281" w:lineRule="auto"/>
              <w:jc w:val="center"/>
              <w:rPr>
                <w:rFonts w:eastAsia="Arial"/>
                <w:b/>
                <w:bCs/>
                <w:color w:val="1F4E79" w:themeColor="accent1" w:themeShade="80"/>
                <w:sz w:val="20"/>
                <w:szCs w:val="20"/>
              </w:rPr>
            </w:pPr>
            <w:r w:rsidRPr="002404D3">
              <w:rPr>
                <w:rFonts w:eastAsia="Arial"/>
                <w:b/>
                <w:bCs/>
                <w:color w:val="1F4E79" w:themeColor="accent1" w:themeShade="80"/>
                <w:sz w:val="20"/>
                <w:szCs w:val="20"/>
              </w:rPr>
              <w:t xml:space="preserve">− </w:t>
            </w:r>
            <w:r w:rsidR="0021703E" w:rsidRPr="0021703E">
              <w:rPr>
                <w:rFonts w:eastAsia="Arial"/>
                <w:b/>
                <w:bCs/>
                <w:color w:val="1F4E79" w:themeColor="accent1" w:themeShade="80"/>
                <w:sz w:val="20"/>
                <w:szCs w:val="20"/>
              </w:rPr>
              <w:t>196 353</w:t>
            </w:r>
          </w:p>
        </w:tc>
        <w:tc>
          <w:tcPr>
            <w:tcW w:w="1364" w:type="pct"/>
            <w:tcBorders>
              <w:top w:val="single" w:sz="4" w:space="0" w:color="BFBFBF"/>
              <w:left w:val="single" w:sz="4" w:space="0" w:color="BFBFBF"/>
              <w:bottom w:val="single" w:sz="4" w:space="0" w:color="BFBFBF"/>
              <w:right w:val="single" w:sz="4" w:space="0" w:color="BFBFBF"/>
            </w:tcBorders>
            <w:shd w:val="clear" w:color="auto" w:fill="EDEDED" w:themeFill="accent3" w:themeFillTint="33"/>
            <w:tcMar>
              <w:top w:w="100" w:type="dxa"/>
              <w:left w:w="120" w:type="dxa"/>
              <w:bottom w:w="100" w:type="dxa"/>
              <w:right w:w="120" w:type="dxa"/>
            </w:tcMar>
          </w:tcPr>
          <w:p w14:paraId="492BFE3B" w14:textId="0FE1277B" w:rsidR="0035221D" w:rsidRPr="0035221D" w:rsidRDefault="002404D3" w:rsidP="00DF45E5">
            <w:pPr>
              <w:spacing w:after="0" w:line="281" w:lineRule="auto"/>
              <w:jc w:val="center"/>
              <w:rPr>
                <w:rFonts w:eastAsia="Arial"/>
                <w:b/>
                <w:bCs/>
                <w:color w:val="1F4E79" w:themeColor="accent1" w:themeShade="80"/>
                <w:sz w:val="20"/>
                <w:szCs w:val="20"/>
              </w:rPr>
            </w:pPr>
            <w:r w:rsidRPr="002404D3">
              <w:rPr>
                <w:rFonts w:eastAsia="Arial"/>
                <w:b/>
                <w:bCs/>
                <w:color w:val="1F4E79" w:themeColor="accent1" w:themeShade="80"/>
                <w:sz w:val="20"/>
                <w:szCs w:val="20"/>
              </w:rPr>
              <w:t>83 846</w:t>
            </w:r>
          </w:p>
        </w:tc>
        <w:tc>
          <w:tcPr>
            <w:tcW w:w="1078" w:type="pct"/>
            <w:tcBorders>
              <w:top w:val="single" w:sz="4" w:space="0" w:color="BFBFBF"/>
              <w:left w:val="single" w:sz="4" w:space="0" w:color="BFBFBF"/>
              <w:bottom w:val="single" w:sz="4" w:space="0" w:color="BFBFBF"/>
              <w:right w:val="single" w:sz="4" w:space="0" w:color="BFBFBF"/>
            </w:tcBorders>
            <w:shd w:val="clear" w:color="auto" w:fill="EDEDED" w:themeFill="accent3" w:themeFillTint="33"/>
            <w:tcMar>
              <w:top w:w="100" w:type="dxa"/>
              <w:left w:w="120" w:type="dxa"/>
              <w:bottom w:w="100" w:type="dxa"/>
              <w:right w:w="120" w:type="dxa"/>
            </w:tcMar>
          </w:tcPr>
          <w:p w14:paraId="37C50AE8" w14:textId="7E4CE292" w:rsidR="0035221D" w:rsidRPr="0035221D" w:rsidRDefault="00EA1CC4" w:rsidP="00CC40D5">
            <w:pPr>
              <w:spacing w:after="0" w:line="281" w:lineRule="auto"/>
              <w:jc w:val="center"/>
              <w:rPr>
                <w:rFonts w:eastAsia="Arial"/>
                <w:b/>
                <w:bCs/>
                <w:color w:val="1F4E79" w:themeColor="accent1" w:themeShade="80"/>
                <w:sz w:val="20"/>
                <w:szCs w:val="20"/>
              </w:rPr>
            </w:pPr>
            <w:r w:rsidRPr="00EA1CC4">
              <w:rPr>
                <w:rFonts w:eastAsia="Arial"/>
                <w:b/>
                <w:bCs/>
                <w:color w:val="1F4E79" w:themeColor="accent1" w:themeShade="80"/>
                <w:sz w:val="20"/>
                <w:szCs w:val="20"/>
              </w:rPr>
              <w:t>42,7 %</w:t>
            </w:r>
          </w:p>
        </w:tc>
      </w:tr>
    </w:tbl>
    <w:p w14:paraId="0D43D072" w14:textId="2233D0AE" w:rsidR="007537D4" w:rsidRDefault="00193314" w:rsidP="00646BAD">
      <w:pPr>
        <w:jc w:val="both"/>
        <w:rPr>
          <w:i/>
          <w:iCs/>
          <w:sz w:val="18"/>
          <w:szCs w:val="18"/>
        </w:rPr>
      </w:pPr>
      <w:r w:rsidRPr="00193314">
        <w:rPr>
          <w:i/>
          <w:iCs/>
          <w:sz w:val="18"/>
          <w:szCs w:val="18"/>
        </w:rPr>
        <w:t>*Le secteur des forêts agit comme un puits net : le pourcentage indiqué correspond au renforcement du puits par rapport au scénario de référence.</w:t>
      </w:r>
      <w:r w:rsidR="009D5210">
        <w:rPr>
          <w:i/>
          <w:iCs/>
          <w:sz w:val="18"/>
          <w:szCs w:val="18"/>
        </w:rPr>
        <w:t xml:space="preserve">     </w:t>
      </w:r>
    </w:p>
    <w:p w14:paraId="0691CE90" w14:textId="68798CB9" w:rsidR="004D5580" w:rsidRDefault="00424DE1" w:rsidP="00CE41CA">
      <w:pPr>
        <w:keepNext/>
        <w:jc w:val="center"/>
      </w:pPr>
      <w:r>
        <w:rPr>
          <w:noProof/>
        </w:rPr>
        <w:lastRenderedPageBreak/>
        <w:drawing>
          <wp:inline distT="0" distB="0" distL="0" distR="0" wp14:anchorId="1BD4DAF0" wp14:editId="329A674C">
            <wp:extent cx="5718810" cy="3048000"/>
            <wp:effectExtent l="0" t="0" r="0" b="0"/>
            <wp:docPr id="5796410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8810" cy="3048000"/>
                    </a:xfrm>
                    <a:prstGeom prst="rect">
                      <a:avLst/>
                    </a:prstGeom>
                    <a:noFill/>
                  </pic:spPr>
                </pic:pic>
              </a:graphicData>
            </a:graphic>
          </wp:inline>
        </w:drawing>
      </w:r>
    </w:p>
    <w:p w14:paraId="37C0D0F9" w14:textId="2AF16F1A" w:rsidR="00637B36" w:rsidRDefault="004D5580" w:rsidP="004D5580">
      <w:pPr>
        <w:pStyle w:val="Lgende"/>
        <w:rPr>
          <w:lang w:eastAsia="en-US"/>
        </w:rPr>
      </w:pPr>
      <w:bookmarkStart w:id="88" w:name="_Toc234853923"/>
      <w:r>
        <w:t xml:space="preserve">Figure </w:t>
      </w:r>
      <w:r>
        <w:fldChar w:fldCharType="begin"/>
      </w:r>
      <w:r>
        <w:instrText xml:space="preserve"> SEQ Figure \* ARABIC </w:instrText>
      </w:r>
      <w:r>
        <w:fldChar w:fldCharType="separate"/>
      </w:r>
      <w:r>
        <w:rPr>
          <w:noProof/>
        </w:rPr>
        <w:t>13</w:t>
      </w:r>
      <w:r>
        <w:fldChar w:fldCharType="end"/>
      </w:r>
      <w:r w:rsidRPr="004654E9">
        <w:t xml:space="preserve"> : </w:t>
      </w:r>
      <w:r w:rsidR="0071396A" w:rsidRPr="004654E9">
        <w:t>Trajectoire des émissions du Mali sur le périmètre des secteurs émetteurs — scénario de référence et scénario d'atténuation CDN 3.0 (2022-2035, hors UTCATF)</w:t>
      </w:r>
      <w:bookmarkEnd w:id="88"/>
    </w:p>
    <w:p w14:paraId="01D5E08B" w14:textId="021C8661" w:rsidR="00342515" w:rsidRDefault="00342515" w:rsidP="00CE41CA">
      <w:pPr>
        <w:spacing w:after="360"/>
        <w:jc w:val="both"/>
        <w:rPr>
          <w:lang w:eastAsia="en-US"/>
        </w:rPr>
      </w:pPr>
      <w:r w:rsidRPr="00342515">
        <w:rPr>
          <w:lang w:eastAsia="en-US"/>
        </w:rPr>
        <w:t xml:space="preserve">La figure précédente présente la trajectoire d'émissions sur le périmètre des secteurs émetteurs uniquement. Lorsque la contribution du secteur UTCATF est intégrée à la trajectoire nationale, le profil climatique du Mali se révèle sous un autre angle : comme l'illustre la figure ci-dessous, le pays demeure structurellement un puits net de carbone sur l'ensemble de la période 2022-2035. Sous le scénario de référence, ce puits net tend toutefois à s'éroder progressivement sous l'effet de la croissance des émissions sectorielles, passant de </w:t>
      </w:r>
      <w:r w:rsidRPr="00DF5A1C">
        <w:rPr>
          <w:b/>
          <w:color w:val="000000" w:themeColor="text1"/>
          <w:lang w:eastAsia="en-US"/>
        </w:rPr>
        <w:t>−216 889 à −196 353 kt CO₂éq</w:t>
      </w:r>
      <w:r w:rsidR="00F00D68">
        <w:rPr>
          <w:b/>
          <w:bCs/>
          <w:color w:val="000000" w:themeColor="text1"/>
          <w:lang w:eastAsia="en-US"/>
        </w:rPr>
        <w:t>/an</w:t>
      </w:r>
      <w:r w:rsidRPr="00DF5A1C">
        <w:rPr>
          <w:color w:val="000000" w:themeColor="text1"/>
          <w:lang w:eastAsia="en-US"/>
        </w:rPr>
        <w:t xml:space="preserve"> </w:t>
      </w:r>
      <w:r w:rsidRPr="00342515">
        <w:rPr>
          <w:lang w:eastAsia="en-US"/>
        </w:rPr>
        <w:t xml:space="preserve">entre 2022 et 2035. La mise en œuvre de la CDN 3.0 inverse cette dynamique : le puits net se renforce nettement pour atteindre </w:t>
      </w:r>
      <w:r w:rsidRPr="003059E9">
        <w:rPr>
          <w:b/>
          <w:lang w:eastAsia="en-US"/>
        </w:rPr>
        <w:t>−</w:t>
      </w:r>
      <w:r w:rsidR="003059E9" w:rsidRPr="003059E9">
        <w:rPr>
          <w:b/>
          <w:bCs/>
          <w:lang w:eastAsia="en-US"/>
        </w:rPr>
        <w:t>280 199</w:t>
      </w:r>
      <w:r w:rsidRPr="003059E9">
        <w:rPr>
          <w:b/>
          <w:lang w:eastAsia="en-US"/>
        </w:rPr>
        <w:t xml:space="preserve"> kt CO₂éq</w:t>
      </w:r>
      <w:r w:rsidR="00F00D68">
        <w:rPr>
          <w:b/>
          <w:bCs/>
          <w:lang w:eastAsia="en-US"/>
        </w:rPr>
        <w:t>/an</w:t>
      </w:r>
      <w:r w:rsidRPr="00342515">
        <w:rPr>
          <w:lang w:eastAsia="en-US"/>
        </w:rPr>
        <w:t xml:space="preserve"> à l'horizon 2035, soit une amélioration de </w:t>
      </w:r>
      <w:r w:rsidR="0007723A" w:rsidRPr="0007723A">
        <w:rPr>
          <w:b/>
          <w:bCs/>
          <w:lang w:eastAsia="en-US"/>
        </w:rPr>
        <w:t>83 846</w:t>
      </w:r>
      <w:r w:rsidRPr="0007723A">
        <w:rPr>
          <w:b/>
          <w:lang w:eastAsia="en-US"/>
        </w:rPr>
        <w:t xml:space="preserve"> kt CO₂éq/an</w:t>
      </w:r>
      <w:r w:rsidRPr="00342515">
        <w:rPr>
          <w:lang w:eastAsia="en-US"/>
        </w:rPr>
        <w:t xml:space="preserve"> par rapport au scénario de référence.</w:t>
      </w:r>
      <w:r w:rsidR="00CE41CA" w:rsidRPr="00CE41CA">
        <w:rPr>
          <w:noProof/>
          <w:lang w:eastAsia="en-US"/>
        </w:rPr>
        <w:t xml:space="preserve"> </w:t>
      </w:r>
    </w:p>
    <w:p w14:paraId="49AC7E12" w14:textId="0C8C7C5F" w:rsidR="00570EE2" w:rsidRDefault="00B3021B" w:rsidP="00CE41CA">
      <w:pPr>
        <w:keepNext/>
        <w:jc w:val="center"/>
      </w:pPr>
      <w:r>
        <w:rPr>
          <w:noProof/>
        </w:rPr>
        <w:lastRenderedPageBreak/>
        <w:drawing>
          <wp:inline distT="0" distB="0" distL="0" distR="0" wp14:anchorId="02387B10" wp14:editId="4BD5BFBF">
            <wp:extent cx="5715000" cy="3048000"/>
            <wp:effectExtent l="0" t="0" r="0" b="0"/>
            <wp:docPr id="1468490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490445" name="Picture 1468490445"/>
                    <pic:cNvPicPr>
                      <a:picLocks noChangeAspect="1"/>
                    </pic:cNvPicPr>
                  </pic:nvPicPr>
                  <pic:blipFill>
                    <a:blip r:embed="rId29"/>
                    <a:srcRect/>
                    <a:stretch>
                      <a:fillRect/>
                    </a:stretch>
                  </pic:blipFill>
                  <pic:spPr bwMode="auto">
                    <a:xfrm>
                      <a:off x="0" y="0"/>
                      <a:ext cx="5715000" cy="3048000"/>
                    </a:xfrm>
                    <a:prstGeom prst="rect">
                      <a:avLst/>
                    </a:prstGeom>
                  </pic:spPr>
                </pic:pic>
              </a:graphicData>
            </a:graphic>
          </wp:inline>
        </w:drawing>
      </w:r>
    </w:p>
    <w:p w14:paraId="64B5D923" w14:textId="4263E829" w:rsidR="00D826F1" w:rsidRPr="00342515" w:rsidRDefault="00570EE2" w:rsidP="00570EE2">
      <w:pPr>
        <w:pStyle w:val="Lgende"/>
        <w:jc w:val="both"/>
        <w:rPr>
          <w:sz w:val="22"/>
          <w:szCs w:val="22"/>
          <w:lang w:eastAsia="en-US"/>
        </w:rPr>
      </w:pPr>
      <w:bookmarkStart w:id="89" w:name="_Toc234853924"/>
      <w:r>
        <w:t xml:space="preserve">Figure </w:t>
      </w:r>
      <w:r>
        <w:fldChar w:fldCharType="begin"/>
      </w:r>
      <w:r>
        <w:instrText xml:space="preserve"> SEQ Figure \* ARABIC </w:instrText>
      </w:r>
      <w:r>
        <w:fldChar w:fldCharType="separate"/>
      </w:r>
      <w:r w:rsidR="004D5580">
        <w:rPr>
          <w:noProof/>
        </w:rPr>
        <w:t>14</w:t>
      </w:r>
      <w:r>
        <w:fldChar w:fldCharType="end"/>
      </w:r>
      <w:r w:rsidRPr="003C59E3">
        <w:t xml:space="preserve"> : Évolution des émissions globales nettes du Mali — scénario de référence et scénario d'atténuation CDN 3.0 (2022-2035, incluant UTCATF)</w:t>
      </w:r>
      <w:bookmarkEnd w:id="89"/>
    </w:p>
    <w:p w14:paraId="51B38E3A" w14:textId="0513E235" w:rsidR="00342515" w:rsidRDefault="00342515" w:rsidP="00342515">
      <w:pPr>
        <w:jc w:val="both"/>
        <w:rPr>
          <w:lang w:eastAsia="en-US"/>
        </w:rPr>
      </w:pPr>
      <w:r w:rsidRPr="00342515">
        <w:rPr>
          <w:lang w:eastAsia="en-US"/>
        </w:rPr>
        <w:t>Cette trajectoire confirme la position du Mali comme contributeur net positif à l'effort mondial d'atténuation sur l'ensemble de la décennie, et conforte la pertinence d'une approche intégrée qui valorise simultanément la décarbonation des secteurs émetteurs et le renforcement du puits forestier.</w:t>
      </w:r>
    </w:p>
    <w:p w14:paraId="29E83679" w14:textId="1E9536DE" w:rsidR="0039672D" w:rsidRDefault="0039672D">
      <w:pPr>
        <w:rPr>
          <w:lang w:eastAsia="en-US"/>
        </w:rPr>
      </w:pPr>
    </w:p>
    <w:p w14:paraId="5BF5272E" w14:textId="221076FA" w:rsidR="0039672D" w:rsidRDefault="0039672D" w:rsidP="00342515">
      <w:pPr>
        <w:jc w:val="both"/>
        <w:rPr>
          <w:lang w:eastAsia="en-US"/>
        </w:rPr>
      </w:pPr>
    </w:p>
    <w:p w14:paraId="40053008" w14:textId="72FA3837" w:rsidR="0039672D" w:rsidRPr="00342515" w:rsidRDefault="0039672D" w:rsidP="0039672D">
      <w:pPr>
        <w:rPr>
          <w:lang w:eastAsia="en-US"/>
        </w:rPr>
      </w:pPr>
      <w:r>
        <w:rPr>
          <w:lang w:eastAsia="en-US"/>
        </w:rPr>
        <w:br w:type="page"/>
      </w:r>
    </w:p>
    <w:p w14:paraId="7F005859" w14:textId="6E4054AA" w:rsidR="00D24216" w:rsidRDefault="00D24216" w:rsidP="00980C6D">
      <w:pPr>
        <w:pStyle w:val="Titre1"/>
        <w:spacing w:after="0"/>
      </w:pPr>
      <w:bookmarkStart w:id="90" w:name="_Toc234853885"/>
      <w:r w:rsidRPr="001F64BE">
        <w:lastRenderedPageBreak/>
        <w:t>Analyse sectorielle de l’</w:t>
      </w:r>
      <w:r>
        <w:t>adaptation</w:t>
      </w:r>
      <w:bookmarkEnd w:id="90"/>
    </w:p>
    <w:p w14:paraId="67524B33" w14:textId="77777777" w:rsidR="00980C6D" w:rsidRPr="00980C6D" w:rsidRDefault="00980C6D" w:rsidP="00980C6D">
      <w:pPr>
        <w:spacing w:after="120" w:line="280" w:lineRule="atLeast"/>
        <w:jc w:val="both"/>
        <w:rPr>
          <w:rFonts w:asciiTheme="minorHAnsi" w:eastAsia="Times New Roman" w:hAnsiTheme="minorHAnsi" w:cstheme="minorHAnsi"/>
          <w:lang w:eastAsia="fr-FR"/>
        </w:rPr>
      </w:pPr>
      <w:r w:rsidRPr="00980C6D">
        <w:rPr>
          <w:rFonts w:asciiTheme="minorHAnsi" w:eastAsia="Times New Roman" w:hAnsiTheme="minorHAnsi" w:cstheme="minorHAnsi"/>
          <w:lang w:eastAsia="fr-FR"/>
        </w:rPr>
        <w:t>La présente section propose une analyse sectorielle des priorités en matière d’adaptation au changement climatique au Mali, couvrant les principaux secteurs identifiés dans le cadre de la CDN 3.0, notamment l’agriculture, les déchets, l’eau, la biodiversité et les infrastructures. D’autres secteurs ont également été pris en considération, notamment l’énergie, la météorologie ainsi que la société civile et les collectivités territoriales. Toutefois, ils n’ont pas fait l’objet de propositions de projets à ce stade. Quant au domaine du renforcement des capacités, il a été décidé de ne pas le considérer comme un domaine distinct, mais plutôt d’intégrer les projets et actions de renforcement des capacités de manière transversale au sein des différents secteurs concernés.</w:t>
      </w:r>
    </w:p>
    <w:p w14:paraId="5B1BDB09" w14:textId="77777777" w:rsidR="00980C6D" w:rsidRPr="00EE2B26" w:rsidRDefault="00980C6D" w:rsidP="00980C6D">
      <w:pPr>
        <w:spacing w:after="120" w:line="280" w:lineRule="atLeast"/>
        <w:jc w:val="both"/>
        <w:rPr>
          <w:rFonts w:asciiTheme="minorHAnsi" w:eastAsia="Times New Roman" w:hAnsiTheme="minorHAnsi" w:cstheme="minorHAnsi"/>
          <w:lang w:eastAsia="fr-FR"/>
        </w:rPr>
      </w:pPr>
      <w:r w:rsidRPr="00EE2B26">
        <w:rPr>
          <w:rFonts w:asciiTheme="minorHAnsi" w:eastAsia="Times New Roman" w:hAnsiTheme="minorHAnsi" w:cstheme="minorHAnsi"/>
          <w:lang w:eastAsia="fr-FR"/>
        </w:rPr>
        <w:t>Cette analyse s'appuie sur un travail préalable d'évaluation de la mise en œuvre de la CDN 2.0, enrichi par des consultations bilatérales menées avec les parties prenantes sectorielles, ainsi que par l'exploitation des fiches de projets, des données techniques et des informations transmises par les institutions nationales concernées</w:t>
      </w:r>
      <w:r w:rsidRPr="00980C6D">
        <w:rPr>
          <w:rFonts w:asciiTheme="minorHAnsi" w:eastAsia="Times New Roman" w:hAnsiTheme="minorHAnsi" w:cstheme="minorHAnsi"/>
          <w:lang w:eastAsia="fr-FR"/>
        </w:rPr>
        <w:t>.</w:t>
      </w:r>
      <w:r w:rsidRPr="00EE2B26">
        <w:rPr>
          <w:rFonts w:asciiTheme="minorHAnsi" w:eastAsia="Times New Roman" w:hAnsiTheme="minorHAnsi" w:cstheme="minorHAnsi"/>
          <w:lang w:eastAsia="fr-FR"/>
        </w:rPr>
        <w:t xml:space="preserve"> Elle intègre également les recommandations issues de ces échanges, afin d'assurer une continuité entre le diagnostic de la CDN précédente et la formulation des orientations futures en matière d'adaptation. Elle prend en compte, en outre, les nouveaux projets et programmes proposés par les secteurs dans le cadre du processus d'élaboration de la CDN 3.0, afin d'identifier les leviers d'adaptation susceptibles de renforcer la résilience climatique du pays en s'appuyant sur un portefeuille de projets et d'initiatives identifiés par les acteurs sectoriels, qu'ils soient en cours de mise en œuvre, programmés ou </w:t>
      </w:r>
      <w:r w:rsidRPr="00980C6D">
        <w:rPr>
          <w:rFonts w:asciiTheme="minorHAnsi" w:eastAsia="Times New Roman" w:hAnsiTheme="minorHAnsi" w:cstheme="minorHAnsi"/>
          <w:lang w:eastAsia="fr-FR"/>
        </w:rPr>
        <w:t>en phase de conception.</w:t>
      </w:r>
    </w:p>
    <w:p w14:paraId="56AEDD9B" w14:textId="77777777" w:rsidR="00980C6D" w:rsidRPr="00EE2B26" w:rsidRDefault="00980C6D" w:rsidP="00980C6D">
      <w:pPr>
        <w:spacing w:after="120" w:line="280" w:lineRule="atLeast"/>
        <w:jc w:val="both"/>
        <w:rPr>
          <w:rFonts w:asciiTheme="minorHAnsi" w:eastAsia="Times New Roman" w:hAnsiTheme="minorHAnsi" w:cstheme="minorHAnsi"/>
          <w:lang w:eastAsia="fr-FR"/>
        </w:rPr>
      </w:pPr>
      <w:r w:rsidRPr="00EE2B26">
        <w:rPr>
          <w:rFonts w:asciiTheme="minorHAnsi" w:eastAsia="Times New Roman" w:hAnsiTheme="minorHAnsi" w:cstheme="minorHAnsi"/>
          <w:lang w:eastAsia="fr-FR"/>
        </w:rPr>
        <w:t>L'objectif de cette section est, pour chaque secteur, de faire ressortir un portefeuille de projets d'adaptation suffisamment structurés pour être intégrés dans la CDN 3.0. À cette fin, l'analyse vise à :</w:t>
      </w:r>
    </w:p>
    <w:p w14:paraId="0D786E62" w14:textId="77777777" w:rsidR="00980C6D" w:rsidRPr="00EE2B26" w:rsidRDefault="00980C6D" w:rsidP="008A3661">
      <w:pPr>
        <w:numPr>
          <w:ilvl w:val="0"/>
          <w:numId w:val="48"/>
        </w:numPr>
        <w:spacing w:after="120" w:line="280" w:lineRule="atLeast"/>
        <w:jc w:val="both"/>
        <w:rPr>
          <w:rFonts w:asciiTheme="minorHAnsi" w:eastAsia="Times New Roman" w:hAnsiTheme="minorHAnsi" w:cstheme="minorHAnsi"/>
          <w:lang w:eastAsia="fr-FR"/>
        </w:rPr>
      </w:pPr>
      <w:r w:rsidRPr="00EE2B26">
        <w:rPr>
          <w:rFonts w:asciiTheme="minorHAnsi" w:eastAsia="Times New Roman" w:hAnsiTheme="minorHAnsi" w:cstheme="minorHAnsi"/>
          <w:lang w:eastAsia="fr-FR"/>
        </w:rPr>
        <w:t>Capitaliser sur les enseignements et recommandations issus de l'évaluation de la CDN 2.0, des consultations bilatérales et des retours des parties prenantes ;</w:t>
      </w:r>
    </w:p>
    <w:p w14:paraId="602F6EBB" w14:textId="77777777" w:rsidR="00980C6D" w:rsidRPr="00EE2B26" w:rsidRDefault="00980C6D" w:rsidP="008A3661">
      <w:pPr>
        <w:numPr>
          <w:ilvl w:val="0"/>
          <w:numId w:val="48"/>
        </w:numPr>
        <w:spacing w:after="120" w:line="280" w:lineRule="atLeast"/>
        <w:jc w:val="both"/>
        <w:rPr>
          <w:rFonts w:asciiTheme="minorHAnsi" w:eastAsia="Times New Roman" w:hAnsiTheme="minorHAnsi" w:cstheme="minorHAnsi"/>
          <w:lang w:eastAsia="fr-FR"/>
        </w:rPr>
      </w:pPr>
      <w:r w:rsidRPr="00EE2B26">
        <w:rPr>
          <w:rFonts w:asciiTheme="minorHAnsi" w:eastAsia="Times New Roman" w:hAnsiTheme="minorHAnsi" w:cstheme="minorHAnsi"/>
          <w:lang w:eastAsia="fr-FR"/>
        </w:rPr>
        <w:t>Identifier et consolider les projets sectoriels présentant un niveau de structuration suffisant, au regard de leur contenu technique, de leur portage institutionnel et de leur faisabilité ;</w:t>
      </w:r>
    </w:p>
    <w:p w14:paraId="16B7E091" w14:textId="77777777" w:rsidR="00980C6D" w:rsidRPr="00EE2B26" w:rsidRDefault="00980C6D" w:rsidP="008A3661">
      <w:pPr>
        <w:numPr>
          <w:ilvl w:val="0"/>
          <w:numId w:val="48"/>
        </w:numPr>
        <w:spacing w:after="120" w:line="280" w:lineRule="atLeast"/>
        <w:jc w:val="both"/>
        <w:rPr>
          <w:rFonts w:asciiTheme="minorHAnsi" w:eastAsia="Times New Roman" w:hAnsiTheme="minorHAnsi" w:cstheme="minorHAnsi"/>
          <w:lang w:eastAsia="fr-FR"/>
        </w:rPr>
      </w:pPr>
      <w:r w:rsidRPr="00EE2B26">
        <w:rPr>
          <w:rFonts w:asciiTheme="minorHAnsi" w:eastAsia="Times New Roman" w:hAnsiTheme="minorHAnsi" w:cstheme="minorHAnsi"/>
          <w:lang w:eastAsia="fr-FR"/>
        </w:rPr>
        <w:t>Caractériser les risques climatiques ciblés par chaque projet afin de mettre en évidence leur contribution à la réduction de la vulnérabilité des populations, des écosystèmes et des secteurs productifs ;</w:t>
      </w:r>
    </w:p>
    <w:p w14:paraId="272ECBFB" w14:textId="77777777" w:rsidR="00980C6D" w:rsidRPr="00EE2B26" w:rsidRDefault="00980C6D" w:rsidP="008A3661">
      <w:pPr>
        <w:numPr>
          <w:ilvl w:val="0"/>
          <w:numId w:val="48"/>
        </w:numPr>
        <w:spacing w:after="120" w:line="280" w:lineRule="atLeast"/>
        <w:jc w:val="both"/>
        <w:rPr>
          <w:rFonts w:asciiTheme="minorHAnsi" w:eastAsia="Times New Roman" w:hAnsiTheme="minorHAnsi" w:cstheme="minorHAnsi"/>
          <w:lang w:eastAsia="fr-FR"/>
        </w:rPr>
      </w:pPr>
      <w:r w:rsidRPr="00EE2B26">
        <w:rPr>
          <w:rFonts w:asciiTheme="minorHAnsi" w:eastAsia="Times New Roman" w:hAnsiTheme="minorHAnsi" w:cstheme="minorHAnsi"/>
          <w:lang w:eastAsia="fr-FR"/>
        </w:rPr>
        <w:t>Estimer les coûts des projets, identifier les sources de financement envisageables et préciser leur caractère conditionnel ou inconditionnel.</w:t>
      </w:r>
    </w:p>
    <w:p w14:paraId="5556B48E" w14:textId="5471177E" w:rsidR="005F4BD1" w:rsidRPr="009F57BE" w:rsidRDefault="00980C6D" w:rsidP="009F57BE">
      <w:pPr>
        <w:spacing w:after="120" w:line="280" w:lineRule="atLeast"/>
        <w:jc w:val="both"/>
        <w:rPr>
          <w:rFonts w:asciiTheme="minorHAnsi" w:eastAsia="Times New Roman" w:hAnsiTheme="minorHAnsi" w:cstheme="minorHAnsi"/>
          <w:lang w:eastAsia="fr-FR"/>
        </w:rPr>
      </w:pPr>
      <w:r w:rsidRPr="00EE2B26">
        <w:rPr>
          <w:rFonts w:asciiTheme="minorHAnsi" w:eastAsia="Times New Roman" w:hAnsiTheme="minorHAnsi" w:cstheme="minorHAnsi"/>
          <w:lang w:eastAsia="fr-FR"/>
        </w:rPr>
        <w:t xml:space="preserve">Cette démarche permet ainsi de disposer d'une vision consolidée et structurée des </w:t>
      </w:r>
      <w:r w:rsidRPr="00980C6D">
        <w:rPr>
          <w:rFonts w:asciiTheme="minorHAnsi" w:eastAsia="Times New Roman" w:hAnsiTheme="minorHAnsi" w:cstheme="minorHAnsi"/>
          <w:lang w:eastAsia="fr-FR"/>
        </w:rPr>
        <w:t xml:space="preserve">projets </w:t>
      </w:r>
      <w:r w:rsidRPr="00EE2B26">
        <w:rPr>
          <w:rFonts w:asciiTheme="minorHAnsi" w:eastAsia="Times New Roman" w:hAnsiTheme="minorHAnsi" w:cstheme="minorHAnsi"/>
          <w:lang w:eastAsia="fr-FR"/>
        </w:rPr>
        <w:t>d'adaptation prioritaires par secteur, indispensable pour soutenir la mise en œuvre opérationnelle de la CDN 3.0 du Mali.</w:t>
      </w:r>
    </w:p>
    <w:p w14:paraId="70806109" w14:textId="7809F2B1" w:rsidR="004832C9" w:rsidRDefault="00BC7852" w:rsidP="009F57BE">
      <w:pPr>
        <w:pStyle w:val="Titre2"/>
        <w:spacing w:before="120" w:after="120"/>
        <w:ind w:left="1138" w:hanging="288"/>
      </w:pPr>
      <w:bookmarkStart w:id="91" w:name="_Toc234853886"/>
      <w:r>
        <w:t>A</w:t>
      </w:r>
      <w:r w:rsidR="00332D2B">
        <w:t>griculture</w:t>
      </w:r>
      <w:bookmarkEnd w:id="91"/>
      <w:r w:rsidR="004832C9" w:rsidRPr="00332D2B">
        <w:t xml:space="preserve"> </w:t>
      </w:r>
    </w:p>
    <w:p w14:paraId="79D7C3BB" w14:textId="77777777" w:rsidR="00382328" w:rsidRDefault="00382328" w:rsidP="002C3767">
      <w:pPr>
        <w:pStyle w:val="Titre3"/>
        <w:numPr>
          <w:ilvl w:val="2"/>
          <w:numId w:val="21"/>
        </w:numPr>
      </w:pPr>
      <w:bookmarkStart w:id="92" w:name="_Toc234853887"/>
      <w:r>
        <w:t xml:space="preserve">Projets </w:t>
      </w:r>
      <w:r w:rsidRPr="00332D2B">
        <w:t>d’adaptation prioritaires retenus dans le cadre de la CDN 3</w:t>
      </w:r>
      <w:r>
        <w:t xml:space="preserve"> </w:t>
      </w:r>
      <w:r w:rsidRPr="00332D2B">
        <w:t>0</w:t>
      </w:r>
      <w:bookmarkEnd w:id="92"/>
      <w:r w:rsidRPr="00332D2B">
        <w:t xml:space="preserve"> </w:t>
      </w:r>
    </w:p>
    <w:p w14:paraId="657CE23B" w14:textId="1C665C83" w:rsidR="00382328" w:rsidRPr="00740D98" w:rsidRDefault="00360A54" w:rsidP="00382328">
      <w:pPr>
        <w:spacing w:after="120" w:line="300" w:lineRule="atLeast"/>
        <w:jc w:val="both"/>
      </w:pPr>
      <w:r w:rsidRPr="00360A54">
        <w:t xml:space="preserve">Pour le secteur de l’agriculture, dix-sept projets ont été identifiés pour intégration dans la CDN 3.0, couvrant notamment l’agroécologie, la résilience climatique, la gestion durable des terres, le développement des filières agricoles, l’innovation technologique et le renforcement des capacités des producteurs. Parmi ces projets, certains sont déjà en cours de mise en œuvre, tandis que d’autres sont en phase de conception, d’adoption ou de recherche de financement. L’identification des projets a été </w:t>
      </w:r>
      <w:r w:rsidRPr="00360A54">
        <w:lastRenderedPageBreak/>
        <w:t>réalisée à travers des consultations menées avec les structures sectorielles concernées, notamment la Direction Nationale de l’Agriculture (DNA) et la Direction Nationale des Productions et Industries Animales (DNPIA). Plusieurs projets s’inscrivent également dans les orientations stratégiques nationales en matière de sécurité alimentaire, de résilience climatique et de transformation durable du secteur agricole.</w:t>
      </w:r>
      <w:r w:rsidR="00382328">
        <w:t xml:space="preserve"> </w:t>
      </w:r>
    </w:p>
    <w:p w14:paraId="0028E51F" w14:textId="77777777" w:rsidR="00382328" w:rsidRDefault="00382328" w:rsidP="009F57BE">
      <w:r>
        <w:br w:type="page"/>
      </w:r>
    </w:p>
    <w:p w14:paraId="2AF504CB" w14:textId="059E6283" w:rsidR="00057511" w:rsidRPr="00057511" w:rsidRDefault="00057511" w:rsidP="00057511">
      <w:pPr>
        <w:sectPr w:rsidR="00057511" w:rsidRPr="00057511" w:rsidSect="00C42595">
          <w:pgSz w:w="12240" w:h="15840" w:code="1"/>
          <w:pgMar w:top="1412" w:right="1412" w:bottom="1412" w:left="1412" w:header="709" w:footer="709" w:gutter="0"/>
          <w:cols w:space="708"/>
          <w:docGrid w:linePitch="360"/>
        </w:sectPr>
      </w:pPr>
    </w:p>
    <w:p w14:paraId="7C238991" w14:textId="114E7B90" w:rsidR="00382328" w:rsidRPr="008C1B8A" w:rsidRDefault="00382328" w:rsidP="00382328">
      <w:pPr>
        <w:pStyle w:val="Lgende"/>
        <w:keepNext/>
        <w:spacing w:after="0"/>
        <w:rPr>
          <w:sz w:val="22"/>
          <w:szCs w:val="22"/>
        </w:rPr>
      </w:pPr>
      <w:bookmarkStart w:id="93" w:name="_Toc234853960"/>
      <w:r w:rsidRPr="00BB7517">
        <w:rPr>
          <w:sz w:val="22"/>
          <w:szCs w:val="22"/>
        </w:rPr>
        <w:lastRenderedPageBreak/>
        <w:t xml:space="preserve">Tableau </w:t>
      </w:r>
      <w:r w:rsidRPr="00BB7517">
        <w:rPr>
          <w:sz w:val="22"/>
          <w:szCs w:val="22"/>
        </w:rPr>
        <w:fldChar w:fldCharType="begin"/>
      </w:r>
      <w:r w:rsidRPr="00BB7517">
        <w:rPr>
          <w:sz w:val="22"/>
          <w:szCs w:val="22"/>
        </w:rPr>
        <w:instrText xml:space="preserve"> SEQ Tableau \* ARABIC </w:instrText>
      </w:r>
      <w:r w:rsidRPr="00BB7517">
        <w:rPr>
          <w:sz w:val="22"/>
          <w:szCs w:val="22"/>
        </w:rPr>
        <w:fldChar w:fldCharType="separate"/>
      </w:r>
      <w:r w:rsidR="0018772E">
        <w:rPr>
          <w:noProof/>
          <w:sz w:val="22"/>
          <w:szCs w:val="22"/>
        </w:rPr>
        <w:t>36</w:t>
      </w:r>
      <w:r w:rsidRPr="00BB7517">
        <w:rPr>
          <w:sz w:val="22"/>
          <w:szCs w:val="22"/>
        </w:rPr>
        <w:fldChar w:fldCharType="end"/>
      </w:r>
      <w:r w:rsidRPr="00BB7517">
        <w:rPr>
          <w:sz w:val="22"/>
          <w:szCs w:val="22"/>
        </w:rPr>
        <w:t> :</w:t>
      </w:r>
      <w:r w:rsidRPr="00783E23">
        <w:t xml:space="preserve"> </w:t>
      </w:r>
      <w:r>
        <w:rPr>
          <w:sz w:val="22"/>
          <w:szCs w:val="22"/>
        </w:rPr>
        <w:t>Projets d’adaptation</w:t>
      </w:r>
      <w:r w:rsidRPr="00783E23">
        <w:rPr>
          <w:sz w:val="22"/>
          <w:szCs w:val="22"/>
        </w:rPr>
        <w:t xml:space="preserve"> identifiés pour le</w:t>
      </w:r>
      <w:r>
        <w:rPr>
          <w:sz w:val="22"/>
          <w:szCs w:val="22"/>
        </w:rPr>
        <w:t xml:space="preserve"> secteur de</w:t>
      </w:r>
      <w:r w:rsidR="00360A54">
        <w:rPr>
          <w:sz w:val="22"/>
          <w:szCs w:val="22"/>
        </w:rPr>
        <w:t xml:space="preserve"> l’agriculture </w:t>
      </w:r>
      <w:r w:rsidRPr="00783E23">
        <w:rPr>
          <w:sz w:val="22"/>
          <w:szCs w:val="22"/>
        </w:rPr>
        <w:t>dans le cadre de la CDN 3</w:t>
      </w:r>
      <w:r>
        <w:rPr>
          <w:sz w:val="22"/>
          <w:szCs w:val="22"/>
        </w:rPr>
        <w:t xml:space="preserve"> </w:t>
      </w:r>
      <w:r w:rsidRPr="00783E23">
        <w:rPr>
          <w:sz w:val="22"/>
          <w:szCs w:val="22"/>
        </w:rPr>
        <w:t>0</w:t>
      </w:r>
      <w:bookmarkEnd w:id="93"/>
    </w:p>
    <w:tbl>
      <w:tblPr>
        <w:tblStyle w:val="Grilledutableau"/>
        <w:tblW w:w="13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316"/>
        <w:gridCol w:w="1866"/>
        <w:gridCol w:w="6009"/>
        <w:gridCol w:w="1401"/>
        <w:gridCol w:w="1425"/>
      </w:tblGrid>
      <w:tr w:rsidR="00B536AD" w:rsidRPr="006546E0" w14:paraId="42BBE190" w14:textId="77777777" w:rsidTr="009D54A4">
        <w:trPr>
          <w:trHeight w:val="576"/>
          <w:tblHeader/>
        </w:trPr>
        <w:tc>
          <w:tcPr>
            <w:tcW w:w="4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7A6177B5" w14:textId="77777777" w:rsidR="00382328" w:rsidRPr="006546E0" w:rsidRDefault="00382328" w:rsidP="0010507D">
            <w:pPr>
              <w:jc w:val="center"/>
              <w:rPr>
                <w:rFonts w:asciiTheme="minorHAnsi" w:hAnsiTheme="minorHAnsi" w:cstheme="minorHAnsi"/>
                <w:b/>
                <w:color w:val="FFFFFF" w:themeColor="background1"/>
                <w:sz w:val="18"/>
                <w:szCs w:val="18"/>
              </w:rPr>
            </w:pPr>
            <w:r w:rsidRPr="006546E0">
              <w:rPr>
                <w:rFonts w:asciiTheme="minorHAnsi" w:hAnsiTheme="minorHAnsi" w:cstheme="minorHAnsi"/>
                <w:b/>
                <w:color w:val="FFFFFF" w:themeColor="background1"/>
                <w:sz w:val="18"/>
                <w:szCs w:val="18"/>
              </w:rPr>
              <w:t>N°</w:t>
            </w:r>
          </w:p>
        </w:tc>
        <w:tc>
          <w:tcPr>
            <w:tcW w:w="231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083A5AA9" w14:textId="77777777" w:rsidR="00382328" w:rsidRPr="006546E0" w:rsidRDefault="00382328" w:rsidP="0010507D">
            <w:pPr>
              <w:jc w:val="center"/>
              <w:rPr>
                <w:rFonts w:asciiTheme="minorHAnsi" w:hAnsiTheme="minorHAnsi" w:cstheme="minorHAnsi"/>
                <w:b/>
                <w:color w:val="FFFFFF" w:themeColor="background1"/>
                <w:sz w:val="18"/>
                <w:szCs w:val="18"/>
              </w:rPr>
            </w:pPr>
            <w:r w:rsidRPr="006546E0">
              <w:rPr>
                <w:rFonts w:asciiTheme="minorHAnsi" w:hAnsiTheme="minorHAnsi" w:cstheme="minorHAnsi"/>
                <w:b/>
                <w:color w:val="FFFFFF" w:themeColor="background1"/>
                <w:sz w:val="18"/>
                <w:szCs w:val="18"/>
              </w:rPr>
              <w:t>Projets</w:t>
            </w:r>
          </w:p>
        </w:tc>
        <w:tc>
          <w:tcPr>
            <w:tcW w:w="186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41B4BB45" w14:textId="77777777" w:rsidR="00382328" w:rsidRPr="006546E0" w:rsidRDefault="00382328" w:rsidP="0010507D">
            <w:pPr>
              <w:jc w:val="center"/>
              <w:rPr>
                <w:rFonts w:asciiTheme="minorHAnsi" w:hAnsiTheme="minorHAnsi" w:cstheme="minorHAnsi"/>
                <w:b/>
                <w:color w:val="FFFFFF" w:themeColor="background1"/>
                <w:sz w:val="18"/>
                <w:szCs w:val="18"/>
              </w:rPr>
            </w:pPr>
            <w:r w:rsidRPr="006546E0">
              <w:rPr>
                <w:rFonts w:asciiTheme="minorHAnsi" w:hAnsiTheme="minorHAnsi" w:cstheme="minorHAnsi"/>
                <w:b/>
                <w:color w:val="FFFFFF" w:themeColor="background1"/>
                <w:sz w:val="18"/>
                <w:szCs w:val="18"/>
              </w:rPr>
              <w:t>Porteur</w:t>
            </w:r>
          </w:p>
        </w:tc>
        <w:tc>
          <w:tcPr>
            <w:tcW w:w="600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4D81108B" w14:textId="77777777" w:rsidR="00382328" w:rsidRPr="006546E0" w:rsidRDefault="00382328" w:rsidP="0010507D">
            <w:pPr>
              <w:jc w:val="center"/>
              <w:rPr>
                <w:rFonts w:asciiTheme="minorHAnsi" w:hAnsiTheme="minorHAnsi" w:cstheme="minorHAnsi"/>
                <w:b/>
                <w:color w:val="FFFFFF" w:themeColor="background1"/>
                <w:sz w:val="18"/>
                <w:szCs w:val="18"/>
              </w:rPr>
            </w:pPr>
            <w:r w:rsidRPr="006546E0">
              <w:rPr>
                <w:rFonts w:asciiTheme="minorHAnsi" w:hAnsiTheme="minorHAnsi" w:cstheme="minorHAnsi"/>
                <w:b/>
                <w:color w:val="FFFFFF" w:themeColor="background1"/>
                <w:sz w:val="18"/>
                <w:szCs w:val="18"/>
              </w:rPr>
              <w:t>Objectif et description</w:t>
            </w:r>
          </w:p>
        </w:tc>
        <w:tc>
          <w:tcPr>
            <w:tcW w:w="140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6B649376" w14:textId="77777777" w:rsidR="00382328" w:rsidRPr="006546E0" w:rsidRDefault="00382328" w:rsidP="0010507D">
            <w:pPr>
              <w:jc w:val="center"/>
              <w:rPr>
                <w:rFonts w:asciiTheme="minorHAnsi" w:hAnsiTheme="minorHAnsi" w:cstheme="minorHAnsi"/>
                <w:b/>
                <w:color w:val="FFFFFF" w:themeColor="background1"/>
                <w:sz w:val="18"/>
                <w:szCs w:val="18"/>
              </w:rPr>
            </w:pPr>
            <w:r w:rsidRPr="006546E0">
              <w:rPr>
                <w:rFonts w:asciiTheme="minorHAnsi" w:hAnsiTheme="minorHAnsi" w:cstheme="minorHAnsi"/>
                <w:b/>
                <w:color w:val="FFFFFF" w:themeColor="background1"/>
                <w:sz w:val="18"/>
                <w:szCs w:val="18"/>
              </w:rPr>
              <w:t>Période de mise en œuvre</w:t>
            </w:r>
          </w:p>
        </w:tc>
        <w:tc>
          <w:tcPr>
            <w:tcW w:w="142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0C7A1673" w14:textId="77777777" w:rsidR="00382328" w:rsidRPr="006546E0" w:rsidRDefault="00382328" w:rsidP="0010507D">
            <w:pPr>
              <w:jc w:val="center"/>
              <w:rPr>
                <w:rFonts w:asciiTheme="minorHAnsi" w:hAnsiTheme="minorHAnsi" w:cstheme="minorHAnsi"/>
                <w:b/>
                <w:color w:val="FFFFFF" w:themeColor="background1"/>
                <w:sz w:val="18"/>
                <w:szCs w:val="18"/>
              </w:rPr>
            </w:pPr>
            <w:r w:rsidRPr="006546E0">
              <w:rPr>
                <w:rFonts w:asciiTheme="minorHAnsi" w:hAnsiTheme="minorHAnsi" w:cstheme="minorHAnsi"/>
                <w:b/>
                <w:color w:val="FFFFFF" w:themeColor="background1"/>
                <w:sz w:val="18"/>
                <w:szCs w:val="18"/>
              </w:rPr>
              <w:t>Statut</w:t>
            </w:r>
          </w:p>
        </w:tc>
      </w:tr>
      <w:tr w:rsidR="00B536AD" w:rsidRPr="006546E0" w14:paraId="1D8452BC" w14:textId="77777777" w:rsidTr="009D54A4">
        <w:tc>
          <w:tcPr>
            <w:tcW w:w="436" w:type="dxa"/>
            <w:tcBorders>
              <w:top w:val="single" w:sz="4" w:space="0" w:color="auto"/>
              <w:bottom w:val="single" w:sz="4" w:space="0" w:color="auto"/>
            </w:tcBorders>
            <w:vAlign w:val="center"/>
          </w:tcPr>
          <w:p w14:paraId="3CC93C76" w14:textId="77777777" w:rsidR="00382328" w:rsidRPr="006546E0" w:rsidRDefault="00382328" w:rsidP="009F57BE">
            <w:pPr>
              <w:rPr>
                <w:rFonts w:asciiTheme="minorHAnsi" w:hAnsiTheme="minorHAnsi" w:cstheme="minorHAnsi"/>
                <w:b/>
                <w:sz w:val="18"/>
                <w:szCs w:val="18"/>
              </w:rPr>
            </w:pPr>
            <w:r w:rsidRPr="006546E0">
              <w:rPr>
                <w:rFonts w:asciiTheme="minorHAnsi" w:hAnsiTheme="minorHAnsi" w:cstheme="minorHAnsi"/>
                <w:b/>
                <w:sz w:val="18"/>
                <w:szCs w:val="18"/>
              </w:rPr>
              <w:t>1</w:t>
            </w:r>
          </w:p>
        </w:tc>
        <w:tc>
          <w:tcPr>
            <w:tcW w:w="2316" w:type="dxa"/>
            <w:tcBorders>
              <w:top w:val="single" w:sz="4" w:space="0" w:color="auto"/>
              <w:bottom w:val="single" w:sz="4" w:space="0" w:color="auto"/>
            </w:tcBorders>
            <w:vAlign w:val="center"/>
          </w:tcPr>
          <w:p w14:paraId="0F214AF8" w14:textId="1DD59FF9" w:rsidR="00382328" w:rsidRPr="006546E0" w:rsidRDefault="006E5D82" w:rsidP="009F57BE">
            <w:pPr>
              <w:rPr>
                <w:rFonts w:asciiTheme="minorHAnsi" w:hAnsiTheme="minorHAnsi" w:cstheme="minorHAnsi"/>
                <w:sz w:val="18"/>
                <w:szCs w:val="18"/>
              </w:rPr>
            </w:pPr>
            <w:r w:rsidRPr="006546E0">
              <w:rPr>
                <w:rFonts w:asciiTheme="minorHAnsi" w:hAnsiTheme="minorHAnsi" w:cstheme="minorHAnsi"/>
                <w:sz w:val="18"/>
                <w:szCs w:val="18"/>
              </w:rPr>
              <w:t>Paysages Résilients, Productifs et Durables (PRPD)</w:t>
            </w:r>
            <w:r w:rsidR="00382328" w:rsidRPr="006546E0">
              <w:rPr>
                <w:rFonts w:asciiTheme="minorHAnsi" w:hAnsiTheme="minorHAnsi" w:cstheme="minorHAnsi"/>
                <w:sz w:val="18"/>
                <w:szCs w:val="18"/>
              </w:rPr>
              <w:t xml:space="preserve">. </w:t>
            </w:r>
          </w:p>
        </w:tc>
        <w:tc>
          <w:tcPr>
            <w:tcW w:w="1866" w:type="dxa"/>
            <w:tcBorders>
              <w:top w:val="single" w:sz="4" w:space="0" w:color="auto"/>
              <w:bottom w:val="single" w:sz="4" w:space="0" w:color="auto"/>
            </w:tcBorders>
            <w:vAlign w:val="center"/>
          </w:tcPr>
          <w:p w14:paraId="0B45C63E" w14:textId="560D6568" w:rsidR="00382328" w:rsidRPr="006546E0" w:rsidRDefault="006E5D82"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r w:rsidR="00382328" w:rsidRPr="006546E0">
              <w:rPr>
                <w:rFonts w:asciiTheme="minorHAnsi" w:hAnsiTheme="minorHAnsi" w:cstheme="minorHAnsi"/>
                <w:sz w:val="18"/>
                <w:szCs w:val="18"/>
              </w:rPr>
              <w:t>)</w:t>
            </w:r>
          </w:p>
        </w:tc>
        <w:tc>
          <w:tcPr>
            <w:tcW w:w="6009" w:type="dxa"/>
            <w:tcBorders>
              <w:top w:val="single" w:sz="4" w:space="0" w:color="auto"/>
              <w:bottom w:val="single" w:sz="4" w:space="0" w:color="auto"/>
            </w:tcBorders>
            <w:vAlign w:val="center"/>
          </w:tcPr>
          <w:p w14:paraId="45771592" w14:textId="77777777" w:rsidR="006E5D82" w:rsidRPr="006546E0" w:rsidRDefault="006E5D82"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Objectif </w:t>
            </w:r>
          </w:p>
          <w:p w14:paraId="04835690" w14:textId="098802AD" w:rsidR="006E5D82" w:rsidRPr="006546E0" w:rsidRDefault="00054113" w:rsidP="0010507D">
            <w:pPr>
              <w:jc w:val="both"/>
              <w:rPr>
                <w:rFonts w:asciiTheme="minorHAnsi" w:hAnsiTheme="minorHAnsi" w:cstheme="minorHAnsi"/>
                <w:sz w:val="18"/>
                <w:szCs w:val="18"/>
              </w:rPr>
            </w:pPr>
            <w:r w:rsidRPr="006546E0">
              <w:rPr>
                <w:rFonts w:asciiTheme="minorHAnsi" w:hAnsiTheme="minorHAnsi" w:cstheme="minorHAnsi"/>
                <w:sz w:val="18"/>
                <w:szCs w:val="18"/>
              </w:rPr>
              <w:t>Le projet vise, à travers la mise en œuvre d’une approche de transition agroécologique, à promouvoir des innovations en matière de gouvernance, de production et de financement afin de réduire la vulnérabilité des systèmes alimentaires agro-sylvo-pastoraux et des moyens d’existence des petits exploitants, tout en inversant la dégradation des terres et en freinant la perte de la biodiversité d’importance mondiale dans les paysages fragiles de la région de Kayes.</w:t>
            </w:r>
            <w:r w:rsidR="006E5D82" w:rsidRPr="006546E0">
              <w:rPr>
                <w:rFonts w:asciiTheme="minorHAnsi" w:hAnsiTheme="minorHAnsi" w:cstheme="minorHAnsi"/>
                <w:sz w:val="18"/>
                <w:szCs w:val="18"/>
              </w:rPr>
              <w:t xml:space="preserve">  </w:t>
            </w:r>
          </w:p>
          <w:p w14:paraId="3D9C8198" w14:textId="77777777" w:rsidR="006E5D82" w:rsidRPr="006546E0" w:rsidRDefault="006E5D82"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Description</w:t>
            </w:r>
          </w:p>
          <w:p w14:paraId="0ED2EA34" w14:textId="08174BD3" w:rsidR="00382328" w:rsidRPr="006546E0" w:rsidRDefault="00317299" w:rsidP="0010507D">
            <w:pPr>
              <w:jc w:val="both"/>
              <w:rPr>
                <w:rFonts w:asciiTheme="minorHAnsi" w:hAnsiTheme="minorHAnsi" w:cstheme="minorHAnsi"/>
                <w:sz w:val="18"/>
                <w:szCs w:val="18"/>
              </w:rPr>
            </w:pPr>
            <w:r w:rsidRPr="006546E0">
              <w:rPr>
                <w:rFonts w:asciiTheme="minorHAnsi" w:hAnsiTheme="minorHAnsi" w:cstheme="minorHAnsi"/>
                <w:sz w:val="18"/>
                <w:szCs w:val="18"/>
              </w:rPr>
              <w:t>Le secteur agricole du Mali fait face à une dégradation croissante des sols, à la réduction des périodes de jachère et à une baisse de la fertilité des terres, limitant la capacité d’adaptation des systèmes agricoles aux effets du changement climatique. Cette situation favorise l’extension des activités agricoles vers des zones marginales et forestières, accentuant la dégradation des écosystèmes et la perte de biodiversité. Afin de répondre à ces enjeux, le Projet « Paysages résilients, productifs et durables dans la région de Kayes au Mali (PRPD) » a été conçu pour promouvoir des pratiques agricoles durables, restaurer les paysages et renforcer la résilience des communautés rurales face aux changements climatiques</w:t>
            </w:r>
            <w:r w:rsidR="00A56605" w:rsidRPr="006546E0">
              <w:rPr>
                <w:rFonts w:asciiTheme="minorHAnsi" w:hAnsiTheme="minorHAnsi" w:cstheme="minorHAnsi"/>
                <w:sz w:val="18"/>
                <w:szCs w:val="18"/>
              </w:rPr>
              <w:t>.</w:t>
            </w:r>
          </w:p>
        </w:tc>
        <w:tc>
          <w:tcPr>
            <w:tcW w:w="1401" w:type="dxa"/>
            <w:tcBorders>
              <w:top w:val="single" w:sz="4" w:space="0" w:color="auto"/>
              <w:bottom w:val="single" w:sz="4" w:space="0" w:color="auto"/>
            </w:tcBorders>
            <w:vAlign w:val="center"/>
          </w:tcPr>
          <w:p w14:paraId="4C6F90C6" w14:textId="3D986C4C" w:rsidR="00382328" w:rsidRPr="006546E0" w:rsidRDefault="009A7C3C" w:rsidP="0010507D">
            <w:pPr>
              <w:jc w:val="both"/>
              <w:rPr>
                <w:rFonts w:asciiTheme="minorHAnsi" w:hAnsiTheme="minorHAnsi" w:cstheme="minorHAnsi"/>
                <w:sz w:val="18"/>
                <w:szCs w:val="18"/>
              </w:rPr>
            </w:pPr>
            <w:r w:rsidRPr="006546E0">
              <w:rPr>
                <w:rFonts w:asciiTheme="minorHAnsi" w:hAnsiTheme="minorHAnsi" w:cstheme="minorHAnsi"/>
                <w:sz w:val="18"/>
                <w:szCs w:val="18"/>
              </w:rPr>
              <w:t>2024-2028</w:t>
            </w:r>
          </w:p>
        </w:tc>
        <w:tc>
          <w:tcPr>
            <w:tcW w:w="1425" w:type="dxa"/>
            <w:tcBorders>
              <w:top w:val="single" w:sz="4" w:space="0" w:color="auto"/>
              <w:bottom w:val="single" w:sz="4" w:space="0" w:color="auto"/>
            </w:tcBorders>
            <w:vAlign w:val="center"/>
          </w:tcPr>
          <w:p w14:paraId="6F11EB7F" w14:textId="77777777" w:rsidR="00382328" w:rsidRPr="006546E0" w:rsidRDefault="00382328" w:rsidP="0010507D">
            <w:pPr>
              <w:jc w:val="both"/>
              <w:rPr>
                <w:rFonts w:asciiTheme="minorHAnsi" w:hAnsiTheme="minorHAnsi" w:cstheme="minorHAnsi"/>
                <w:sz w:val="18"/>
                <w:szCs w:val="18"/>
              </w:rPr>
            </w:pPr>
            <w:r w:rsidRPr="006546E0">
              <w:rPr>
                <w:rFonts w:asciiTheme="minorHAnsi" w:hAnsiTheme="minorHAnsi" w:cstheme="minorHAnsi"/>
                <w:sz w:val="18"/>
                <w:szCs w:val="18"/>
              </w:rPr>
              <w:t>En cours</w:t>
            </w:r>
          </w:p>
        </w:tc>
      </w:tr>
      <w:tr w:rsidR="00B536AD" w:rsidRPr="006546E0" w14:paraId="1AEE6992" w14:textId="77777777" w:rsidTr="009D54A4">
        <w:tc>
          <w:tcPr>
            <w:tcW w:w="436" w:type="dxa"/>
            <w:tcBorders>
              <w:top w:val="single" w:sz="4" w:space="0" w:color="auto"/>
              <w:bottom w:val="single" w:sz="4" w:space="0" w:color="auto"/>
            </w:tcBorders>
            <w:vAlign w:val="center"/>
          </w:tcPr>
          <w:p w14:paraId="7866C9D7" w14:textId="77777777" w:rsidR="00382328" w:rsidRPr="006546E0" w:rsidRDefault="00382328" w:rsidP="009F57BE">
            <w:pPr>
              <w:rPr>
                <w:rFonts w:asciiTheme="minorHAnsi" w:hAnsiTheme="minorHAnsi" w:cstheme="minorHAnsi"/>
                <w:b/>
                <w:sz w:val="18"/>
                <w:szCs w:val="18"/>
              </w:rPr>
            </w:pPr>
            <w:r w:rsidRPr="006546E0">
              <w:rPr>
                <w:rFonts w:asciiTheme="minorHAnsi" w:hAnsiTheme="minorHAnsi" w:cstheme="minorHAnsi"/>
                <w:b/>
                <w:sz w:val="18"/>
                <w:szCs w:val="18"/>
              </w:rPr>
              <w:t>2</w:t>
            </w:r>
          </w:p>
        </w:tc>
        <w:tc>
          <w:tcPr>
            <w:tcW w:w="2316" w:type="dxa"/>
            <w:tcBorders>
              <w:top w:val="single" w:sz="4" w:space="0" w:color="auto"/>
              <w:bottom w:val="single" w:sz="4" w:space="0" w:color="auto"/>
            </w:tcBorders>
            <w:vAlign w:val="center"/>
          </w:tcPr>
          <w:p w14:paraId="1A5A2B41" w14:textId="78820A4D" w:rsidR="00382328" w:rsidRPr="006546E0" w:rsidRDefault="00342FE6" w:rsidP="009F57BE">
            <w:pPr>
              <w:rPr>
                <w:rFonts w:asciiTheme="minorHAnsi" w:hAnsiTheme="minorHAnsi" w:cstheme="minorHAnsi"/>
                <w:sz w:val="18"/>
                <w:szCs w:val="18"/>
              </w:rPr>
            </w:pPr>
            <w:r w:rsidRPr="006546E0">
              <w:rPr>
                <w:rFonts w:asciiTheme="minorHAnsi" w:hAnsiTheme="minorHAnsi" w:cstheme="minorHAnsi"/>
                <w:sz w:val="18"/>
                <w:szCs w:val="18"/>
              </w:rPr>
              <w:t>Projet Régional d'Appui au Pastoralisme au Sahel (PRAPS)</w:t>
            </w:r>
            <w:r w:rsidR="00EA71F1" w:rsidRPr="006546E0">
              <w:rPr>
                <w:rFonts w:asciiTheme="minorHAnsi" w:hAnsiTheme="minorHAnsi" w:cstheme="minorHAnsi"/>
                <w:sz w:val="18"/>
                <w:szCs w:val="18"/>
              </w:rPr>
              <w:t xml:space="preserve"> – Phase II</w:t>
            </w:r>
            <w:r w:rsidR="00382328" w:rsidRPr="006546E0">
              <w:rPr>
                <w:rFonts w:asciiTheme="minorHAnsi" w:hAnsiTheme="minorHAnsi" w:cstheme="minorHAnsi"/>
                <w:sz w:val="18"/>
                <w:szCs w:val="18"/>
              </w:rPr>
              <w:t xml:space="preserve">. </w:t>
            </w:r>
          </w:p>
        </w:tc>
        <w:tc>
          <w:tcPr>
            <w:tcW w:w="1866" w:type="dxa"/>
            <w:tcBorders>
              <w:top w:val="single" w:sz="4" w:space="0" w:color="auto"/>
              <w:bottom w:val="single" w:sz="4" w:space="0" w:color="auto"/>
            </w:tcBorders>
            <w:vAlign w:val="center"/>
          </w:tcPr>
          <w:p w14:paraId="103A10B1" w14:textId="021B10C6" w:rsidR="00382328" w:rsidRPr="006546E0" w:rsidRDefault="006204DF"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des productions et industries animales (DNPIA)</w:t>
            </w:r>
          </w:p>
        </w:tc>
        <w:tc>
          <w:tcPr>
            <w:tcW w:w="6009" w:type="dxa"/>
            <w:tcBorders>
              <w:top w:val="single" w:sz="4" w:space="0" w:color="auto"/>
              <w:bottom w:val="single" w:sz="4" w:space="0" w:color="auto"/>
            </w:tcBorders>
            <w:vAlign w:val="center"/>
          </w:tcPr>
          <w:p w14:paraId="1E9F12FF" w14:textId="77777777" w:rsidR="00382328" w:rsidRPr="006546E0" w:rsidRDefault="00382328"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Objectif </w:t>
            </w:r>
          </w:p>
          <w:p w14:paraId="57A8790E" w14:textId="7D53BCF1" w:rsidR="00382328" w:rsidRPr="006546E0" w:rsidRDefault="00182927" w:rsidP="0010507D">
            <w:pPr>
              <w:jc w:val="both"/>
              <w:rPr>
                <w:rFonts w:asciiTheme="minorHAnsi" w:hAnsiTheme="minorHAnsi" w:cstheme="minorHAnsi"/>
                <w:sz w:val="18"/>
                <w:szCs w:val="18"/>
              </w:rPr>
            </w:pPr>
            <w:r w:rsidRPr="006546E0">
              <w:rPr>
                <w:rFonts w:asciiTheme="minorHAnsi" w:hAnsiTheme="minorHAnsi" w:cstheme="minorHAnsi"/>
                <w:sz w:val="18"/>
                <w:szCs w:val="18"/>
              </w:rPr>
              <w:t>Améliorer la résilience des pasteurs et des agropasteurs dans certaines zones de la région du Sahel, à travers le renforcement durable de leurs moyens d’existence, de leurs capacités de génération de revenus et des écosystèmes dont ils dépendent.</w:t>
            </w:r>
          </w:p>
          <w:p w14:paraId="753905AB" w14:textId="77777777" w:rsidR="00382328" w:rsidRPr="006546E0" w:rsidRDefault="00382328"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Description</w:t>
            </w:r>
          </w:p>
          <w:p w14:paraId="279B6D6E" w14:textId="5910A00B" w:rsidR="00382328" w:rsidRPr="006546E0" w:rsidRDefault="00182927" w:rsidP="0010507D">
            <w:pPr>
              <w:jc w:val="both"/>
              <w:rPr>
                <w:rFonts w:asciiTheme="minorHAnsi" w:hAnsiTheme="minorHAnsi" w:cstheme="minorHAnsi"/>
                <w:sz w:val="18"/>
                <w:szCs w:val="18"/>
              </w:rPr>
            </w:pPr>
            <w:r w:rsidRPr="006546E0">
              <w:rPr>
                <w:rFonts w:asciiTheme="minorHAnsi" w:hAnsiTheme="minorHAnsi" w:cstheme="minorHAnsi"/>
                <w:sz w:val="18"/>
                <w:szCs w:val="18"/>
              </w:rPr>
              <w:t>Le projet repose sur une approche de renforcement de la résilience des communautés pastorales et agropastorales face aux crises et aux effets du changement climatique. Il prévoit des actions visant la préservation des actifs productifs, le soutien aux moyens d’existence et la protection des écosystèmes afin de permettre aux populations concernées de mieux anticiper, absorber et surmonter les chocs climatiques et environnementaux de manière durable.</w:t>
            </w:r>
            <w:r w:rsidR="00382328" w:rsidRPr="006546E0">
              <w:rPr>
                <w:rFonts w:asciiTheme="minorHAnsi" w:hAnsiTheme="minorHAnsi" w:cstheme="minorHAnsi"/>
                <w:sz w:val="18"/>
                <w:szCs w:val="18"/>
              </w:rPr>
              <w:t xml:space="preserve"> </w:t>
            </w:r>
          </w:p>
        </w:tc>
        <w:tc>
          <w:tcPr>
            <w:tcW w:w="1401" w:type="dxa"/>
            <w:tcBorders>
              <w:top w:val="single" w:sz="4" w:space="0" w:color="auto"/>
              <w:bottom w:val="single" w:sz="4" w:space="0" w:color="auto"/>
            </w:tcBorders>
            <w:vAlign w:val="center"/>
          </w:tcPr>
          <w:p w14:paraId="10C1D5A1" w14:textId="35B1DF01" w:rsidR="00382328" w:rsidRPr="006546E0" w:rsidRDefault="00EA71F1" w:rsidP="0010507D">
            <w:pPr>
              <w:jc w:val="both"/>
              <w:rPr>
                <w:rFonts w:asciiTheme="minorHAnsi" w:hAnsiTheme="minorHAnsi" w:cstheme="minorHAnsi"/>
                <w:sz w:val="18"/>
                <w:szCs w:val="18"/>
              </w:rPr>
            </w:pPr>
            <w:r w:rsidRPr="006546E0">
              <w:rPr>
                <w:rFonts w:asciiTheme="minorHAnsi" w:hAnsiTheme="minorHAnsi" w:cstheme="minorHAnsi"/>
                <w:sz w:val="18"/>
                <w:szCs w:val="18"/>
              </w:rPr>
              <w:t>2022-2027</w:t>
            </w:r>
          </w:p>
        </w:tc>
        <w:tc>
          <w:tcPr>
            <w:tcW w:w="1425" w:type="dxa"/>
            <w:tcBorders>
              <w:top w:val="single" w:sz="4" w:space="0" w:color="auto"/>
              <w:bottom w:val="single" w:sz="4" w:space="0" w:color="auto"/>
            </w:tcBorders>
            <w:vAlign w:val="center"/>
          </w:tcPr>
          <w:p w14:paraId="772D2B98" w14:textId="77777777" w:rsidR="00382328" w:rsidRPr="006546E0" w:rsidRDefault="00382328" w:rsidP="0010507D">
            <w:pPr>
              <w:jc w:val="both"/>
              <w:rPr>
                <w:rFonts w:asciiTheme="minorHAnsi" w:hAnsiTheme="minorHAnsi" w:cstheme="minorHAnsi"/>
                <w:sz w:val="18"/>
                <w:szCs w:val="18"/>
              </w:rPr>
            </w:pPr>
            <w:r w:rsidRPr="006546E0">
              <w:rPr>
                <w:rFonts w:asciiTheme="minorHAnsi" w:hAnsiTheme="minorHAnsi" w:cstheme="minorHAnsi"/>
                <w:sz w:val="18"/>
                <w:szCs w:val="18"/>
              </w:rPr>
              <w:t>En cours</w:t>
            </w:r>
          </w:p>
        </w:tc>
      </w:tr>
      <w:tr w:rsidR="003F3A79" w:rsidRPr="006546E0" w14:paraId="7E3DAEC6" w14:textId="77777777" w:rsidTr="009D54A4">
        <w:tc>
          <w:tcPr>
            <w:tcW w:w="436" w:type="dxa"/>
            <w:tcBorders>
              <w:top w:val="single" w:sz="4" w:space="0" w:color="auto"/>
              <w:bottom w:val="single" w:sz="4" w:space="0" w:color="auto"/>
            </w:tcBorders>
            <w:vAlign w:val="center"/>
          </w:tcPr>
          <w:p w14:paraId="4754C98D" w14:textId="77777777" w:rsidR="003F3A79" w:rsidRPr="006546E0" w:rsidRDefault="003F3A79" w:rsidP="009F57BE">
            <w:pPr>
              <w:rPr>
                <w:rFonts w:asciiTheme="minorHAnsi" w:hAnsiTheme="minorHAnsi" w:cstheme="minorHAnsi"/>
                <w:b/>
                <w:sz w:val="18"/>
                <w:szCs w:val="18"/>
              </w:rPr>
            </w:pPr>
            <w:r w:rsidRPr="006546E0">
              <w:rPr>
                <w:rFonts w:asciiTheme="minorHAnsi" w:hAnsiTheme="minorHAnsi" w:cstheme="minorHAnsi"/>
                <w:b/>
                <w:sz w:val="18"/>
                <w:szCs w:val="18"/>
              </w:rPr>
              <w:t>3</w:t>
            </w:r>
          </w:p>
        </w:tc>
        <w:tc>
          <w:tcPr>
            <w:tcW w:w="2316" w:type="dxa"/>
            <w:tcBorders>
              <w:top w:val="single" w:sz="4" w:space="0" w:color="auto"/>
              <w:bottom w:val="single" w:sz="4" w:space="0" w:color="auto"/>
            </w:tcBorders>
            <w:vAlign w:val="center"/>
          </w:tcPr>
          <w:p w14:paraId="1AC4F2F4" w14:textId="35E03BFC" w:rsidR="003F3A79" w:rsidRPr="006546E0" w:rsidRDefault="003F3A79" w:rsidP="009F57BE">
            <w:pPr>
              <w:rPr>
                <w:rFonts w:asciiTheme="minorHAnsi" w:hAnsiTheme="minorHAnsi" w:cstheme="minorHAnsi"/>
                <w:sz w:val="18"/>
                <w:szCs w:val="18"/>
              </w:rPr>
            </w:pPr>
            <w:r w:rsidRPr="006546E0">
              <w:rPr>
                <w:rFonts w:asciiTheme="minorHAnsi" w:hAnsiTheme="minorHAnsi" w:cstheme="minorHAnsi"/>
                <w:sz w:val="18"/>
                <w:szCs w:val="18"/>
              </w:rPr>
              <w:t>Programme National de Mise à l'échelle du Système de riziculture Intensif (PN-SRI) au Mali.</w:t>
            </w:r>
          </w:p>
        </w:tc>
        <w:tc>
          <w:tcPr>
            <w:tcW w:w="1866" w:type="dxa"/>
            <w:tcBorders>
              <w:top w:val="single" w:sz="4" w:space="0" w:color="auto"/>
              <w:bottom w:val="single" w:sz="4" w:space="0" w:color="auto"/>
            </w:tcBorders>
            <w:vAlign w:val="center"/>
          </w:tcPr>
          <w:p w14:paraId="10A92E1F" w14:textId="45BCA501" w:rsidR="003F3A79" w:rsidRPr="006546E0" w:rsidRDefault="003F3A79"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vAlign w:val="center"/>
          </w:tcPr>
          <w:p w14:paraId="54EFD382" w14:textId="1DD6E2AC" w:rsidR="00223360" w:rsidRPr="006546E0" w:rsidRDefault="00223360"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Objectif </w:t>
            </w:r>
          </w:p>
          <w:p w14:paraId="6FA3EE3F" w14:textId="77777777" w:rsidR="003F3A79" w:rsidRPr="006546E0" w:rsidRDefault="00223360" w:rsidP="0010507D">
            <w:pPr>
              <w:jc w:val="both"/>
              <w:rPr>
                <w:sz w:val="18"/>
                <w:szCs w:val="18"/>
              </w:rPr>
            </w:pPr>
            <w:r w:rsidRPr="006546E0">
              <w:rPr>
                <w:rFonts w:asciiTheme="minorHAnsi" w:hAnsiTheme="minorHAnsi" w:cstheme="minorHAnsi"/>
                <w:sz w:val="18"/>
                <w:szCs w:val="18"/>
              </w:rPr>
              <w:t>A</w:t>
            </w:r>
            <w:r w:rsidRPr="006546E0">
              <w:rPr>
                <w:sz w:val="18"/>
                <w:szCs w:val="18"/>
              </w:rPr>
              <w:t>méliorer la productivité agricole à travers la mise en œuvre du Système de Riziculture Intensive (SRI), en optimisant l’utilisation de l’eau, des intrants et des techniques culturales.</w:t>
            </w:r>
          </w:p>
          <w:p w14:paraId="7EF7D5ED" w14:textId="77777777" w:rsidR="00223360" w:rsidRPr="006546E0" w:rsidRDefault="00223360"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Description</w:t>
            </w:r>
          </w:p>
          <w:p w14:paraId="5017E86E" w14:textId="1BAA9089" w:rsidR="00223360" w:rsidRPr="006546E0" w:rsidRDefault="00876630" w:rsidP="0010507D">
            <w:pPr>
              <w:jc w:val="both"/>
              <w:rPr>
                <w:rFonts w:asciiTheme="minorHAnsi" w:hAnsiTheme="minorHAnsi" w:cstheme="minorHAnsi"/>
                <w:sz w:val="18"/>
                <w:szCs w:val="18"/>
              </w:rPr>
            </w:pPr>
            <w:r w:rsidRPr="006546E0">
              <w:rPr>
                <w:rFonts w:asciiTheme="minorHAnsi" w:hAnsiTheme="minorHAnsi" w:cstheme="minorHAnsi"/>
                <w:sz w:val="18"/>
                <w:szCs w:val="18"/>
              </w:rPr>
              <w:t xml:space="preserve">Le projet consiste à promouvoir et diffuser le Système de Riziculture Intensive (SRI) auprès des producteurs à travers des actions de formation, </w:t>
            </w:r>
            <w:r w:rsidRPr="006546E0">
              <w:rPr>
                <w:rFonts w:asciiTheme="minorHAnsi" w:hAnsiTheme="minorHAnsi" w:cstheme="minorHAnsi"/>
                <w:sz w:val="18"/>
                <w:szCs w:val="18"/>
              </w:rPr>
              <w:lastRenderedPageBreak/>
              <w:t>d’accompagnement technique et d’appui à l’adoption de pratiques agricoles améliorées permettant d’augmenter les rendements tout en réduisant l’utilisation des ressources.</w:t>
            </w:r>
          </w:p>
        </w:tc>
        <w:tc>
          <w:tcPr>
            <w:tcW w:w="1401" w:type="dxa"/>
            <w:tcBorders>
              <w:top w:val="single" w:sz="4" w:space="0" w:color="auto"/>
              <w:bottom w:val="single" w:sz="4" w:space="0" w:color="auto"/>
            </w:tcBorders>
            <w:vAlign w:val="center"/>
          </w:tcPr>
          <w:p w14:paraId="403C9230" w14:textId="5B3AB11C" w:rsidR="003F3A79" w:rsidRPr="006546E0" w:rsidRDefault="00D87277" w:rsidP="0010507D">
            <w:pPr>
              <w:jc w:val="both"/>
              <w:rPr>
                <w:rFonts w:asciiTheme="minorHAnsi" w:hAnsiTheme="minorHAnsi" w:cstheme="minorHAnsi"/>
                <w:sz w:val="18"/>
                <w:szCs w:val="18"/>
              </w:rPr>
            </w:pPr>
            <w:r w:rsidRPr="006546E0">
              <w:rPr>
                <w:rFonts w:asciiTheme="minorHAnsi" w:hAnsiTheme="minorHAnsi" w:cstheme="minorHAnsi"/>
                <w:sz w:val="18"/>
                <w:szCs w:val="18"/>
              </w:rPr>
              <w:lastRenderedPageBreak/>
              <w:t>2024-2033</w:t>
            </w:r>
          </w:p>
        </w:tc>
        <w:tc>
          <w:tcPr>
            <w:tcW w:w="1425" w:type="dxa"/>
            <w:tcBorders>
              <w:top w:val="single" w:sz="4" w:space="0" w:color="auto"/>
              <w:bottom w:val="single" w:sz="4" w:space="0" w:color="auto"/>
            </w:tcBorders>
            <w:vAlign w:val="center"/>
          </w:tcPr>
          <w:p w14:paraId="6EC10730" w14:textId="546A1EA7" w:rsidR="003F3A79" w:rsidRPr="006546E0" w:rsidRDefault="003F3A79" w:rsidP="0010507D">
            <w:pPr>
              <w:jc w:val="both"/>
              <w:rPr>
                <w:rFonts w:asciiTheme="minorHAnsi" w:hAnsiTheme="minorHAnsi" w:cstheme="minorHAnsi"/>
                <w:sz w:val="18"/>
                <w:szCs w:val="18"/>
              </w:rPr>
            </w:pPr>
            <w:r w:rsidRPr="006546E0">
              <w:rPr>
                <w:rFonts w:asciiTheme="minorHAnsi" w:hAnsiTheme="minorHAnsi" w:cstheme="minorHAnsi"/>
                <w:sz w:val="18"/>
                <w:szCs w:val="18"/>
                <w:lang w:eastAsia="en-US"/>
              </w:rPr>
              <w:t>En cours d’adoption par le gouvernement</w:t>
            </w:r>
          </w:p>
        </w:tc>
      </w:tr>
      <w:tr w:rsidR="00442CAE" w:rsidRPr="006546E0" w14:paraId="5ED3D2FF" w14:textId="77777777" w:rsidTr="009D54A4">
        <w:tc>
          <w:tcPr>
            <w:tcW w:w="436" w:type="dxa"/>
            <w:tcBorders>
              <w:top w:val="single" w:sz="4" w:space="0" w:color="auto"/>
              <w:bottom w:val="single" w:sz="4" w:space="0" w:color="auto"/>
            </w:tcBorders>
            <w:vAlign w:val="center"/>
          </w:tcPr>
          <w:p w14:paraId="35B4CB1F" w14:textId="24D9076C" w:rsidR="00442CAE" w:rsidRPr="006546E0" w:rsidRDefault="00442CAE" w:rsidP="009F57BE">
            <w:pPr>
              <w:rPr>
                <w:rFonts w:asciiTheme="minorHAnsi" w:hAnsiTheme="minorHAnsi" w:cstheme="minorHAnsi"/>
                <w:b/>
                <w:sz w:val="18"/>
                <w:szCs w:val="18"/>
              </w:rPr>
            </w:pPr>
            <w:r w:rsidRPr="006546E0">
              <w:rPr>
                <w:rFonts w:asciiTheme="minorHAnsi" w:hAnsiTheme="minorHAnsi" w:cstheme="minorHAnsi"/>
                <w:b/>
                <w:sz w:val="18"/>
                <w:szCs w:val="18"/>
              </w:rPr>
              <w:t>4</w:t>
            </w:r>
          </w:p>
        </w:tc>
        <w:tc>
          <w:tcPr>
            <w:tcW w:w="2316" w:type="dxa"/>
            <w:tcBorders>
              <w:top w:val="single" w:sz="4" w:space="0" w:color="auto"/>
              <w:bottom w:val="single" w:sz="4" w:space="0" w:color="auto"/>
            </w:tcBorders>
            <w:vAlign w:val="center"/>
          </w:tcPr>
          <w:p w14:paraId="73E12A18" w14:textId="169038D0" w:rsidR="00442CAE" w:rsidRPr="006546E0" w:rsidRDefault="00442CAE" w:rsidP="009F57BE">
            <w:pPr>
              <w:rPr>
                <w:rFonts w:asciiTheme="minorHAnsi" w:hAnsiTheme="minorHAnsi" w:cstheme="minorHAnsi"/>
                <w:sz w:val="18"/>
                <w:szCs w:val="18"/>
              </w:rPr>
            </w:pPr>
            <w:r w:rsidRPr="006546E0">
              <w:rPr>
                <w:rFonts w:asciiTheme="minorHAnsi" w:hAnsiTheme="minorHAnsi" w:cstheme="minorHAnsi"/>
                <w:sz w:val="18"/>
                <w:szCs w:val="18"/>
              </w:rPr>
              <w:t>Programme Promotion de la Production et de la productivité de l'Agriculture Durable au Mali.</w:t>
            </w:r>
          </w:p>
        </w:tc>
        <w:tc>
          <w:tcPr>
            <w:tcW w:w="1866" w:type="dxa"/>
            <w:tcBorders>
              <w:top w:val="single" w:sz="4" w:space="0" w:color="auto"/>
              <w:bottom w:val="single" w:sz="4" w:space="0" w:color="auto"/>
            </w:tcBorders>
            <w:vAlign w:val="center"/>
          </w:tcPr>
          <w:p w14:paraId="2018BFA6" w14:textId="7112FF96"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vAlign w:val="center"/>
          </w:tcPr>
          <w:p w14:paraId="3189BEFF" w14:textId="77777777" w:rsidR="00442CAE" w:rsidRPr="006546E0" w:rsidRDefault="00442CAE"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Objectif </w:t>
            </w:r>
          </w:p>
          <w:p w14:paraId="0C710D7D" w14:textId="663CB190" w:rsidR="00442CAE" w:rsidRPr="006546E0" w:rsidRDefault="00442CAE" w:rsidP="0010507D">
            <w:pPr>
              <w:jc w:val="both"/>
              <w:rPr>
                <w:sz w:val="18"/>
                <w:szCs w:val="18"/>
              </w:rPr>
            </w:pPr>
            <w:r w:rsidRPr="006546E0">
              <w:rPr>
                <w:rFonts w:asciiTheme="minorHAnsi" w:hAnsiTheme="minorHAnsi" w:cstheme="minorHAnsi"/>
                <w:sz w:val="18"/>
                <w:szCs w:val="18"/>
              </w:rPr>
              <w:t>Promouvoir une croissance agricole inclusive et renforcer la sécurité alimentaire à travers l’amélioration de la productivité, de la compétitivité et de la résilience des systèmes agricoles au Mali.</w:t>
            </w:r>
          </w:p>
          <w:p w14:paraId="681F2782" w14:textId="77777777" w:rsidR="00442CAE" w:rsidRPr="006546E0" w:rsidRDefault="00442CAE"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Description</w:t>
            </w:r>
          </w:p>
          <w:p w14:paraId="707D108E" w14:textId="6833BC44"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Le programme prévoit la mise en œuvre d’actions visant l’amélioration de l’accès aux intrants et aux marchés, le renforcement de l’inclusion financière des acteurs agricoles, ainsi que le développement de pratiques agricoles durables et résilientes face au changement climatique dans plusieurs régions du Mali.</w:t>
            </w:r>
          </w:p>
        </w:tc>
        <w:tc>
          <w:tcPr>
            <w:tcW w:w="1401" w:type="dxa"/>
            <w:tcBorders>
              <w:top w:val="single" w:sz="4" w:space="0" w:color="auto"/>
              <w:bottom w:val="single" w:sz="4" w:space="0" w:color="auto"/>
            </w:tcBorders>
            <w:vAlign w:val="center"/>
          </w:tcPr>
          <w:p w14:paraId="08F0FBD8" w14:textId="66373646"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2024-2033</w:t>
            </w:r>
          </w:p>
        </w:tc>
        <w:tc>
          <w:tcPr>
            <w:tcW w:w="1425" w:type="dxa"/>
            <w:tcBorders>
              <w:top w:val="single" w:sz="4" w:space="0" w:color="auto"/>
              <w:bottom w:val="single" w:sz="4" w:space="0" w:color="auto"/>
            </w:tcBorders>
            <w:vAlign w:val="center"/>
          </w:tcPr>
          <w:p w14:paraId="1FFA4272" w14:textId="668F3500"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Recherche de financement</w:t>
            </w:r>
          </w:p>
        </w:tc>
      </w:tr>
      <w:tr w:rsidR="00442CAE" w:rsidRPr="006546E0" w14:paraId="6313F085" w14:textId="77777777" w:rsidTr="009D54A4">
        <w:tc>
          <w:tcPr>
            <w:tcW w:w="436" w:type="dxa"/>
            <w:tcBorders>
              <w:top w:val="single" w:sz="4" w:space="0" w:color="auto"/>
              <w:bottom w:val="single" w:sz="4" w:space="0" w:color="auto"/>
            </w:tcBorders>
            <w:vAlign w:val="center"/>
          </w:tcPr>
          <w:p w14:paraId="59852F64" w14:textId="1F461C90" w:rsidR="00442CAE" w:rsidRPr="006546E0" w:rsidRDefault="00442CAE" w:rsidP="009F57BE">
            <w:pPr>
              <w:rPr>
                <w:rFonts w:asciiTheme="minorHAnsi" w:hAnsiTheme="minorHAnsi" w:cstheme="minorHAnsi"/>
                <w:b/>
                <w:sz w:val="18"/>
                <w:szCs w:val="18"/>
              </w:rPr>
            </w:pPr>
            <w:r w:rsidRPr="006546E0">
              <w:rPr>
                <w:rFonts w:asciiTheme="minorHAnsi" w:hAnsiTheme="minorHAnsi" w:cstheme="minorHAnsi"/>
                <w:b/>
                <w:sz w:val="18"/>
                <w:szCs w:val="18"/>
              </w:rPr>
              <w:t>5</w:t>
            </w:r>
          </w:p>
        </w:tc>
        <w:tc>
          <w:tcPr>
            <w:tcW w:w="2316" w:type="dxa"/>
            <w:tcBorders>
              <w:top w:val="single" w:sz="4" w:space="0" w:color="auto"/>
              <w:bottom w:val="single" w:sz="4" w:space="0" w:color="auto"/>
            </w:tcBorders>
            <w:vAlign w:val="center"/>
          </w:tcPr>
          <w:p w14:paraId="6577FFB8" w14:textId="64B93283" w:rsidR="00442CAE" w:rsidRPr="006546E0" w:rsidRDefault="00442CAE" w:rsidP="009F57BE">
            <w:pPr>
              <w:rPr>
                <w:rFonts w:asciiTheme="minorHAnsi" w:hAnsiTheme="minorHAnsi" w:cstheme="minorHAnsi"/>
                <w:sz w:val="18"/>
                <w:szCs w:val="18"/>
              </w:rPr>
            </w:pPr>
            <w:r w:rsidRPr="006546E0">
              <w:rPr>
                <w:rFonts w:asciiTheme="minorHAnsi" w:hAnsiTheme="minorHAnsi" w:cstheme="minorHAnsi"/>
                <w:sz w:val="18"/>
                <w:szCs w:val="18"/>
              </w:rPr>
              <w:t>Projet de Réalisation de périmètres maraîchers par le système des murets dans les régions et le District de Bamako.</w:t>
            </w:r>
          </w:p>
        </w:tc>
        <w:tc>
          <w:tcPr>
            <w:tcW w:w="1866" w:type="dxa"/>
            <w:tcBorders>
              <w:top w:val="single" w:sz="4" w:space="0" w:color="auto"/>
              <w:bottom w:val="single" w:sz="4" w:space="0" w:color="auto"/>
            </w:tcBorders>
            <w:vAlign w:val="center"/>
          </w:tcPr>
          <w:p w14:paraId="479A215E" w14:textId="4862BDDC"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vAlign w:val="center"/>
          </w:tcPr>
          <w:p w14:paraId="5D58618E" w14:textId="77777777" w:rsidR="00442CAE" w:rsidRPr="006546E0" w:rsidRDefault="00442CAE"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Objectif </w:t>
            </w:r>
          </w:p>
          <w:p w14:paraId="22A35E6D" w14:textId="1F7E2B09" w:rsidR="00442CAE" w:rsidRPr="006546E0" w:rsidRDefault="00B72ED5" w:rsidP="0010507D">
            <w:pPr>
              <w:jc w:val="both"/>
              <w:rPr>
                <w:sz w:val="18"/>
                <w:szCs w:val="18"/>
              </w:rPr>
            </w:pPr>
            <w:r w:rsidRPr="006546E0">
              <w:rPr>
                <w:rFonts w:asciiTheme="minorHAnsi" w:hAnsiTheme="minorHAnsi" w:cstheme="minorHAnsi"/>
                <w:sz w:val="18"/>
                <w:szCs w:val="18"/>
              </w:rPr>
              <w:t>Développer et sécuriser la production maraîchère (fruits et légumes) dans toutes les régions du Mali et le District de Bamako, en protégeant les cultures contre la divagation des animaux, en améliorant la gestion de l'eau et en renforçant la souveraineté alimentaire du pays.</w:t>
            </w:r>
          </w:p>
          <w:p w14:paraId="706A4D44" w14:textId="77777777" w:rsidR="00442CAE" w:rsidRPr="006546E0" w:rsidRDefault="00442CAE"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Description</w:t>
            </w:r>
          </w:p>
          <w:p w14:paraId="7EFEDFB9" w14:textId="52FFEAFC" w:rsidR="00442CAE" w:rsidRPr="006546E0" w:rsidRDefault="001334F6" w:rsidP="0010507D">
            <w:pPr>
              <w:jc w:val="both"/>
              <w:rPr>
                <w:rFonts w:asciiTheme="minorHAnsi" w:hAnsiTheme="minorHAnsi" w:cstheme="minorHAnsi"/>
                <w:sz w:val="18"/>
                <w:szCs w:val="18"/>
              </w:rPr>
            </w:pPr>
            <w:r w:rsidRPr="006546E0">
              <w:rPr>
                <w:rFonts w:asciiTheme="minorHAnsi" w:hAnsiTheme="minorHAnsi" w:cstheme="minorHAnsi"/>
                <w:sz w:val="18"/>
                <w:szCs w:val="18"/>
              </w:rPr>
              <w:t>Consiste à aménager des parcelles maraîchères délimitées par des murets de protection, avec un accent particulier sur les agropoles de Bamako et Sikasso. Il sera mis en œuvre de manière continue sur les quatre décennies de la Vision Mali 2063 (2024-2063).</w:t>
            </w:r>
          </w:p>
        </w:tc>
        <w:tc>
          <w:tcPr>
            <w:tcW w:w="1401" w:type="dxa"/>
            <w:tcBorders>
              <w:top w:val="single" w:sz="4" w:space="0" w:color="auto"/>
              <w:bottom w:val="single" w:sz="4" w:space="0" w:color="auto"/>
            </w:tcBorders>
            <w:vAlign w:val="center"/>
          </w:tcPr>
          <w:p w14:paraId="12D9AE7A" w14:textId="395F7678"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2024-2033</w:t>
            </w:r>
          </w:p>
        </w:tc>
        <w:tc>
          <w:tcPr>
            <w:tcW w:w="1425" w:type="dxa"/>
            <w:tcBorders>
              <w:top w:val="single" w:sz="4" w:space="0" w:color="auto"/>
              <w:bottom w:val="single" w:sz="4" w:space="0" w:color="auto"/>
            </w:tcBorders>
            <w:vAlign w:val="center"/>
          </w:tcPr>
          <w:p w14:paraId="440731F2" w14:textId="24B343DB"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Recherche de financement</w:t>
            </w:r>
          </w:p>
        </w:tc>
      </w:tr>
      <w:tr w:rsidR="00442CAE" w:rsidRPr="006546E0" w14:paraId="7FEB0B7F" w14:textId="77777777" w:rsidTr="009D54A4">
        <w:tc>
          <w:tcPr>
            <w:tcW w:w="436" w:type="dxa"/>
            <w:tcBorders>
              <w:top w:val="single" w:sz="4" w:space="0" w:color="auto"/>
              <w:bottom w:val="single" w:sz="4" w:space="0" w:color="auto"/>
            </w:tcBorders>
            <w:vAlign w:val="center"/>
          </w:tcPr>
          <w:p w14:paraId="00875186" w14:textId="4519D8F0" w:rsidR="00442CAE" w:rsidRPr="006546E0" w:rsidRDefault="00442CAE" w:rsidP="009F57BE">
            <w:pPr>
              <w:rPr>
                <w:rFonts w:asciiTheme="minorHAnsi" w:hAnsiTheme="minorHAnsi" w:cstheme="minorHAnsi"/>
                <w:b/>
                <w:sz w:val="18"/>
                <w:szCs w:val="18"/>
              </w:rPr>
            </w:pPr>
            <w:r w:rsidRPr="006546E0">
              <w:rPr>
                <w:rFonts w:asciiTheme="minorHAnsi" w:hAnsiTheme="minorHAnsi" w:cstheme="minorHAnsi"/>
                <w:b/>
                <w:sz w:val="18"/>
                <w:szCs w:val="18"/>
              </w:rPr>
              <w:t>6</w:t>
            </w:r>
          </w:p>
        </w:tc>
        <w:tc>
          <w:tcPr>
            <w:tcW w:w="2316" w:type="dxa"/>
            <w:tcBorders>
              <w:top w:val="single" w:sz="4" w:space="0" w:color="auto"/>
              <w:bottom w:val="single" w:sz="4" w:space="0" w:color="auto"/>
            </w:tcBorders>
            <w:vAlign w:val="center"/>
          </w:tcPr>
          <w:p w14:paraId="624F359A" w14:textId="0759AEB6" w:rsidR="00442CAE" w:rsidRPr="006546E0" w:rsidRDefault="00442CAE" w:rsidP="009F57BE">
            <w:pPr>
              <w:rPr>
                <w:rFonts w:asciiTheme="minorHAnsi" w:hAnsiTheme="minorHAnsi" w:cstheme="minorHAnsi"/>
                <w:sz w:val="18"/>
                <w:szCs w:val="18"/>
              </w:rPr>
            </w:pPr>
            <w:r w:rsidRPr="006546E0">
              <w:rPr>
                <w:rFonts w:asciiTheme="minorHAnsi" w:hAnsiTheme="minorHAnsi" w:cstheme="minorHAnsi"/>
                <w:sz w:val="18"/>
                <w:szCs w:val="18"/>
              </w:rPr>
              <w:t xml:space="preserve">Projet d’amélioration de la fertilité des sols et d’adaptions aux effets du Changement climatique. </w:t>
            </w:r>
          </w:p>
        </w:tc>
        <w:tc>
          <w:tcPr>
            <w:tcW w:w="1866" w:type="dxa"/>
            <w:tcBorders>
              <w:top w:val="single" w:sz="4" w:space="0" w:color="auto"/>
              <w:bottom w:val="single" w:sz="4" w:space="0" w:color="auto"/>
            </w:tcBorders>
            <w:vAlign w:val="center"/>
          </w:tcPr>
          <w:p w14:paraId="13C8506E" w14:textId="0F1A784B"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shd w:val="clear" w:color="auto" w:fill="F2F2F2" w:themeFill="background1" w:themeFillShade="F2"/>
            <w:vAlign w:val="center"/>
          </w:tcPr>
          <w:p w14:paraId="06C25818" w14:textId="77777777" w:rsidR="00442CAE" w:rsidRPr="006546E0" w:rsidRDefault="00442CAE" w:rsidP="0010507D">
            <w:pPr>
              <w:jc w:val="both"/>
              <w:rPr>
                <w:rFonts w:asciiTheme="minorHAnsi" w:hAnsiTheme="minorHAnsi" w:cstheme="minorHAnsi"/>
                <w:sz w:val="18"/>
                <w:szCs w:val="18"/>
              </w:rPr>
            </w:pPr>
          </w:p>
        </w:tc>
        <w:tc>
          <w:tcPr>
            <w:tcW w:w="1401" w:type="dxa"/>
            <w:tcBorders>
              <w:top w:val="single" w:sz="4" w:space="0" w:color="auto"/>
              <w:bottom w:val="single" w:sz="4" w:space="0" w:color="auto"/>
            </w:tcBorders>
            <w:vAlign w:val="center"/>
          </w:tcPr>
          <w:p w14:paraId="68BA32CF" w14:textId="1E50B2D6"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2024-2033</w:t>
            </w:r>
          </w:p>
        </w:tc>
        <w:tc>
          <w:tcPr>
            <w:tcW w:w="1425" w:type="dxa"/>
            <w:tcBorders>
              <w:top w:val="single" w:sz="4" w:space="0" w:color="auto"/>
              <w:bottom w:val="single" w:sz="4" w:space="0" w:color="auto"/>
            </w:tcBorders>
            <w:vAlign w:val="center"/>
          </w:tcPr>
          <w:p w14:paraId="4A3C21D7" w14:textId="0C3EE075"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Recherche de financement</w:t>
            </w:r>
          </w:p>
        </w:tc>
      </w:tr>
      <w:tr w:rsidR="00442CAE" w:rsidRPr="006546E0" w14:paraId="0A774E58" w14:textId="77777777" w:rsidTr="009D54A4">
        <w:tc>
          <w:tcPr>
            <w:tcW w:w="436" w:type="dxa"/>
            <w:tcBorders>
              <w:top w:val="single" w:sz="4" w:space="0" w:color="auto"/>
              <w:bottom w:val="single" w:sz="4" w:space="0" w:color="auto"/>
            </w:tcBorders>
            <w:vAlign w:val="center"/>
          </w:tcPr>
          <w:p w14:paraId="26A7BA1C" w14:textId="397B38BD" w:rsidR="00442CAE" w:rsidRPr="006546E0" w:rsidRDefault="00442CAE" w:rsidP="009F57BE">
            <w:pPr>
              <w:rPr>
                <w:rFonts w:asciiTheme="minorHAnsi" w:hAnsiTheme="minorHAnsi" w:cstheme="minorHAnsi"/>
                <w:b/>
                <w:sz w:val="18"/>
                <w:szCs w:val="18"/>
              </w:rPr>
            </w:pPr>
            <w:r w:rsidRPr="006546E0">
              <w:rPr>
                <w:rFonts w:asciiTheme="minorHAnsi" w:hAnsiTheme="minorHAnsi" w:cstheme="minorHAnsi"/>
                <w:b/>
                <w:sz w:val="18"/>
                <w:szCs w:val="18"/>
              </w:rPr>
              <w:t>7</w:t>
            </w:r>
          </w:p>
        </w:tc>
        <w:tc>
          <w:tcPr>
            <w:tcW w:w="2316" w:type="dxa"/>
            <w:tcBorders>
              <w:top w:val="single" w:sz="4" w:space="0" w:color="auto"/>
              <w:bottom w:val="single" w:sz="4" w:space="0" w:color="auto"/>
            </w:tcBorders>
            <w:vAlign w:val="center"/>
          </w:tcPr>
          <w:p w14:paraId="0B9B9C97" w14:textId="686BB708" w:rsidR="00442CAE" w:rsidRPr="006546E0" w:rsidRDefault="00442CAE" w:rsidP="009F57BE">
            <w:pPr>
              <w:rPr>
                <w:rFonts w:asciiTheme="minorHAnsi" w:hAnsiTheme="minorHAnsi" w:cstheme="minorHAnsi"/>
                <w:sz w:val="18"/>
                <w:szCs w:val="18"/>
              </w:rPr>
            </w:pPr>
            <w:r w:rsidRPr="006546E0">
              <w:rPr>
                <w:rFonts w:asciiTheme="minorHAnsi" w:hAnsiTheme="minorHAnsi" w:cstheme="minorHAnsi"/>
                <w:sz w:val="18"/>
                <w:szCs w:val="18"/>
              </w:rPr>
              <w:t>Projet d’appui à la résilience des communautés vulnérables des zones humides dans le Delta Intérieur du Niger et le sous bassin de Sourou.</w:t>
            </w:r>
          </w:p>
        </w:tc>
        <w:tc>
          <w:tcPr>
            <w:tcW w:w="1866" w:type="dxa"/>
            <w:tcBorders>
              <w:top w:val="single" w:sz="4" w:space="0" w:color="auto"/>
              <w:bottom w:val="single" w:sz="4" w:space="0" w:color="auto"/>
            </w:tcBorders>
            <w:vAlign w:val="center"/>
          </w:tcPr>
          <w:p w14:paraId="6BD30D37" w14:textId="05858C3F"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shd w:val="clear" w:color="auto" w:fill="F2F2F2" w:themeFill="background1" w:themeFillShade="F2"/>
            <w:vAlign w:val="center"/>
          </w:tcPr>
          <w:p w14:paraId="1AAEF84F" w14:textId="77777777" w:rsidR="00442CAE" w:rsidRPr="006546E0" w:rsidRDefault="00442CAE" w:rsidP="0010507D">
            <w:pPr>
              <w:jc w:val="both"/>
              <w:rPr>
                <w:rFonts w:asciiTheme="minorHAnsi" w:hAnsiTheme="minorHAnsi" w:cstheme="minorHAnsi"/>
                <w:sz w:val="18"/>
                <w:szCs w:val="18"/>
              </w:rPr>
            </w:pPr>
          </w:p>
        </w:tc>
        <w:tc>
          <w:tcPr>
            <w:tcW w:w="1401" w:type="dxa"/>
            <w:tcBorders>
              <w:top w:val="single" w:sz="4" w:space="0" w:color="auto"/>
              <w:bottom w:val="single" w:sz="4" w:space="0" w:color="auto"/>
            </w:tcBorders>
            <w:vAlign w:val="center"/>
          </w:tcPr>
          <w:p w14:paraId="4578B5F5" w14:textId="18E97C09"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2024-2033</w:t>
            </w:r>
          </w:p>
        </w:tc>
        <w:tc>
          <w:tcPr>
            <w:tcW w:w="1425" w:type="dxa"/>
            <w:tcBorders>
              <w:top w:val="single" w:sz="4" w:space="0" w:color="auto"/>
              <w:bottom w:val="single" w:sz="4" w:space="0" w:color="auto"/>
            </w:tcBorders>
            <w:vAlign w:val="center"/>
          </w:tcPr>
          <w:p w14:paraId="42E947E1" w14:textId="6335AF4F"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Recherche de financement</w:t>
            </w:r>
          </w:p>
        </w:tc>
      </w:tr>
      <w:tr w:rsidR="00442CAE" w:rsidRPr="006546E0" w14:paraId="5E745972" w14:textId="77777777" w:rsidTr="009D54A4">
        <w:tc>
          <w:tcPr>
            <w:tcW w:w="436" w:type="dxa"/>
            <w:tcBorders>
              <w:top w:val="single" w:sz="4" w:space="0" w:color="auto"/>
              <w:bottom w:val="single" w:sz="4" w:space="0" w:color="auto"/>
            </w:tcBorders>
            <w:vAlign w:val="center"/>
          </w:tcPr>
          <w:p w14:paraId="53AA3129" w14:textId="795A8128" w:rsidR="00442CAE" w:rsidRPr="006546E0" w:rsidRDefault="00442CAE" w:rsidP="009F57BE">
            <w:pPr>
              <w:rPr>
                <w:rFonts w:asciiTheme="minorHAnsi" w:hAnsiTheme="minorHAnsi" w:cstheme="minorHAnsi"/>
                <w:b/>
                <w:sz w:val="18"/>
                <w:szCs w:val="18"/>
              </w:rPr>
            </w:pPr>
            <w:r w:rsidRPr="006546E0">
              <w:rPr>
                <w:rFonts w:asciiTheme="minorHAnsi" w:hAnsiTheme="minorHAnsi" w:cstheme="minorHAnsi"/>
                <w:b/>
                <w:sz w:val="18"/>
                <w:szCs w:val="18"/>
              </w:rPr>
              <w:t>8</w:t>
            </w:r>
          </w:p>
        </w:tc>
        <w:tc>
          <w:tcPr>
            <w:tcW w:w="2316" w:type="dxa"/>
            <w:tcBorders>
              <w:top w:val="single" w:sz="4" w:space="0" w:color="auto"/>
              <w:bottom w:val="single" w:sz="4" w:space="0" w:color="auto"/>
            </w:tcBorders>
            <w:vAlign w:val="center"/>
          </w:tcPr>
          <w:p w14:paraId="432CC836" w14:textId="6954C56A" w:rsidR="00442CAE" w:rsidRPr="006546E0" w:rsidRDefault="00442CAE" w:rsidP="009F57BE">
            <w:pPr>
              <w:rPr>
                <w:rFonts w:asciiTheme="minorHAnsi" w:hAnsiTheme="minorHAnsi" w:cstheme="minorHAnsi"/>
                <w:sz w:val="18"/>
                <w:szCs w:val="18"/>
              </w:rPr>
            </w:pPr>
            <w:r w:rsidRPr="006546E0">
              <w:rPr>
                <w:rFonts w:asciiTheme="minorHAnsi" w:hAnsiTheme="minorHAnsi" w:cstheme="minorHAnsi"/>
                <w:sz w:val="18"/>
                <w:szCs w:val="18"/>
              </w:rPr>
              <w:t>Projet d’Extension de l’Approche SHEP (Agriculture orientée vers Marché).</w:t>
            </w:r>
          </w:p>
        </w:tc>
        <w:tc>
          <w:tcPr>
            <w:tcW w:w="1866" w:type="dxa"/>
            <w:tcBorders>
              <w:top w:val="single" w:sz="4" w:space="0" w:color="auto"/>
              <w:bottom w:val="single" w:sz="4" w:space="0" w:color="auto"/>
            </w:tcBorders>
            <w:vAlign w:val="center"/>
          </w:tcPr>
          <w:p w14:paraId="2809A30C" w14:textId="6F620CCC"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vAlign w:val="center"/>
          </w:tcPr>
          <w:p w14:paraId="13334C08" w14:textId="2E3032B4" w:rsidR="002B73DD" w:rsidRPr="006546E0" w:rsidRDefault="002B73DD"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Objectif</w:t>
            </w:r>
          </w:p>
          <w:p w14:paraId="33BF9FE3" w14:textId="77777777" w:rsidR="00442CAE" w:rsidRPr="006546E0" w:rsidRDefault="002B73DD" w:rsidP="0010507D">
            <w:pPr>
              <w:jc w:val="both"/>
              <w:rPr>
                <w:rFonts w:asciiTheme="minorHAnsi" w:hAnsiTheme="minorHAnsi" w:cstheme="minorHAnsi"/>
                <w:sz w:val="18"/>
                <w:szCs w:val="18"/>
              </w:rPr>
            </w:pPr>
            <w:r w:rsidRPr="006546E0">
              <w:rPr>
                <w:rFonts w:asciiTheme="minorHAnsi" w:hAnsiTheme="minorHAnsi" w:cstheme="minorHAnsi"/>
                <w:sz w:val="18"/>
                <w:szCs w:val="18"/>
              </w:rPr>
              <w:t>Renforcer les capacités des petits producteurs horticoles maliens en les aidant à passer d'une logique de « cultiver puis vendre » à celle de « cultiver pour vendre », c'est-à-dire produire en fonction des besoins réels du marché afin d'augmenter durablement leurs revenus.</w:t>
            </w:r>
          </w:p>
          <w:p w14:paraId="59658FC5" w14:textId="77777777" w:rsidR="002B73DD" w:rsidRPr="006546E0" w:rsidRDefault="002B73DD"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Description</w:t>
            </w:r>
          </w:p>
          <w:p w14:paraId="14C0DEA0" w14:textId="35FC34F4" w:rsidR="002B73DD" w:rsidRPr="006546E0" w:rsidRDefault="00036B0E" w:rsidP="0010507D">
            <w:pPr>
              <w:jc w:val="both"/>
              <w:rPr>
                <w:rFonts w:asciiTheme="minorHAnsi" w:hAnsiTheme="minorHAnsi" w:cstheme="minorHAnsi"/>
                <w:sz w:val="18"/>
                <w:szCs w:val="18"/>
              </w:rPr>
            </w:pPr>
            <w:r w:rsidRPr="006546E0">
              <w:rPr>
                <w:sz w:val="18"/>
                <w:szCs w:val="18"/>
              </w:rPr>
              <w:lastRenderedPageBreak/>
              <w:t>Le projet déploie au Mali l'approche SHEP (</w:t>
            </w:r>
            <w:r w:rsidRPr="006546E0">
              <w:rPr>
                <w:rStyle w:val="Accentuation"/>
                <w:sz w:val="18"/>
                <w:szCs w:val="18"/>
              </w:rPr>
              <w:t>Smallholder Horticulture Empowerment and Promotion</w:t>
            </w:r>
            <w:r w:rsidRPr="006546E0">
              <w:rPr>
                <w:sz w:val="18"/>
                <w:szCs w:val="18"/>
              </w:rPr>
              <w:t>), développée au Kenya et déjà introduite dans 26 pays africains, qui repose sur l'étude de marché préalable et le renforcement des compétences techniques et commerciales des producteurs horticoles. Il s'inscrit dans la vision gouvernementale fondée sur la Loi d'Orientation Agricole et le Plan National d'Investissement dans le Secteur Agricole.</w:t>
            </w:r>
          </w:p>
        </w:tc>
        <w:tc>
          <w:tcPr>
            <w:tcW w:w="1401" w:type="dxa"/>
            <w:tcBorders>
              <w:top w:val="single" w:sz="4" w:space="0" w:color="auto"/>
              <w:bottom w:val="single" w:sz="4" w:space="0" w:color="auto"/>
            </w:tcBorders>
            <w:vAlign w:val="center"/>
          </w:tcPr>
          <w:p w14:paraId="46295CBE" w14:textId="504812E6"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lastRenderedPageBreak/>
              <w:t>2024-2033</w:t>
            </w:r>
          </w:p>
        </w:tc>
        <w:tc>
          <w:tcPr>
            <w:tcW w:w="1425" w:type="dxa"/>
            <w:tcBorders>
              <w:top w:val="single" w:sz="4" w:space="0" w:color="auto"/>
              <w:bottom w:val="single" w:sz="4" w:space="0" w:color="auto"/>
            </w:tcBorders>
            <w:vAlign w:val="center"/>
          </w:tcPr>
          <w:p w14:paraId="3BD7BCD7" w14:textId="1D935C7E" w:rsidR="00442CAE" w:rsidRPr="006546E0" w:rsidRDefault="00442CAE" w:rsidP="0010507D">
            <w:pPr>
              <w:jc w:val="both"/>
              <w:rPr>
                <w:rFonts w:asciiTheme="minorHAnsi" w:hAnsiTheme="minorHAnsi" w:cstheme="minorHAnsi"/>
                <w:sz w:val="18"/>
                <w:szCs w:val="18"/>
              </w:rPr>
            </w:pPr>
            <w:r w:rsidRPr="006546E0">
              <w:rPr>
                <w:rFonts w:asciiTheme="minorHAnsi" w:hAnsiTheme="minorHAnsi" w:cstheme="minorHAnsi"/>
                <w:sz w:val="18"/>
                <w:szCs w:val="18"/>
              </w:rPr>
              <w:t>Recherche de financement complémentaire</w:t>
            </w:r>
          </w:p>
        </w:tc>
      </w:tr>
      <w:tr w:rsidR="00036B0E" w:rsidRPr="006546E0" w14:paraId="7C3EB5C6" w14:textId="77777777" w:rsidTr="009D54A4">
        <w:tc>
          <w:tcPr>
            <w:tcW w:w="436" w:type="dxa"/>
            <w:tcBorders>
              <w:top w:val="single" w:sz="4" w:space="0" w:color="auto"/>
              <w:bottom w:val="single" w:sz="4" w:space="0" w:color="auto"/>
            </w:tcBorders>
            <w:vAlign w:val="center"/>
          </w:tcPr>
          <w:p w14:paraId="25CD08E0" w14:textId="4067A671" w:rsidR="00036B0E" w:rsidRPr="006546E0" w:rsidRDefault="00036B0E" w:rsidP="009F57BE">
            <w:pPr>
              <w:rPr>
                <w:rFonts w:asciiTheme="minorHAnsi" w:hAnsiTheme="minorHAnsi" w:cstheme="minorHAnsi"/>
                <w:b/>
                <w:sz w:val="18"/>
                <w:szCs w:val="18"/>
              </w:rPr>
            </w:pPr>
            <w:r w:rsidRPr="006546E0">
              <w:rPr>
                <w:rFonts w:asciiTheme="minorHAnsi" w:hAnsiTheme="minorHAnsi" w:cstheme="minorHAnsi"/>
                <w:b/>
                <w:sz w:val="18"/>
                <w:szCs w:val="18"/>
              </w:rPr>
              <w:t>9</w:t>
            </w:r>
          </w:p>
        </w:tc>
        <w:tc>
          <w:tcPr>
            <w:tcW w:w="2316" w:type="dxa"/>
            <w:tcBorders>
              <w:top w:val="single" w:sz="4" w:space="0" w:color="auto"/>
              <w:bottom w:val="single" w:sz="4" w:space="0" w:color="auto"/>
            </w:tcBorders>
            <w:vAlign w:val="center"/>
          </w:tcPr>
          <w:p w14:paraId="45DA2DC0" w14:textId="02687766" w:rsidR="00036B0E" w:rsidRPr="006546E0" w:rsidRDefault="00036B0E" w:rsidP="009F57BE">
            <w:pPr>
              <w:rPr>
                <w:rFonts w:asciiTheme="minorHAnsi" w:hAnsiTheme="minorHAnsi" w:cstheme="minorHAnsi"/>
                <w:sz w:val="18"/>
                <w:szCs w:val="18"/>
              </w:rPr>
            </w:pPr>
            <w:r w:rsidRPr="006546E0">
              <w:rPr>
                <w:rFonts w:asciiTheme="minorHAnsi" w:hAnsiTheme="minorHAnsi" w:cstheme="minorHAnsi"/>
                <w:sz w:val="18"/>
                <w:szCs w:val="18"/>
              </w:rPr>
              <w:t>Projet de promotion de Banane plantain dans les bassins de production de Banane au Mali.</w:t>
            </w:r>
          </w:p>
        </w:tc>
        <w:tc>
          <w:tcPr>
            <w:tcW w:w="1866" w:type="dxa"/>
            <w:tcBorders>
              <w:top w:val="single" w:sz="4" w:space="0" w:color="auto"/>
              <w:bottom w:val="single" w:sz="4" w:space="0" w:color="auto"/>
            </w:tcBorders>
            <w:vAlign w:val="center"/>
          </w:tcPr>
          <w:p w14:paraId="5E19F750" w14:textId="1F91EBFE" w:rsidR="00036B0E" w:rsidRPr="006546E0" w:rsidRDefault="00036B0E"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vAlign w:val="center"/>
          </w:tcPr>
          <w:p w14:paraId="30A0AB8D" w14:textId="77777777" w:rsidR="00036B0E" w:rsidRPr="006546E0" w:rsidRDefault="00036B0E"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Objectif</w:t>
            </w:r>
          </w:p>
          <w:p w14:paraId="1EE20263" w14:textId="77777777" w:rsidR="00036B0E" w:rsidRPr="006546E0" w:rsidRDefault="00036B0E" w:rsidP="0010507D">
            <w:pPr>
              <w:jc w:val="both"/>
              <w:rPr>
                <w:rFonts w:asciiTheme="minorHAnsi" w:hAnsiTheme="minorHAnsi" w:cstheme="minorHAnsi"/>
                <w:sz w:val="18"/>
                <w:szCs w:val="18"/>
              </w:rPr>
            </w:pPr>
            <w:r w:rsidRPr="006546E0">
              <w:rPr>
                <w:rFonts w:asciiTheme="minorHAnsi" w:hAnsiTheme="minorHAnsi" w:cstheme="minorHAnsi"/>
                <w:sz w:val="18"/>
                <w:szCs w:val="18"/>
              </w:rPr>
              <w:t>Renforcer les capacités des petits producteurs horticoles maliens en les aidant à passer d'une logique de « cultiver puis vendre » à celle de « cultiver pour vendre », c'est-à-dire produire en fonction des besoins réels du marché afin d'augmenter durablement leurs revenus.</w:t>
            </w:r>
          </w:p>
          <w:p w14:paraId="5F82525A" w14:textId="77777777" w:rsidR="00036B0E" w:rsidRPr="006546E0" w:rsidRDefault="00036B0E"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Description</w:t>
            </w:r>
          </w:p>
          <w:p w14:paraId="2531ACBA" w14:textId="259E1DFD" w:rsidR="00036B0E" w:rsidRPr="006546E0" w:rsidRDefault="00036B0E" w:rsidP="0010507D">
            <w:pPr>
              <w:jc w:val="both"/>
              <w:rPr>
                <w:rFonts w:asciiTheme="minorHAnsi" w:hAnsiTheme="minorHAnsi" w:cstheme="minorHAnsi"/>
                <w:sz w:val="18"/>
                <w:szCs w:val="18"/>
              </w:rPr>
            </w:pPr>
            <w:r w:rsidRPr="006546E0">
              <w:rPr>
                <w:sz w:val="18"/>
                <w:szCs w:val="18"/>
              </w:rPr>
              <w:t>Le projet déploie au Mali l'approche SHEP (</w:t>
            </w:r>
            <w:r w:rsidRPr="006546E0">
              <w:rPr>
                <w:rStyle w:val="Accentuation"/>
                <w:sz w:val="18"/>
                <w:szCs w:val="18"/>
              </w:rPr>
              <w:t>Smallholder Horticulture Empowerment and Promotion</w:t>
            </w:r>
            <w:r w:rsidRPr="006546E0">
              <w:rPr>
                <w:sz w:val="18"/>
                <w:szCs w:val="18"/>
              </w:rPr>
              <w:t>), développée au Kenya et déjà introduite dans 26 pays africains, qui repose sur l'étude de marché préalable et le renforcement des compétences techniques et commerciales des producteurs horticoles. Il s'inscrit dans la vision gouvernementale fondée sur la Loi d'Orientation Agricole et le Plan National d'Investissement dans le Secteur Agricole.</w:t>
            </w:r>
          </w:p>
        </w:tc>
        <w:tc>
          <w:tcPr>
            <w:tcW w:w="1401" w:type="dxa"/>
            <w:tcBorders>
              <w:top w:val="single" w:sz="4" w:space="0" w:color="auto"/>
              <w:bottom w:val="single" w:sz="4" w:space="0" w:color="auto"/>
            </w:tcBorders>
            <w:vAlign w:val="center"/>
          </w:tcPr>
          <w:p w14:paraId="7DBC2E4A" w14:textId="7809F325" w:rsidR="00036B0E" w:rsidRPr="006546E0" w:rsidRDefault="00036B0E" w:rsidP="0010507D">
            <w:pPr>
              <w:jc w:val="both"/>
              <w:rPr>
                <w:rFonts w:asciiTheme="minorHAnsi" w:hAnsiTheme="minorHAnsi" w:cstheme="minorHAnsi"/>
                <w:sz w:val="18"/>
                <w:szCs w:val="18"/>
              </w:rPr>
            </w:pPr>
            <w:r w:rsidRPr="006546E0">
              <w:rPr>
                <w:rFonts w:asciiTheme="minorHAnsi" w:hAnsiTheme="minorHAnsi" w:cstheme="minorHAnsi"/>
                <w:sz w:val="18"/>
                <w:szCs w:val="18"/>
              </w:rPr>
              <w:t>2024-2033</w:t>
            </w:r>
          </w:p>
        </w:tc>
        <w:tc>
          <w:tcPr>
            <w:tcW w:w="1425" w:type="dxa"/>
            <w:tcBorders>
              <w:top w:val="single" w:sz="4" w:space="0" w:color="auto"/>
              <w:bottom w:val="single" w:sz="4" w:space="0" w:color="auto"/>
            </w:tcBorders>
            <w:vAlign w:val="center"/>
          </w:tcPr>
          <w:p w14:paraId="3748BB1A" w14:textId="39500BBD" w:rsidR="00036B0E" w:rsidRPr="006546E0" w:rsidRDefault="00036B0E" w:rsidP="0010507D">
            <w:pPr>
              <w:jc w:val="both"/>
              <w:rPr>
                <w:rFonts w:asciiTheme="minorHAnsi" w:hAnsiTheme="minorHAnsi" w:cstheme="minorHAnsi"/>
                <w:sz w:val="18"/>
                <w:szCs w:val="18"/>
              </w:rPr>
            </w:pPr>
            <w:r w:rsidRPr="006546E0">
              <w:rPr>
                <w:rFonts w:asciiTheme="minorHAnsi" w:hAnsiTheme="minorHAnsi" w:cstheme="minorHAnsi"/>
                <w:sz w:val="18"/>
                <w:szCs w:val="18"/>
              </w:rPr>
              <w:t>Recherche de financement</w:t>
            </w:r>
          </w:p>
        </w:tc>
      </w:tr>
      <w:tr w:rsidR="00036B0E" w:rsidRPr="006546E0" w14:paraId="2F3750BF" w14:textId="77777777" w:rsidTr="009D54A4">
        <w:tc>
          <w:tcPr>
            <w:tcW w:w="436" w:type="dxa"/>
            <w:tcBorders>
              <w:top w:val="single" w:sz="4" w:space="0" w:color="auto"/>
              <w:bottom w:val="single" w:sz="4" w:space="0" w:color="auto"/>
            </w:tcBorders>
            <w:vAlign w:val="center"/>
          </w:tcPr>
          <w:p w14:paraId="1B491DFC" w14:textId="4FCE4F73" w:rsidR="00036B0E" w:rsidRPr="006546E0" w:rsidRDefault="00036B0E" w:rsidP="009F57BE">
            <w:pPr>
              <w:rPr>
                <w:rFonts w:asciiTheme="minorHAnsi" w:hAnsiTheme="minorHAnsi" w:cstheme="minorHAnsi"/>
                <w:b/>
                <w:sz w:val="18"/>
                <w:szCs w:val="18"/>
              </w:rPr>
            </w:pPr>
            <w:r w:rsidRPr="006546E0">
              <w:rPr>
                <w:rFonts w:asciiTheme="minorHAnsi" w:hAnsiTheme="minorHAnsi" w:cstheme="minorHAnsi"/>
                <w:b/>
                <w:sz w:val="18"/>
                <w:szCs w:val="18"/>
              </w:rPr>
              <w:t>10</w:t>
            </w:r>
          </w:p>
        </w:tc>
        <w:tc>
          <w:tcPr>
            <w:tcW w:w="2316" w:type="dxa"/>
            <w:tcBorders>
              <w:top w:val="single" w:sz="4" w:space="0" w:color="auto"/>
              <w:bottom w:val="single" w:sz="4" w:space="0" w:color="auto"/>
            </w:tcBorders>
            <w:vAlign w:val="center"/>
          </w:tcPr>
          <w:p w14:paraId="5F1008A3" w14:textId="32550333" w:rsidR="00036B0E" w:rsidRPr="006546E0" w:rsidRDefault="00036B0E" w:rsidP="009F57BE">
            <w:pPr>
              <w:rPr>
                <w:rFonts w:asciiTheme="minorHAnsi" w:hAnsiTheme="minorHAnsi" w:cstheme="minorHAnsi"/>
                <w:sz w:val="18"/>
                <w:szCs w:val="18"/>
              </w:rPr>
            </w:pPr>
            <w:r w:rsidRPr="006546E0">
              <w:rPr>
                <w:rFonts w:asciiTheme="minorHAnsi" w:hAnsiTheme="minorHAnsi" w:cstheme="minorHAnsi"/>
                <w:sz w:val="18"/>
                <w:szCs w:val="18"/>
              </w:rPr>
              <w:t>Programme de développement de la culture du maïs dans les bassins de production au Mali).</w:t>
            </w:r>
          </w:p>
        </w:tc>
        <w:tc>
          <w:tcPr>
            <w:tcW w:w="1866" w:type="dxa"/>
            <w:tcBorders>
              <w:top w:val="single" w:sz="4" w:space="0" w:color="auto"/>
              <w:bottom w:val="single" w:sz="4" w:space="0" w:color="auto"/>
            </w:tcBorders>
            <w:vAlign w:val="center"/>
          </w:tcPr>
          <w:p w14:paraId="052848FC" w14:textId="3C1728BE" w:rsidR="00036B0E" w:rsidRPr="006546E0" w:rsidRDefault="00036B0E"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shd w:val="clear" w:color="auto" w:fill="F2F2F2" w:themeFill="background1" w:themeFillShade="F2"/>
            <w:vAlign w:val="center"/>
          </w:tcPr>
          <w:p w14:paraId="75849102" w14:textId="43D2F49E" w:rsidR="00746584" w:rsidRPr="006546E0" w:rsidRDefault="00746584" w:rsidP="0010507D">
            <w:pPr>
              <w:jc w:val="both"/>
              <w:rPr>
                <w:rFonts w:asciiTheme="minorHAnsi" w:hAnsiTheme="minorHAnsi" w:cstheme="minorHAnsi"/>
                <w:sz w:val="18"/>
                <w:szCs w:val="18"/>
              </w:rPr>
            </w:pPr>
          </w:p>
        </w:tc>
        <w:tc>
          <w:tcPr>
            <w:tcW w:w="1401" w:type="dxa"/>
            <w:tcBorders>
              <w:top w:val="single" w:sz="4" w:space="0" w:color="auto"/>
              <w:bottom w:val="single" w:sz="4" w:space="0" w:color="auto"/>
            </w:tcBorders>
            <w:vAlign w:val="center"/>
          </w:tcPr>
          <w:p w14:paraId="79BBF308" w14:textId="30C1BA5E" w:rsidR="00036B0E" w:rsidRPr="006546E0" w:rsidRDefault="00036B0E" w:rsidP="0010507D">
            <w:pPr>
              <w:jc w:val="both"/>
              <w:rPr>
                <w:rFonts w:asciiTheme="minorHAnsi" w:hAnsiTheme="minorHAnsi" w:cstheme="minorHAnsi"/>
                <w:sz w:val="18"/>
                <w:szCs w:val="18"/>
              </w:rPr>
            </w:pPr>
            <w:r w:rsidRPr="006546E0">
              <w:rPr>
                <w:rFonts w:asciiTheme="minorHAnsi" w:hAnsiTheme="minorHAnsi" w:cstheme="minorHAnsi"/>
                <w:sz w:val="18"/>
                <w:szCs w:val="18"/>
              </w:rPr>
              <w:t>2024-2033</w:t>
            </w:r>
          </w:p>
        </w:tc>
        <w:tc>
          <w:tcPr>
            <w:tcW w:w="1425" w:type="dxa"/>
            <w:tcBorders>
              <w:top w:val="single" w:sz="4" w:space="0" w:color="auto"/>
              <w:bottom w:val="single" w:sz="4" w:space="0" w:color="auto"/>
            </w:tcBorders>
            <w:vAlign w:val="center"/>
          </w:tcPr>
          <w:p w14:paraId="3A677D1B" w14:textId="4EDF33D1" w:rsidR="00036B0E" w:rsidRPr="006546E0" w:rsidRDefault="00036B0E" w:rsidP="0010507D">
            <w:pPr>
              <w:jc w:val="both"/>
              <w:rPr>
                <w:rFonts w:asciiTheme="minorHAnsi" w:hAnsiTheme="minorHAnsi" w:cstheme="minorHAnsi"/>
                <w:sz w:val="18"/>
                <w:szCs w:val="18"/>
              </w:rPr>
            </w:pPr>
            <w:r w:rsidRPr="006546E0">
              <w:rPr>
                <w:rFonts w:asciiTheme="minorHAnsi" w:hAnsiTheme="minorHAnsi" w:cstheme="minorHAnsi"/>
                <w:sz w:val="18"/>
                <w:szCs w:val="18"/>
              </w:rPr>
              <w:t>Recherche de financement</w:t>
            </w:r>
          </w:p>
        </w:tc>
      </w:tr>
      <w:tr w:rsidR="00530598" w:rsidRPr="006546E0" w14:paraId="0090826E" w14:textId="77777777" w:rsidTr="009D54A4">
        <w:tc>
          <w:tcPr>
            <w:tcW w:w="436" w:type="dxa"/>
            <w:tcBorders>
              <w:top w:val="single" w:sz="4" w:space="0" w:color="auto"/>
              <w:bottom w:val="single" w:sz="4" w:space="0" w:color="auto"/>
            </w:tcBorders>
            <w:vAlign w:val="center"/>
          </w:tcPr>
          <w:p w14:paraId="70169C3C" w14:textId="58BE0D34" w:rsidR="00530598" w:rsidRPr="006546E0" w:rsidRDefault="00530598" w:rsidP="009F57BE">
            <w:pPr>
              <w:rPr>
                <w:rFonts w:asciiTheme="minorHAnsi" w:hAnsiTheme="minorHAnsi" w:cstheme="minorHAnsi"/>
                <w:b/>
                <w:sz w:val="18"/>
                <w:szCs w:val="18"/>
              </w:rPr>
            </w:pPr>
            <w:r w:rsidRPr="006546E0">
              <w:rPr>
                <w:rFonts w:asciiTheme="minorHAnsi" w:hAnsiTheme="minorHAnsi" w:cstheme="minorHAnsi"/>
                <w:b/>
                <w:sz w:val="18"/>
                <w:szCs w:val="18"/>
              </w:rPr>
              <w:t>11</w:t>
            </w:r>
          </w:p>
        </w:tc>
        <w:tc>
          <w:tcPr>
            <w:tcW w:w="2316" w:type="dxa"/>
            <w:tcBorders>
              <w:top w:val="single" w:sz="4" w:space="0" w:color="auto"/>
              <w:bottom w:val="single" w:sz="4" w:space="0" w:color="auto"/>
            </w:tcBorders>
            <w:vAlign w:val="center"/>
          </w:tcPr>
          <w:p w14:paraId="2E74B012" w14:textId="48F32165" w:rsidR="00530598" w:rsidRPr="006546E0" w:rsidRDefault="00530598" w:rsidP="009F57BE">
            <w:pPr>
              <w:rPr>
                <w:rFonts w:asciiTheme="minorHAnsi" w:hAnsiTheme="minorHAnsi" w:cstheme="minorHAnsi"/>
                <w:sz w:val="18"/>
                <w:szCs w:val="18"/>
              </w:rPr>
            </w:pPr>
            <w:r w:rsidRPr="006546E0">
              <w:rPr>
                <w:rFonts w:asciiTheme="minorHAnsi" w:hAnsiTheme="minorHAnsi" w:cstheme="minorHAnsi"/>
                <w:sz w:val="18"/>
                <w:szCs w:val="18"/>
              </w:rPr>
              <w:t>Projet d’appui et de valorisation de la filière sésame dans les bassins de production de Koulikoro, Kayes, Mopti, Ségou et Sikasso dans le cadre de la lutte contre la pauvreté, l’insécurité alimentaire et nutritionnelle.</w:t>
            </w:r>
          </w:p>
        </w:tc>
        <w:tc>
          <w:tcPr>
            <w:tcW w:w="1866" w:type="dxa"/>
            <w:tcBorders>
              <w:top w:val="single" w:sz="4" w:space="0" w:color="auto"/>
              <w:bottom w:val="single" w:sz="4" w:space="0" w:color="auto"/>
            </w:tcBorders>
            <w:vAlign w:val="center"/>
          </w:tcPr>
          <w:p w14:paraId="4D936932" w14:textId="5F82E713" w:rsidR="00530598" w:rsidRPr="006546E0" w:rsidRDefault="00530598"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shd w:val="clear" w:color="auto" w:fill="F2F2F2" w:themeFill="background1" w:themeFillShade="F2"/>
            <w:vAlign w:val="center"/>
          </w:tcPr>
          <w:p w14:paraId="2184171A" w14:textId="77777777" w:rsidR="00530598" w:rsidRPr="006546E0" w:rsidRDefault="00530598" w:rsidP="0010507D">
            <w:pPr>
              <w:jc w:val="both"/>
              <w:rPr>
                <w:rFonts w:asciiTheme="minorHAnsi" w:hAnsiTheme="minorHAnsi" w:cstheme="minorHAnsi"/>
                <w:sz w:val="18"/>
                <w:szCs w:val="18"/>
              </w:rPr>
            </w:pPr>
          </w:p>
          <w:p w14:paraId="2B378805" w14:textId="6376F26C" w:rsidR="00495771" w:rsidRPr="006546E0" w:rsidRDefault="00495771" w:rsidP="0010507D">
            <w:pPr>
              <w:tabs>
                <w:tab w:val="left" w:pos="2900"/>
              </w:tabs>
              <w:jc w:val="both"/>
              <w:rPr>
                <w:rFonts w:asciiTheme="minorHAnsi" w:hAnsiTheme="minorHAnsi" w:cstheme="minorHAnsi"/>
                <w:sz w:val="18"/>
                <w:szCs w:val="18"/>
              </w:rPr>
            </w:pPr>
            <w:r w:rsidRPr="006546E0">
              <w:rPr>
                <w:rFonts w:asciiTheme="minorHAnsi" w:hAnsiTheme="minorHAnsi" w:cstheme="minorHAnsi"/>
                <w:sz w:val="18"/>
                <w:szCs w:val="18"/>
              </w:rPr>
              <w:tab/>
            </w:r>
          </w:p>
        </w:tc>
        <w:tc>
          <w:tcPr>
            <w:tcW w:w="1401" w:type="dxa"/>
            <w:tcBorders>
              <w:top w:val="single" w:sz="4" w:space="0" w:color="auto"/>
              <w:bottom w:val="single" w:sz="4" w:space="0" w:color="auto"/>
            </w:tcBorders>
            <w:vAlign w:val="center"/>
          </w:tcPr>
          <w:p w14:paraId="0C69EE07" w14:textId="13177F98" w:rsidR="00530598" w:rsidRPr="006546E0" w:rsidRDefault="00530598" w:rsidP="0010507D">
            <w:pPr>
              <w:jc w:val="both"/>
              <w:rPr>
                <w:rFonts w:asciiTheme="minorHAnsi" w:hAnsiTheme="minorHAnsi" w:cstheme="minorHAnsi"/>
                <w:sz w:val="18"/>
                <w:szCs w:val="18"/>
              </w:rPr>
            </w:pPr>
            <w:r w:rsidRPr="006546E0">
              <w:rPr>
                <w:rFonts w:asciiTheme="minorHAnsi" w:hAnsiTheme="minorHAnsi" w:cstheme="minorHAnsi"/>
                <w:sz w:val="18"/>
                <w:szCs w:val="18"/>
              </w:rPr>
              <w:t>2024-2033</w:t>
            </w:r>
          </w:p>
        </w:tc>
        <w:tc>
          <w:tcPr>
            <w:tcW w:w="1425" w:type="dxa"/>
            <w:tcBorders>
              <w:top w:val="single" w:sz="4" w:space="0" w:color="auto"/>
              <w:bottom w:val="single" w:sz="4" w:space="0" w:color="auto"/>
            </w:tcBorders>
            <w:vAlign w:val="center"/>
          </w:tcPr>
          <w:p w14:paraId="56DD3D96" w14:textId="63D3B0D1" w:rsidR="00530598" w:rsidRPr="006546E0" w:rsidRDefault="00530598" w:rsidP="0010507D">
            <w:pPr>
              <w:jc w:val="both"/>
              <w:rPr>
                <w:rFonts w:asciiTheme="minorHAnsi" w:hAnsiTheme="minorHAnsi" w:cstheme="minorHAnsi"/>
                <w:sz w:val="18"/>
                <w:szCs w:val="18"/>
              </w:rPr>
            </w:pPr>
            <w:r w:rsidRPr="006546E0">
              <w:rPr>
                <w:rFonts w:asciiTheme="minorHAnsi" w:hAnsiTheme="minorHAnsi" w:cstheme="minorHAnsi"/>
                <w:sz w:val="18"/>
                <w:szCs w:val="18"/>
              </w:rPr>
              <w:t>Recherche de financement</w:t>
            </w:r>
          </w:p>
        </w:tc>
      </w:tr>
      <w:tr w:rsidR="00530598" w:rsidRPr="006546E0" w14:paraId="644FB89A" w14:textId="77777777" w:rsidTr="009D54A4">
        <w:tc>
          <w:tcPr>
            <w:tcW w:w="436" w:type="dxa"/>
            <w:tcBorders>
              <w:top w:val="single" w:sz="4" w:space="0" w:color="auto"/>
              <w:bottom w:val="single" w:sz="4" w:space="0" w:color="auto"/>
            </w:tcBorders>
            <w:vAlign w:val="center"/>
          </w:tcPr>
          <w:p w14:paraId="2A42569C" w14:textId="34B73F3E" w:rsidR="00530598" w:rsidRPr="006546E0" w:rsidRDefault="00530598" w:rsidP="009F57BE">
            <w:pPr>
              <w:rPr>
                <w:rFonts w:asciiTheme="minorHAnsi" w:hAnsiTheme="minorHAnsi" w:cstheme="minorHAnsi"/>
                <w:b/>
                <w:sz w:val="18"/>
                <w:szCs w:val="18"/>
              </w:rPr>
            </w:pPr>
            <w:r w:rsidRPr="006546E0">
              <w:rPr>
                <w:rFonts w:asciiTheme="minorHAnsi" w:hAnsiTheme="minorHAnsi" w:cstheme="minorHAnsi"/>
                <w:b/>
                <w:sz w:val="18"/>
                <w:szCs w:val="18"/>
              </w:rPr>
              <w:t>12</w:t>
            </w:r>
          </w:p>
        </w:tc>
        <w:tc>
          <w:tcPr>
            <w:tcW w:w="2316" w:type="dxa"/>
            <w:tcBorders>
              <w:top w:val="single" w:sz="4" w:space="0" w:color="auto"/>
              <w:bottom w:val="single" w:sz="4" w:space="0" w:color="auto"/>
            </w:tcBorders>
            <w:vAlign w:val="center"/>
          </w:tcPr>
          <w:p w14:paraId="4E0155D2" w14:textId="57F40F13" w:rsidR="00530598" w:rsidRPr="006546E0" w:rsidRDefault="00530598" w:rsidP="009F57BE">
            <w:pPr>
              <w:rPr>
                <w:rFonts w:asciiTheme="minorHAnsi" w:hAnsiTheme="minorHAnsi" w:cstheme="minorHAnsi"/>
                <w:sz w:val="18"/>
                <w:szCs w:val="18"/>
              </w:rPr>
            </w:pPr>
            <w:r w:rsidRPr="006546E0">
              <w:rPr>
                <w:rFonts w:asciiTheme="minorHAnsi" w:hAnsiTheme="minorHAnsi" w:cstheme="minorHAnsi"/>
                <w:sz w:val="18"/>
                <w:szCs w:val="18"/>
              </w:rPr>
              <w:t>Projet de promotion des systèmes de culture agroecologiques et de protection des sols au mali (PAESOL).</w:t>
            </w:r>
          </w:p>
        </w:tc>
        <w:tc>
          <w:tcPr>
            <w:tcW w:w="1866" w:type="dxa"/>
            <w:tcBorders>
              <w:top w:val="single" w:sz="4" w:space="0" w:color="auto"/>
              <w:bottom w:val="single" w:sz="4" w:space="0" w:color="auto"/>
            </w:tcBorders>
            <w:vAlign w:val="center"/>
          </w:tcPr>
          <w:p w14:paraId="24462724" w14:textId="3BE7ACE1" w:rsidR="00530598" w:rsidRPr="006546E0" w:rsidRDefault="00530598"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vAlign w:val="center"/>
          </w:tcPr>
          <w:p w14:paraId="3D6C44EE" w14:textId="77777777" w:rsidR="00871885" w:rsidRPr="006546E0" w:rsidRDefault="00871885"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Objectif</w:t>
            </w:r>
          </w:p>
          <w:p w14:paraId="7D9D324D" w14:textId="1EE56E14" w:rsidR="00871885" w:rsidRPr="006546E0" w:rsidRDefault="00C32E01" w:rsidP="0010507D">
            <w:pPr>
              <w:jc w:val="both"/>
              <w:rPr>
                <w:sz w:val="18"/>
                <w:szCs w:val="18"/>
              </w:rPr>
            </w:pPr>
            <w:r w:rsidRPr="006546E0">
              <w:rPr>
                <w:sz w:val="18"/>
                <w:szCs w:val="18"/>
              </w:rPr>
              <w:t>Renforcer la durabilité et la résilience de l'agriculture familiale pluviale au Mali face au changement climatique, à travers une gestion responsable des sols et des ressources en eau basée sur les principes agroécologiques et de conservation, afin de réduire la pauvreté rurale, d'améliorer la sécurité alimentaire et nutritionnelle, et de soutenir l'emploi des femmes et des jeunes.</w:t>
            </w:r>
          </w:p>
          <w:p w14:paraId="129FBDFE" w14:textId="77777777" w:rsidR="00871885" w:rsidRPr="006546E0" w:rsidRDefault="00871885"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Description</w:t>
            </w:r>
          </w:p>
          <w:p w14:paraId="32585F5A" w14:textId="5D55E0B0" w:rsidR="00530598" w:rsidRPr="006546E0" w:rsidRDefault="00FC51B0" w:rsidP="0010507D">
            <w:pPr>
              <w:jc w:val="both"/>
              <w:rPr>
                <w:rFonts w:asciiTheme="minorHAnsi" w:hAnsiTheme="minorHAnsi" w:cstheme="minorHAnsi"/>
                <w:sz w:val="18"/>
                <w:szCs w:val="18"/>
              </w:rPr>
            </w:pPr>
            <w:r w:rsidRPr="006546E0">
              <w:rPr>
                <w:rFonts w:asciiTheme="minorHAnsi" w:hAnsiTheme="minorHAnsi" w:cstheme="minorHAnsi"/>
                <w:sz w:val="18"/>
                <w:szCs w:val="18"/>
              </w:rPr>
              <w:lastRenderedPageBreak/>
              <w:t>C</w:t>
            </w:r>
            <w:r w:rsidR="007863F1" w:rsidRPr="006546E0">
              <w:rPr>
                <w:rFonts w:asciiTheme="minorHAnsi" w:hAnsiTheme="minorHAnsi" w:cstheme="minorHAnsi"/>
                <w:sz w:val="18"/>
                <w:szCs w:val="18"/>
              </w:rPr>
              <w:t>e projet</w:t>
            </w:r>
            <w:r w:rsidRPr="006546E0">
              <w:rPr>
                <w:rFonts w:asciiTheme="minorHAnsi" w:hAnsiTheme="minorHAnsi" w:cstheme="minorHAnsi"/>
                <w:sz w:val="18"/>
                <w:szCs w:val="18"/>
              </w:rPr>
              <w:t xml:space="preserve"> repose sur deux piliers : la diffusion de bonnes pratiques agricoles adaptées aux conditions locales pour conserver les sols et améliorer leur fertilité, et la réalisation de mesures de conservation des eaux et sols (CES) et d'agroforesterie pour stabiliser et protéger les terres.</w:t>
            </w:r>
          </w:p>
        </w:tc>
        <w:tc>
          <w:tcPr>
            <w:tcW w:w="1401" w:type="dxa"/>
            <w:tcBorders>
              <w:top w:val="single" w:sz="4" w:space="0" w:color="auto"/>
              <w:bottom w:val="single" w:sz="4" w:space="0" w:color="auto"/>
            </w:tcBorders>
            <w:vAlign w:val="center"/>
          </w:tcPr>
          <w:p w14:paraId="034EE048" w14:textId="07869CB9" w:rsidR="00530598" w:rsidRPr="006546E0" w:rsidRDefault="00530598" w:rsidP="0010507D">
            <w:pPr>
              <w:jc w:val="both"/>
              <w:rPr>
                <w:rFonts w:asciiTheme="minorHAnsi" w:hAnsiTheme="minorHAnsi" w:cstheme="minorHAnsi"/>
                <w:sz w:val="18"/>
                <w:szCs w:val="18"/>
              </w:rPr>
            </w:pPr>
            <w:r w:rsidRPr="006546E0">
              <w:rPr>
                <w:rFonts w:asciiTheme="minorHAnsi" w:hAnsiTheme="minorHAnsi" w:cstheme="minorHAnsi"/>
                <w:sz w:val="18"/>
                <w:szCs w:val="18"/>
              </w:rPr>
              <w:lastRenderedPageBreak/>
              <w:t>2024-2033</w:t>
            </w:r>
          </w:p>
        </w:tc>
        <w:tc>
          <w:tcPr>
            <w:tcW w:w="1425" w:type="dxa"/>
            <w:tcBorders>
              <w:top w:val="single" w:sz="4" w:space="0" w:color="auto"/>
              <w:bottom w:val="single" w:sz="4" w:space="0" w:color="auto"/>
            </w:tcBorders>
            <w:vAlign w:val="center"/>
          </w:tcPr>
          <w:p w14:paraId="03FEE2CE" w14:textId="0626CE4E" w:rsidR="00530598" w:rsidRPr="006546E0" w:rsidRDefault="00530598" w:rsidP="0010507D">
            <w:pPr>
              <w:jc w:val="both"/>
              <w:rPr>
                <w:rFonts w:asciiTheme="minorHAnsi" w:hAnsiTheme="minorHAnsi" w:cstheme="minorHAnsi"/>
                <w:sz w:val="18"/>
                <w:szCs w:val="18"/>
              </w:rPr>
            </w:pPr>
            <w:r w:rsidRPr="006546E0">
              <w:rPr>
                <w:rFonts w:asciiTheme="minorHAnsi" w:hAnsiTheme="minorHAnsi" w:cstheme="minorHAnsi"/>
                <w:sz w:val="18"/>
                <w:szCs w:val="18"/>
              </w:rPr>
              <w:t xml:space="preserve">En cours </w:t>
            </w:r>
          </w:p>
        </w:tc>
      </w:tr>
      <w:tr w:rsidR="00530598" w:rsidRPr="006546E0" w14:paraId="45498023" w14:textId="77777777" w:rsidTr="009D54A4">
        <w:tc>
          <w:tcPr>
            <w:tcW w:w="436" w:type="dxa"/>
            <w:tcBorders>
              <w:top w:val="single" w:sz="4" w:space="0" w:color="auto"/>
              <w:bottom w:val="single" w:sz="4" w:space="0" w:color="auto"/>
            </w:tcBorders>
            <w:vAlign w:val="center"/>
          </w:tcPr>
          <w:p w14:paraId="685031C7" w14:textId="65B3FC90" w:rsidR="00530598" w:rsidRPr="006546E0" w:rsidRDefault="00530598" w:rsidP="009F57BE">
            <w:pPr>
              <w:rPr>
                <w:rFonts w:asciiTheme="minorHAnsi" w:hAnsiTheme="minorHAnsi" w:cstheme="minorHAnsi"/>
                <w:b/>
                <w:sz w:val="18"/>
                <w:szCs w:val="18"/>
              </w:rPr>
            </w:pPr>
            <w:r w:rsidRPr="006546E0">
              <w:rPr>
                <w:rFonts w:asciiTheme="minorHAnsi" w:hAnsiTheme="minorHAnsi" w:cstheme="minorHAnsi"/>
                <w:b/>
                <w:sz w:val="18"/>
                <w:szCs w:val="18"/>
              </w:rPr>
              <w:t>13</w:t>
            </w:r>
          </w:p>
        </w:tc>
        <w:tc>
          <w:tcPr>
            <w:tcW w:w="2316" w:type="dxa"/>
            <w:tcBorders>
              <w:top w:val="single" w:sz="4" w:space="0" w:color="auto"/>
              <w:bottom w:val="single" w:sz="4" w:space="0" w:color="auto"/>
            </w:tcBorders>
            <w:vAlign w:val="center"/>
          </w:tcPr>
          <w:p w14:paraId="679296F4" w14:textId="07C5ABED" w:rsidR="00530598" w:rsidRPr="006546E0" w:rsidRDefault="00530598" w:rsidP="009F57BE">
            <w:pPr>
              <w:rPr>
                <w:rFonts w:asciiTheme="minorHAnsi" w:hAnsiTheme="minorHAnsi" w:cstheme="minorHAnsi"/>
                <w:sz w:val="18"/>
                <w:szCs w:val="18"/>
              </w:rPr>
            </w:pPr>
            <w:r w:rsidRPr="006546E0">
              <w:rPr>
                <w:rFonts w:asciiTheme="minorHAnsi" w:hAnsiTheme="minorHAnsi" w:cstheme="minorHAnsi"/>
                <w:sz w:val="18"/>
                <w:szCs w:val="18"/>
              </w:rPr>
              <w:t>Projet Mise au point/actualisation/diffusion d’outils d’aide à la décision pour la mise en valeur des terres agricoles.</w:t>
            </w:r>
          </w:p>
        </w:tc>
        <w:tc>
          <w:tcPr>
            <w:tcW w:w="1866" w:type="dxa"/>
            <w:tcBorders>
              <w:top w:val="single" w:sz="4" w:space="0" w:color="auto"/>
              <w:bottom w:val="single" w:sz="4" w:space="0" w:color="auto"/>
            </w:tcBorders>
            <w:vAlign w:val="center"/>
          </w:tcPr>
          <w:p w14:paraId="7DB5EB8C" w14:textId="48763AF8" w:rsidR="00530598" w:rsidRPr="006546E0" w:rsidRDefault="00530598"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shd w:val="clear" w:color="auto" w:fill="F2F2F2" w:themeFill="background1" w:themeFillShade="F2"/>
            <w:vAlign w:val="center"/>
          </w:tcPr>
          <w:p w14:paraId="471A630E" w14:textId="77777777" w:rsidR="00530598" w:rsidRPr="006546E0" w:rsidRDefault="00530598" w:rsidP="0010507D">
            <w:pPr>
              <w:jc w:val="both"/>
              <w:rPr>
                <w:rFonts w:asciiTheme="minorHAnsi" w:hAnsiTheme="minorHAnsi" w:cstheme="minorHAnsi"/>
                <w:sz w:val="18"/>
                <w:szCs w:val="18"/>
              </w:rPr>
            </w:pPr>
          </w:p>
        </w:tc>
        <w:tc>
          <w:tcPr>
            <w:tcW w:w="1401" w:type="dxa"/>
            <w:tcBorders>
              <w:top w:val="single" w:sz="4" w:space="0" w:color="auto"/>
              <w:bottom w:val="single" w:sz="4" w:space="0" w:color="auto"/>
            </w:tcBorders>
            <w:vAlign w:val="center"/>
          </w:tcPr>
          <w:p w14:paraId="5A56DA0A" w14:textId="292D670E" w:rsidR="00530598" w:rsidRPr="006546E0" w:rsidRDefault="00530598" w:rsidP="0010507D">
            <w:pPr>
              <w:jc w:val="both"/>
              <w:rPr>
                <w:rFonts w:asciiTheme="minorHAnsi" w:hAnsiTheme="minorHAnsi" w:cstheme="minorHAnsi"/>
                <w:sz w:val="18"/>
                <w:szCs w:val="18"/>
              </w:rPr>
            </w:pPr>
            <w:r w:rsidRPr="006546E0">
              <w:rPr>
                <w:rFonts w:asciiTheme="minorHAnsi" w:hAnsiTheme="minorHAnsi" w:cstheme="minorHAnsi"/>
                <w:sz w:val="18"/>
                <w:szCs w:val="18"/>
              </w:rPr>
              <w:t>2024-2033</w:t>
            </w:r>
          </w:p>
        </w:tc>
        <w:tc>
          <w:tcPr>
            <w:tcW w:w="1425" w:type="dxa"/>
            <w:tcBorders>
              <w:top w:val="single" w:sz="4" w:space="0" w:color="auto"/>
              <w:bottom w:val="single" w:sz="4" w:space="0" w:color="auto"/>
            </w:tcBorders>
            <w:vAlign w:val="center"/>
          </w:tcPr>
          <w:p w14:paraId="50F79630" w14:textId="3C6D6793" w:rsidR="00530598" w:rsidRPr="006546E0" w:rsidRDefault="00530598" w:rsidP="0010507D">
            <w:pPr>
              <w:jc w:val="both"/>
              <w:rPr>
                <w:rFonts w:asciiTheme="minorHAnsi" w:hAnsiTheme="minorHAnsi" w:cstheme="minorHAnsi"/>
                <w:sz w:val="18"/>
                <w:szCs w:val="18"/>
              </w:rPr>
            </w:pPr>
            <w:r w:rsidRPr="006546E0">
              <w:rPr>
                <w:rFonts w:asciiTheme="minorHAnsi" w:hAnsiTheme="minorHAnsi" w:cstheme="minorHAnsi"/>
                <w:sz w:val="18"/>
                <w:szCs w:val="18"/>
              </w:rPr>
              <w:t xml:space="preserve">Mise à échelle des activités </w:t>
            </w:r>
          </w:p>
        </w:tc>
      </w:tr>
      <w:tr w:rsidR="00530598" w:rsidRPr="006546E0" w14:paraId="6F43B233" w14:textId="77777777" w:rsidTr="009D54A4">
        <w:tc>
          <w:tcPr>
            <w:tcW w:w="436" w:type="dxa"/>
            <w:tcBorders>
              <w:top w:val="single" w:sz="4" w:space="0" w:color="auto"/>
              <w:bottom w:val="single" w:sz="4" w:space="0" w:color="auto"/>
            </w:tcBorders>
            <w:vAlign w:val="center"/>
          </w:tcPr>
          <w:p w14:paraId="775CF09C" w14:textId="57C03CBA" w:rsidR="00530598" w:rsidRPr="006546E0" w:rsidRDefault="00530598" w:rsidP="009F57BE">
            <w:pPr>
              <w:rPr>
                <w:rFonts w:asciiTheme="minorHAnsi" w:hAnsiTheme="minorHAnsi" w:cstheme="minorHAnsi"/>
                <w:b/>
                <w:sz w:val="18"/>
                <w:szCs w:val="18"/>
              </w:rPr>
            </w:pPr>
            <w:r w:rsidRPr="006546E0">
              <w:rPr>
                <w:rFonts w:asciiTheme="minorHAnsi" w:hAnsiTheme="minorHAnsi" w:cstheme="minorHAnsi"/>
                <w:b/>
                <w:sz w:val="18"/>
                <w:szCs w:val="18"/>
              </w:rPr>
              <w:t>14</w:t>
            </w:r>
          </w:p>
        </w:tc>
        <w:tc>
          <w:tcPr>
            <w:tcW w:w="2316" w:type="dxa"/>
            <w:tcBorders>
              <w:top w:val="single" w:sz="4" w:space="0" w:color="auto"/>
              <w:bottom w:val="single" w:sz="4" w:space="0" w:color="auto"/>
            </w:tcBorders>
            <w:vAlign w:val="center"/>
          </w:tcPr>
          <w:p w14:paraId="43877EE4" w14:textId="324E7AB1" w:rsidR="00530598" w:rsidRPr="006546E0" w:rsidRDefault="00530598" w:rsidP="009F57BE">
            <w:pPr>
              <w:rPr>
                <w:rFonts w:asciiTheme="minorHAnsi" w:hAnsiTheme="minorHAnsi" w:cstheme="minorHAnsi"/>
                <w:sz w:val="18"/>
                <w:szCs w:val="18"/>
              </w:rPr>
            </w:pPr>
            <w:r w:rsidRPr="006546E0">
              <w:rPr>
                <w:rFonts w:asciiTheme="minorHAnsi" w:hAnsiTheme="minorHAnsi" w:cstheme="minorHAnsi"/>
                <w:sz w:val="18"/>
                <w:szCs w:val="18"/>
              </w:rPr>
              <w:t>Projet Promotion de la chaine de valeur des Filières dans les agropoles de Kayes – Sud, Koulikoro – Péri-urbain de Bamako, Mali Sud, Zone office du Niger/Office Riz Ségou, Zone Lacustre.</w:t>
            </w:r>
          </w:p>
        </w:tc>
        <w:tc>
          <w:tcPr>
            <w:tcW w:w="1866" w:type="dxa"/>
            <w:tcBorders>
              <w:top w:val="single" w:sz="4" w:space="0" w:color="auto"/>
              <w:bottom w:val="single" w:sz="4" w:space="0" w:color="auto"/>
            </w:tcBorders>
            <w:vAlign w:val="center"/>
          </w:tcPr>
          <w:p w14:paraId="401BD229" w14:textId="7AC10944" w:rsidR="00530598" w:rsidRPr="006546E0" w:rsidRDefault="00530598"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vAlign w:val="center"/>
          </w:tcPr>
          <w:p w14:paraId="54907AF9" w14:textId="77777777" w:rsidR="007E2834" w:rsidRPr="006546E0" w:rsidRDefault="007E2834"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Objectif</w:t>
            </w:r>
          </w:p>
          <w:p w14:paraId="45CA8F07" w14:textId="58D23A46" w:rsidR="007E2834" w:rsidRPr="006546E0" w:rsidRDefault="00317299" w:rsidP="0010507D">
            <w:pPr>
              <w:jc w:val="both"/>
              <w:rPr>
                <w:sz w:val="18"/>
                <w:szCs w:val="18"/>
              </w:rPr>
            </w:pPr>
            <w:r w:rsidRPr="006546E0">
              <w:rPr>
                <w:sz w:val="18"/>
                <w:szCs w:val="18"/>
              </w:rPr>
              <w:t>Promouvoir et structurer les chaînes de valeur des filières agricoles porteuses dans cinq agropoles prioritaires du Mali, afin de renforcer la souveraineté alimentaire, d'améliorer la valeur ajoutée des productions locales et de faire du Mali un exportateur net de produits agricoles.</w:t>
            </w:r>
          </w:p>
          <w:p w14:paraId="06DDE0F4" w14:textId="77777777" w:rsidR="007E2834" w:rsidRPr="006546E0" w:rsidRDefault="007E2834"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Description</w:t>
            </w:r>
          </w:p>
          <w:p w14:paraId="065A46DD" w14:textId="26063A53" w:rsidR="00530598" w:rsidRPr="006546E0" w:rsidRDefault="005067BB" w:rsidP="0010507D">
            <w:pPr>
              <w:jc w:val="both"/>
              <w:rPr>
                <w:rFonts w:asciiTheme="minorHAnsi" w:hAnsiTheme="minorHAnsi" w:cstheme="minorHAnsi"/>
                <w:sz w:val="18"/>
                <w:szCs w:val="18"/>
              </w:rPr>
            </w:pPr>
            <w:r w:rsidRPr="006546E0">
              <w:rPr>
                <w:rFonts w:asciiTheme="minorHAnsi" w:hAnsiTheme="minorHAnsi" w:cstheme="minorHAnsi"/>
                <w:sz w:val="18"/>
                <w:szCs w:val="18"/>
              </w:rPr>
              <w:t>Le projet s'inscrit dans le projet structurant FARAFINNA JIGINƐ de la Vision Mali 2063. Il intervient dans cinq agropoles : Kayes-Sud, Koulikoro – Péri-urbain de Bamako, Mali Sud, Zone Office du Niger/Office Riz Ségou et Zone Lacustre. Il vise à organiser et professionnaliser les acteurs autour des filières prioritaires de chaque zone, à développer la transformation agro-industrielle et à faciliter l'accès aux marchés nationaux et sous-régionaux.</w:t>
            </w:r>
          </w:p>
        </w:tc>
        <w:tc>
          <w:tcPr>
            <w:tcW w:w="1401" w:type="dxa"/>
            <w:tcBorders>
              <w:top w:val="single" w:sz="4" w:space="0" w:color="auto"/>
              <w:bottom w:val="single" w:sz="4" w:space="0" w:color="auto"/>
            </w:tcBorders>
            <w:vAlign w:val="center"/>
          </w:tcPr>
          <w:p w14:paraId="505D4934" w14:textId="4DD74D71" w:rsidR="00530598" w:rsidRPr="006546E0" w:rsidRDefault="00530598" w:rsidP="0010507D">
            <w:pPr>
              <w:jc w:val="both"/>
              <w:rPr>
                <w:rFonts w:asciiTheme="minorHAnsi" w:hAnsiTheme="minorHAnsi" w:cstheme="minorHAnsi"/>
                <w:sz w:val="18"/>
                <w:szCs w:val="18"/>
              </w:rPr>
            </w:pPr>
            <w:r w:rsidRPr="006546E0">
              <w:rPr>
                <w:rFonts w:asciiTheme="minorHAnsi" w:hAnsiTheme="minorHAnsi" w:cstheme="minorHAnsi"/>
                <w:sz w:val="18"/>
                <w:szCs w:val="18"/>
              </w:rPr>
              <w:t>2024-2033</w:t>
            </w:r>
          </w:p>
        </w:tc>
        <w:tc>
          <w:tcPr>
            <w:tcW w:w="1425" w:type="dxa"/>
            <w:tcBorders>
              <w:top w:val="single" w:sz="4" w:space="0" w:color="auto"/>
              <w:bottom w:val="single" w:sz="4" w:space="0" w:color="auto"/>
            </w:tcBorders>
            <w:vAlign w:val="center"/>
          </w:tcPr>
          <w:p w14:paraId="25CE1D38" w14:textId="3B403D1F" w:rsidR="00530598" w:rsidRPr="006546E0" w:rsidRDefault="00530598" w:rsidP="0010507D">
            <w:pPr>
              <w:jc w:val="both"/>
              <w:rPr>
                <w:rFonts w:asciiTheme="minorHAnsi" w:hAnsiTheme="minorHAnsi" w:cstheme="minorHAnsi"/>
                <w:sz w:val="18"/>
                <w:szCs w:val="18"/>
              </w:rPr>
            </w:pPr>
            <w:r w:rsidRPr="006546E0">
              <w:rPr>
                <w:rFonts w:asciiTheme="minorHAnsi" w:hAnsiTheme="minorHAnsi" w:cstheme="minorHAnsi"/>
                <w:sz w:val="18"/>
                <w:szCs w:val="18"/>
              </w:rPr>
              <w:t>Conception</w:t>
            </w:r>
          </w:p>
        </w:tc>
      </w:tr>
      <w:tr w:rsidR="00C82B3F" w:rsidRPr="006546E0" w14:paraId="324C322D" w14:textId="77777777" w:rsidTr="009D54A4">
        <w:tc>
          <w:tcPr>
            <w:tcW w:w="436" w:type="dxa"/>
            <w:tcBorders>
              <w:top w:val="single" w:sz="4" w:space="0" w:color="auto"/>
              <w:bottom w:val="single" w:sz="4" w:space="0" w:color="auto"/>
            </w:tcBorders>
            <w:vAlign w:val="center"/>
          </w:tcPr>
          <w:p w14:paraId="7B1E689A" w14:textId="1DDA7950" w:rsidR="00C82B3F" w:rsidRPr="006546E0" w:rsidRDefault="00C82B3F" w:rsidP="009F57BE">
            <w:pPr>
              <w:rPr>
                <w:rFonts w:asciiTheme="minorHAnsi" w:hAnsiTheme="minorHAnsi" w:cstheme="minorHAnsi"/>
                <w:b/>
                <w:sz w:val="18"/>
                <w:szCs w:val="18"/>
              </w:rPr>
            </w:pPr>
            <w:r w:rsidRPr="006546E0">
              <w:rPr>
                <w:rFonts w:asciiTheme="minorHAnsi" w:hAnsiTheme="minorHAnsi" w:cstheme="minorHAnsi"/>
                <w:b/>
                <w:sz w:val="18"/>
                <w:szCs w:val="18"/>
              </w:rPr>
              <w:t>15</w:t>
            </w:r>
          </w:p>
        </w:tc>
        <w:tc>
          <w:tcPr>
            <w:tcW w:w="2316" w:type="dxa"/>
            <w:tcBorders>
              <w:top w:val="single" w:sz="4" w:space="0" w:color="auto"/>
              <w:bottom w:val="single" w:sz="4" w:space="0" w:color="auto"/>
            </w:tcBorders>
            <w:vAlign w:val="center"/>
          </w:tcPr>
          <w:p w14:paraId="589FDA0C" w14:textId="09879AE8" w:rsidR="00C82B3F" w:rsidRPr="006546E0" w:rsidRDefault="00C82B3F" w:rsidP="009F57BE">
            <w:pPr>
              <w:rPr>
                <w:rFonts w:asciiTheme="minorHAnsi" w:hAnsiTheme="minorHAnsi" w:cstheme="minorHAnsi"/>
                <w:sz w:val="18"/>
                <w:szCs w:val="18"/>
              </w:rPr>
            </w:pPr>
            <w:r w:rsidRPr="006546E0">
              <w:rPr>
                <w:rFonts w:asciiTheme="minorHAnsi" w:hAnsiTheme="minorHAnsi" w:cstheme="minorHAnsi"/>
                <w:sz w:val="18"/>
                <w:szCs w:val="18"/>
              </w:rPr>
              <w:t>Programme de Promotion des Pôles de Développement Agricole (Filières Porteuses) au Mali.</w:t>
            </w:r>
          </w:p>
        </w:tc>
        <w:tc>
          <w:tcPr>
            <w:tcW w:w="1866" w:type="dxa"/>
            <w:tcBorders>
              <w:top w:val="single" w:sz="4" w:space="0" w:color="auto"/>
              <w:bottom w:val="single" w:sz="4" w:space="0" w:color="auto"/>
            </w:tcBorders>
            <w:vAlign w:val="center"/>
          </w:tcPr>
          <w:p w14:paraId="077CF32D" w14:textId="5A8D795A" w:rsidR="00C82B3F" w:rsidRPr="006546E0" w:rsidRDefault="00C82B3F"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vAlign w:val="center"/>
          </w:tcPr>
          <w:p w14:paraId="63CAD374" w14:textId="77777777" w:rsidR="00C82B3F" w:rsidRPr="006546E0" w:rsidRDefault="00C82B3F"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Objectif</w:t>
            </w:r>
          </w:p>
          <w:p w14:paraId="771EE3E0" w14:textId="684C079F" w:rsidR="00C82B3F" w:rsidRPr="006546E0" w:rsidRDefault="00C82B3F" w:rsidP="0010507D">
            <w:pPr>
              <w:jc w:val="both"/>
              <w:rPr>
                <w:sz w:val="18"/>
                <w:szCs w:val="18"/>
              </w:rPr>
            </w:pPr>
            <w:r w:rsidRPr="006546E0">
              <w:rPr>
                <w:sz w:val="18"/>
                <w:szCs w:val="18"/>
              </w:rPr>
              <w:t>Transformer structurellement l'agriculture malienne en créant des pôles de développement agro-industriels organisés autour des filières porteuses prioritaires, afin de réduire les importations de produits agroalimentaires, d'améliorer la sécurité alimentaire et nutritionnelle et d'attirer les investissements privés dans le secteur agricole.</w:t>
            </w:r>
          </w:p>
          <w:p w14:paraId="7719074D" w14:textId="77777777" w:rsidR="00C82B3F" w:rsidRPr="006546E0" w:rsidRDefault="00C82B3F"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Description</w:t>
            </w:r>
          </w:p>
          <w:p w14:paraId="5F89BFA4" w14:textId="449E7881" w:rsidR="00C82B3F" w:rsidRPr="006546E0" w:rsidRDefault="00866393" w:rsidP="0010507D">
            <w:pPr>
              <w:jc w:val="both"/>
              <w:rPr>
                <w:rFonts w:asciiTheme="minorHAnsi" w:hAnsiTheme="minorHAnsi" w:cstheme="minorHAnsi"/>
                <w:sz w:val="18"/>
                <w:szCs w:val="18"/>
              </w:rPr>
            </w:pPr>
            <w:r w:rsidRPr="006546E0">
              <w:rPr>
                <w:rFonts w:asciiTheme="minorHAnsi" w:hAnsiTheme="minorHAnsi" w:cstheme="minorHAnsi"/>
                <w:sz w:val="18"/>
                <w:szCs w:val="18"/>
              </w:rPr>
              <w:t>Le programme repose sur l'approche des agropoles, qui consiste à concentrer dans une zone géographique donnée les investissements, infrastructures et services nécessaires à la transformation agricole, en s'appuyant sur les chaînes de valeur prioritaires adaptées aux conditions agroécologiques locales. Au Mali, il prévoit la mise en place de 12 agropoles couvrant l'ensemble du territoire, dont la phase pilote est portée par le Programme de Développement de la Zone Spéciale de Transformation Agro-industrielle de Koulikoro et Péri-urbain de Bamako (PDZSTA-KB).</w:t>
            </w:r>
          </w:p>
        </w:tc>
        <w:tc>
          <w:tcPr>
            <w:tcW w:w="1401" w:type="dxa"/>
            <w:tcBorders>
              <w:top w:val="single" w:sz="4" w:space="0" w:color="auto"/>
              <w:bottom w:val="single" w:sz="4" w:space="0" w:color="auto"/>
            </w:tcBorders>
            <w:vAlign w:val="center"/>
          </w:tcPr>
          <w:p w14:paraId="4289DC8E" w14:textId="57C2BB38" w:rsidR="00C82B3F" w:rsidRPr="006546E0" w:rsidRDefault="00C82B3F" w:rsidP="0010507D">
            <w:pPr>
              <w:jc w:val="both"/>
              <w:rPr>
                <w:rFonts w:asciiTheme="minorHAnsi" w:hAnsiTheme="minorHAnsi" w:cstheme="minorHAnsi"/>
                <w:sz w:val="18"/>
                <w:szCs w:val="18"/>
              </w:rPr>
            </w:pPr>
            <w:r w:rsidRPr="006546E0">
              <w:rPr>
                <w:rFonts w:asciiTheme="minorHAnsi" w:hAnsiTheme="minorHAnsi" w:cstheme="minorHAnsi"/>
                <w:sz w:val="18"/>
                <w:szCs w:val="18"/>
              </w:rPr>
              <w:t>2024-2033</w:t>
            </w:r>
          </w:p>
        </w:tc>
        <w:tc>
          <w:tcPr>
            <w:tcW w:w="1425" w:type="dxa"/>
            <w:tcBorders>
              <w:top w:val="single" w:sz="4" w:space="0" w:color="auto"/>
              <w:bottom w:val="single" w:sz="4" w:space="0" w:color="auto"/>
            </w:tcBorders>
            <w:vAlign w:val="center"/>
          </w:tcPr>
          <w:p w14:paraId="3DDF1598" w14:textId="2A75AFE5" w:rsidR="00C82B3F" w:rsidRPr="006546E0" w:rsidRDefault="00C82B3F" w:rsidP="0010507D">
            <w:pPr>
              <w:jc w:val="both"/>
              <w:rPr>
                <w:rFonts w:asciiTheme="minorHAnsi" w:hAnsiTheme="minorHAnsi" w:cstheme="minorHAnsi"/>
                <w:sz w:val="18"/>
                <w:szCs w:val="18"/>
              </w:rPr>
            </w:pPr>
            <w:r w:rsidRPr="006546E0">
              <w:rPr>
                <w:rFonts w:asciiTheme="minorHAnsi" w:hAnsiTheme="minorHAnsi" w:cstheme="minorHAnsi"/>
                <w:sz w:val="18"/>
                <w:szCs w:val="18"/>
              </w:rPr>
              <w:t>Conception à travers les acquis de PDZSTA</w:t>
            </w:r>
          </w:p>
        </w:tc>
      </w:tr>
      <w:tr w:rsidR="00231BC7" w:rsidRPr="006546E0" w14:paraId="334F85E1" w14:textId="77777777" w:rsidTr="009D54A4">
        <w:tc>
          <w:tcPr>
            <w:tcW w:w="436" w:type="dxa"/>
            <w:tcBorders>
              <w:top w:val="single" w:sz="4" w:space="0" w:color="auto"/>
              <w:bottom w:val="single" w:sz="4" w:space="0" w:color="auto"/>
            </w:tcBorders>
            <w:vAlign w:val="center"/>
          </w:tcPr>
          <w:p w14:paraId="481905F0" w14:textId="24E5B975" w:rsidR="00231BC7" w:rsidRPr="006546E0" w:rsidRDefault="00231BC7" w:rsidP="009F57BE">
            <w:pPr>
              <w:rPr>
                <w:rFonts w:asciiTheme="minorHAnsi" w:hAnsiTheme="minorHAnsi" w:cstheme="minorHAnsi"/>
                <w:b/>
                <w:sz w:val="18"/>
                <w:szCs w:val="18"/>
              </w:rPr>
            </w:pPr>
            <w:r w:rsidRPr="006546E0">
              <w:rPr>
                <w:rFonts w:asciiTheme="minorHAnsi" w:hAnsiTheme="minorHAnsi" w:cstheme="minorHAnsi"/>
                <w:b/>
                <w:sz w:val="18"/>
                <w:szCs w:val="18"/>
              </w:rPr>
              <w:t>16</w:t>
            </w:r>
          </w:p>
        </w:tc>
        <w:tc>
          <w:tcPr>
            <w:tcW w:w="2316" w:type="dxa"/>
            <w:tcBorders>
              <w:top w:val="single" w:sz="4" w:space="0" w:color="auto"/>
              <w:bottom w:val="single" w:sz="4" w:space="0" w:color="auto"/>
            </w:tcBorders>
            <w:vAlign w:val="center"/>
          </w:tcPr>
          <w:p w14:paraId="0305AAB9" w14:textId="73EDEC1A" w:rsidR="00231BC7" w:rsidRPr="006546E0" w:rsidRDefault="00231BC7" w:rsidP="009F57BE">
            <w:pPr>
              <w:rPr>
                <w:rFonts w:asciiTheme="minorHAnsi" w:hAnsiTheme="minorHAnsi" w:cstheme="minorHAnsi"/>
                <w:sz w:val="18"/>
                <w:szCs w:val="18"/>
              </w:rPr>
            </w:pPr>
            <w:r w:rsidRPr="006546E0">
              <w:rPr>
                <w:rFonts w:asciiTheme="minorHAnsi" w:hAnsiTheme="minorHAnsi" w:cstheme="minorHAnsi"/>
                <w:sz w:val="18"/>
                <w:szCs w:val="18"/>
              </w:rPr>
              <w:t xml:space="preserve">Projet de Mise en place d’un centre d'innovations technologiques dans les </w:t>
            </w:r>
            <w:r w:rsidRPr="006546E0">
              <w:rPr>
                <w:rFonts w:asciiTheme="minorHAnsi" w:hAnsiTheme="minorHAnsi" w:cstheme="minorHAnsi"/>
                <w:sz w:val="18"/>
                <w:szCs w:val="18"/>
              </w:rPr>
              <w:lastRenderedPageBreak/>
              <w:t>agropoles de Kayes – Sud, Koulikoro – Péri-urbain de Bamako, Mali Sud, Zone office du Niger/Office Riz Ségou, Zone Lacustre.</w:t>
            </w:r>
          </w:p>
        </w:tc>
        <w:tc>
          <w:tcPr>
            <w:tcW w:w="1866" w:type="dxa"/>
            <w:tcBorders>
              <w:top w:val="single" w:sz="4" w:space="0" w:color="auto"/>
              <w:bottom w:val="single" w:sz="4" w:space="0" w:color="auto"/>
            </w:tcBorders>
            <w:vAlign w:val="center"/>
          </w:tcPr>
          <w:p w14:paraId="0B732937" w14:textId="00755115" w:rsidR="00231BC7" w:rsidRPr="006546E0" w:rsidRDefault="00231BC7" w:rsidP="0010507D">
            <w:pPr>
              <w:jc w:val="both"/>
              <w:rPr>
                <w:rFonts w:asciiTheme="minorHAnsi" w:hAnsiTheme="minorHAnsi" w:cstheme="minorHAnsi"/>
                <w:sz w:val="18"/>
                <w:szCs w:val="18"/>
              </w:rPr>
            </w:pPr>
            <w:r w:rsidRPr="006546E0">
              <w:rPr>
                <w:rFonts w:asciiTheme="minorHAnsi" w:hAnsiTheme="minorHAnsi" w:cstheme="minorHAnsi"/>
                <w:sz w:val="18"/>
                <w:szCs w:val="18"/>
              </w:rPr>
              <w:lastRenderedPageBreak/>
              <w:t>Direction Nationale de l’Agriculture (DNA)</w:t>
            </w:r>
          </w:p>
        </w:tc>
        <w:tc>
          <w:tcPr>
            <w:tcW w:w="6009" w:type="dxa"/>
            <w:tcBorders>
              <w:top w:val="single" w:sz="4" w:space="0" w:color="auto"/>
              <w:bottom w:val="single" w:sz="4" w:space="0" w:color="auto"/>
            </w:tcBorders>
            <w:vAlign w:val="center"/>
          </w:tcPr>
          <w:p w14:paraId="0A156C34" w14:textId="77777777" w:rsidR="00231BC7" w:rsidRPr="006546E0" w:rsidRDefault="00231BC7"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Objectif</w:t>
            </w:r>
          </w:p>
          <w:p w14:paraId="72E4CE12" w14:textId="4A5643D1" w:rsidR="00231BC7" w:rsidRPr="006546E0" w:rsidRDefault="00231BC7" w:rsidP="0010507D">
            <w:pPr>
              <w:jc w:val="both"/>
              <w:rPr>
                <w:sz w:val="18"/>
                <w:szCs w:val="18"/>
              </w:rPr>
            </w:pPr>
            <w:r w:rsidRPr="006546E0">
              <w:rPr>
                <w:sz w:val="18"/>
                <w:szCs w:val="18"/>
              </w:rPr>
              <w:t xml:space="preserve">Doter chaque agropole prioritaire du Mali d'un centre d'innovations technologiques afin de favoriser l'introduction et la diffusion de nouvelles </w:t>
            </w:r>
            <w:r w:rsidRPr="006546E0">
              <w:rPr>
                <w:sz w:val="18"/>
                <w:szCs w:val="18"/>
              </w:rPr>
              <w:lastRenderedPageBreak/>
              <w:t>techniques tout au long des chaînes de valeur agricoles, et contribuer ainsi à l'augmentation des revenus des petites exploitations et à la modernisation du secteur agroalimentaire.</w:t>
            </w:r>
          </w:p>
          <w:p w14:paraId="4EC277CF" w14:textId="77777777" w:rsidR="00231BC7" w:rsidRPr="006546E0" w:rsidRDefault="00231BC7"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Description</w:t>
            </w:r>
          </w:p>
          <w:p w14:paraId="5C00EAB0" w14:textId="31E2E47F" w:rsidR="00231BC7" w:rsidRPr="006546E0" w:rsidRDefault="00177CA8" w:rsidP="0010507D">
            <w:pPr>
              <w:jc w:val="both"/>
              <w:rPr>
                <w:rFonts w:asciiTheme="minorHAnsi" w:hAnsiTheme="minorHAnsi" w:cstheme="minorHAnsi"/>
                <w:sz w:val="18"/>
                <w:szCs w:val="18"/>
              </w:rPr>
            </w:pPr>
            <w:r w:rsidRPr="006546E0">
              <w:rPr>
                <w:rFonts w:asciiTheme="minorHAnsi" w:hAnsiTheme="minorHAnsi" w:cstheme="minorHAnsi"/>
                <w:sz w:val="18"/>
                <w:szCs w:val="18"/>
              </w:rPr>
              <w:t>Le projet s'inscrit dans le projet structurant FARAFINNA JIGINƐ de la Vision Mali 2063. Il prévoit l'implantation de centres d'innovations technologiques dans cinq agropoles : Kayes-Sud, Koulikoro – Péri-urbain de Bamako, Mali Sud, Zone Office du Niger/Office Riz Ségou et Zone Lacustre. Ces centres ont vocation à servir de plateformes d'expérimentation, de transfert technologique et d'accompagnement des producteurs et transformateurs, en s'inspirant notamment de l'expérience des Centres d'Innovations Vertes (CIV) déjà mis en œuvre au Mali avec l'appui de la Coopération allemande (GIZ/BMZ) dans les filières mangue et pomme de terre.</w:t>
            </w:r>
          </w:p>
        </w:tc>
        <w:tc>
          <w:tcPr>
            <w:tcW w:w="1401" w:type="dxa"/>
            <w:tcBorders>
              <w:top w:val="single" w:sz="4" w:space="0" w:color="auto"/>
              <w:bottom w:val="single" w:sz="4" w:space="0" w:color="auto"/>
            </w:tcBorders>
            <w:vAlign w:val="center"/>
          </w:tcPr>
          <w:p w14:paraId="2A384C41" w14:textId="64954502" w:rsidR="00231BC7" w:rsidRPr="006546E0" w:rsidRDefault="00231BC7" w:rsidP="0010507D">
            <w:pPr>
              <w:jc w:val="both"/>
              <w:rPr>
                <w:rFonts w:asciiTheme="minorHAnsi" w:hAnsiTheme="minorHAnsi" w:cstheme="minorHAnsi"/>
                <w:sz w:val="18"/>
                <w:szCs w:val="18"/>
              </w:rPr>
            </w:pPr>
            <w:r w:rsidRPr="006546E0">
              <w:rPr>
                <w:rFonts w:asciiTheme="minorHAnsi" w:hAnsiTheme="minorHAnsi" w:cstheme="minorHAnsi"/>
                <w:sz w:val="18"/>
                <w:szCs w:val="18"/>
              </w:rPr>
              <w:lastRenderedPageBreak/>
              <w:t>2024-2033</w:t>
            </w:r>
          </w:p>
        </w:tc>
        <w:tc>
          <w:tcPr>
            <w:tcW w:w="1425" w:type="dxa"/>
            <w:tcBorders>
              <w:top w:val="single" w:sz="4" w:space="0" w:color="auto"/>
              <w:bottom w:val="single" w:sz="4" w:space="0" w:color="auto"/>
            </w:tcBorders>
            <w:vAlign w:val="center"/>
          </w:tcPr>
          <w:p w14:paraId="4CD21A80" w14:textId="7FE9B1AA" w:rsidR="00231BC7" w:rsidRPr="006546E0" w:rsidRDefault="00231BC7" w:rsidP="0010507D">
            <w:pPr>
              <w:jc w:val="both"/>
              <w:rPr>
                <w:rFonts w:asciiTheme="minorHAnsi" w:hAnsiTheme="minorHAnsi" w:cstheme="minorHAnsi"/>
                <w:sz w:val="18"/>
                <w:szCs w:val="18"/>
              </w:rPr>
            </w:pPr>
            <w:r w:rsidRPr="006546E0">
              <w:rPr>
                <w:rFonts w:asciiTheme="minorHAnsi" w:hAnsiTheme="minorHAnsi" w:cstheme="minorHAnsi"/>
                <w:sz w:val="18"/>
                <w:szCs w:val="18"/>
              </w:rPr>
              <w:t>Conception</w:t>
            </w:r>
          </w:p>
        </w:tc>
      </w:tr>
      <w:tr w:rsidR="004231C6" w:rsidRPr="006546E0" w14:paraId="273A6A73" w14:textId="77777777" w:rsidTr="009D54A4">
        <w:tc>
          <w:tcPr>
            <w:tcW w:w="436" w:type="dxa"/>
            <w:tcBorders>
              <w:top w:val="single" w:sz="4" w:space="0" w:color="auto"/>
              <w:bottom w:val="single" w:sz="4" w:space="0" w:color="auto"/>
            </w:tcBorders>
            <w:vAlign w:val="center"/>
          </w:tcPr>
          <w:p w14:paraId="582415B3" w14:textId="0AF45E15" w:rsidR="004231C6" w:rsidRPr="006546E0" w:rsidRDefault="004231C6" w:rsidP="009F57BE">
            <w:pPr>
              <w:rPr>
                <w:rFonts w:asciiTheme="minorHAnsi" w:hAnsiTheme="minorHAnsi" w:cstheme="minorHAnsi"/>
                <w:b/>
                <w:sz w:val="18"/>
                <w:szCs w:val="18"/>
              </w:rPr>
            </w:pPr>
            <w:r w:rsidRPr="006546E0">
              <w:rPr>
                <w:rFonts w:asciiTheme="minorHAnsi" w:hAnsiTheme="minorHAnsi" w:cstheme="minorHAnsi"/>
                <w:b/>
                <w:sz w:val="18"/>
                <w:szCs w:val="18"/>
              </w:rPr>
              <w:t>17</w:t>
            </w:r>
          </w:p>
        </w:tc>
        <w:tc>
          <w:tcPr>
            <w:tcW w:w="2316" w:type="dxa"/>
            <w:tcBorders>
              <w:top w:val="single" w:sz="4" w:space="0" w:color="auto"/>
              <w:bottom w:val="single" w:sz="4" w:space="0" w:color="auto"/>
            </w:tcBorders>
            <w:vAlign w:val="center"/>
          </w:tcPr>
          <w:p w14:paraId="7B615A00" w14:textId="120C10D1" w:rsidR="004231C6" w:rsidRPr="006546E0" w:rsidRDefault="004231C6" w:rsidP="009F57BE">
            <w:pPr>
              <w:rPr>
                <w:rFonts w:asciiTheme="minorHAnsi" w:hAnsiTheme="minorHAnsi" w:cstheme="minorHAnsi"/>
                <w:sz w:val="18"/>
                <w:szCs w:val="18"/>
              </w:rPr>
            </w:pPr>
            <w:r w:rsidRPr="006546E0">
              <w:rPr>
                <w:rFonts w:asciiTheme="minorHAnsi" w:hAnsiTheme="minorHAnsi" w:cstheme="minorHAnsi"/>
                <w:sz w:val="18"/>
                <w:szCs w:val="18"/>
              </w:rPr>
              <w:t>Projet de Formation qualifiante des jeunes ruraux aux techniques et technologies agricoles et leur insertion en les dotant de kits agricoles.</w:t>
            </w:r>
          </w:p>
        </w:tc>
        <w:tc>
          <w:tcPr>
            <w:tcW w:w="1866" w:type="dxa"/>
            <w:tcBorders>
              <w:top w:val="single" w:sz="4" w:space="0" w:color="auto"/>
              <w:bottom w:val="single" w:sz="4" w:space="0" w:color="auto"/>
            </w:tcBorders>
            <w:vAlign w:val="center"/>
          </w:tcPr>
          <w:p w14:paraId="60C6BA5E" w14:textId="2FB44EDF" w:rsidR="004231C6" w:rsidRPr="006546E0" w:rsidRDefault="004231C6" w:rsidP="0010507D">
            <w:pPr>
              <w:jc w:val="both"/>
              <w:rPr>
                <w:rFonts w:asciiTheme="minorHAnsi" w:hAnsiTheme="minorHAnsi" w:cstheme="minorHAnsi"/>
                <w:sz w:val="18"/>
                <w:szCs w:val="18"/>
              </w:rPr>
            </w:pPr>
            <w:r w:rsidRPr="006546E0">
              <w:rPr>
                <w:rFonts w:asciiTheme="minorHAnsi" w:hAnsiTheme="minorHAnsi" w:cstheme="minorHAnsi"/>
                <w:sz w:val="18"/>
                <w:szCs w:val="18"/>
              </w:rPr>
              <w:t>Direction Nationale de l’Agriculture (DNA)</w:t>
            </w:r>
          </w:p>
        </w:tc>
        <w:tc>
          <w:tcPr>
            <w:tcW w:w="6009" w:type="dxa"/>
            <w:tcBorders>
              <w:top w:val="single" w:sz="4" w:space="0" w:color="auto"/>
              <w:bottom w:val="single" w:sz="4" w:space="0" w:color="auto"/>
            </w:tcBorders>
            <w:vAlign w:val="center"/>
          </w:tcPr>
          <w:p w14:paraId="74C95709" w14:textId="77777777" w:rsidR="004231C6" w:rsidRPr="006546E0" w:rsidRDefault="004231C6"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Objectif</w:t>
            </w:r>
          </w:p>
          <w:p w14:paraId="6B1CEA81" w14:textId="0A512695" w:rsidR="004231C6" w:rsidRPr="006546E0" w:rsidRDefault="00160D5B" w:rsidP="0010507D">
            <w:pPr>
              <w:jc w:val="both"/>
              <w:rPr>
                <w:sz w:val="18"/>
                <w:szCs w:val="18"/>
              </w:rPr>
            </w:pPr>
            <w:r w:rsidRPr="006546E0">
              <w:rPr>
                <w:sz w:val="18"/>
                <w:szCs w:val="18"/>
              </w:rPr>
              <w:t>Renforcer l'employabilité des jeunes ruraux maliens en leur offrant une formation qualifiante aux techniques et technologies agricoles modernes, et faciliter leur insertion professionnelle dans le secteur agricole par la dotation de kits d'installation, afin de lutter contre le chômage, l'exode rural et la migration.</w:t>
            </w:r>
          </w:p>
          <w:p w14:paraId="4F5D48FA" w14:textId="77777777" w:rsidR="004231C6" w:rsidRPr="006546E0" w:rsidRDefault="004231C6" w:rsidP="0010507D">
            <w:pPr>
              <w:jc w:val="both"/>
              <w:rPr>
                <w:rFonts w:asciiTheme="minorHAnsi" w:hAnsiTheme="minorHAnsi" w:cstheme="minorHAnsi"/>
                <w:b/>
                <w:sz w:val="18"/>
                <w:szCs w:val="18"/>
                <w:u w:val="single"/>
              </w:rPr>
            </w:pPr>
            <w:r w:rsidRPr="006546E0">
              <w:rPr>
                <w:rFonts w:asciiTheme="minorHAnsi" w:hAnsiTheme="minorHAnsi" w:cstheme="minorHAnsi"/>
                <w:b/>
                <w:sz w:val="18"/>
                <w:szCs w:val="18"/>
                <w:u w:val="single"/>
              </w:rPr>
              <w:t>Description</w:t>
            </w:r>
          </w:p>
          <w:p w14:paraId="42E89877" w14:textId="1F235310" w:rsidR="004231C6" w:rsidRPr="006546E0" w:rsidRDefault="000B1455" w:rsidP="0010507D">
            <w:pPr>
              <w:jc w:val="both"/>
              <w:rPr>
                <w:rFonts w:asciiTheme="minorHAnsi" w:hAnsiTheme="minorHAnsi" w:cstheme="minorHAnsi"/>
                <w:sz w:val="18"/>
                <w:szCs w:val="18"/>
              </w:rPr>
            </w:pPr>
            <w:r w:rsidRPr="006546E0">
              <w:rPr>
                <w:rFonts w:asciiTheme="minorHAnsi" w:hAnsiTheme="minorHAnsi" w:cstheme="minorHAnsi"/>
                <w:sz w:val="18"/>
                <w:szCs w:val="18"/>
              </w:rPr>
              <w:t>Le projet s'inscrit dans la stratégie nationale de développement du capital humain agricole portée par la Loi d'Orientation Agricole et la politique foncière agricole du Mali, qui prévoit l'octroi de 15 % des terres aux femmes et aux jeunes. Il combine formation aux techniques agricoles (maraîchage, aviculture, pisciculture, agroécologie, élevage), accompagnement entrepreneurial et remise de kits d'installation pour favoriser l'auto-emploi des jeunes bénéficiaires en milieu rural.</w:t>
            </w:r>
          </w:p>
        </w:tc>
        <w:tc>
          <w:tcPr>
            <w:tcW w:w="1401" w:type="dxa"/>
            <w:tcBorders>
              <w:top w:val="single" w:sz="4" w:space="0" w:color="auto"/>
              <w:bottom w:val="single" w:sz="4" w:space="0" w:color="auto"/>
            </w:tcBorders>
            <w:vAlign w:val="center"/>
          </w:tcPr>
          <w:p w14:paraId="702DF1C8" w14:textId="4D854C9F" w:rsidR="004231C6" w:rsidRPr="006546E0" w:rsidRDefault="004231C6" w:rsidP="0010507D">
            <w:pPr>
              <w:jc w:val="both"/>
              <w:rPr>
                <w:rFonts w:asciiTheme="minorHAnsi" w:hAnsiTheme="minorHAnsi" w:cstheme="minorHAnsi"/>
                <w:sz w:val="18"/>
                <w:szCs w:val="18"/>
              </w:rPr>
            </w:pPr>
            <w:r w:rsidRPr="006546E0">
              <w:rPr>
                <w:rFonts w:asciiTheme="minorHAnsi" w:hAnsiTheme="minorHAnsi" w:cstheme="minorHAnsi"/>
                <w:sz w:val="18"/>
                <w:szCs w:val="18"/>
              </w:rPr>
              <w:t>2024-2033</w:t>
            </w:r>
          </w:p>
        </w:tc>
        <w:tc>
          <w:tcPr>
            <w:tcW w:w="1425" w:type="dxa"/>
            <w:tcBorders>
              <w:top w:val="single" w:sz="4" w:space="0" w:color="auto"/>
              <w:bottom w:val="single" w:sz="4" w:space="0" w:color="auto"/>
            </w:tcBorders>
            <w:vAlign w:val="center"/>
          </w:tcPr>
          <w:p w14:paraId="2DA17CB8" w14:textId="4351BFEB" w:rsidR="004231C6" w:rsidRPr="006546E0" w:rsidRDefault="004231C6" w:rsidP="0010507D">
            <w:pPr>
              <w:jc w:val="both"/>
              <w:rPr>
                <w:rFonts w:asciiTheme="minorHAnsi" w:hAnsiTheme="minorHAnsi" w:cstheme="minorHAnsi"/>
                <w:sz w:val="18"/>
                <w:szCs w:val="18"/>
              </w:rPr>
            </w:pPr>
            <w:r w:rsidRPr="006546E0">
              <w:rPr>
                <w:rFonts w:asciiTheme="minorHAnsi" w:hAnsiTheme="minorHAnsi" w:cstheme="minorHAnsi"/>
                <w:sz w:val="18"/>
                <w:szCs w:val="18"/>
              </w:rPr>
              <w:t>Conception</w:t>
            </w:r>
          </w:p>
        </w:tc>
      </w:tr>
    </w:tbl>
    <w:p w14:paraId="2017DDD4" w14:textId="77777777" w:rsidR="00382328" w:rsidRDefault="00382328" w:rsidP="00382328">
      <w:pPr>
        <w:sectPr w:rsidR="00382328" w:rsidSect="009F57BE">
          <w:pgSz w:w="15840" w:h="12240" w:orient="landscape" w:code="1"/>
          <w:pgMar w:top="1411" w:right="1411" w:bottom="1411" w:left="1411" w:header="706" w:footer="706" w:gutter="0"/>
          <w:cols w:space="708"/>
          <w:docGrid w:linePitch="360"/>
        </w:sectPr>
      </w:pPr>
    </w:p>
    <w:p w14:paraId="4EA5DB44" w14:textId="77777777" w:rsidR="00382328" w:rsidRDefault="00382328" w:rsidP="002C3767">
      <w:pPr>
        <w:pStyle w:val="Titre3"/>
        <w:numPr>
          <w:ilvl w:val="2"/>
          <w:numId w:val="21"/>
        </w:numPr>
      </w:pPr>
      <w:bookmarkStart w:id="94" w:name="_Toc234853888"/>
      <w:r w:rsidRPr="00332D2B">
        <w:lastRenderedPageBreak/>
        <w:t>Besoins de financement et conditionnalité</w:t>
      </w:r>
      <w:bookmarkEnd w:id="94"/>
      <w:r w:rsidRPr="00332D2B">
        <w:t xml:space="preserve"> </w:t>
      </w:r>
    </w:p>
    <w:p w14:paraId="3EB2A9CB" w14:textId="77777777" w:rsidR="00143C27" w:rsidRPr="00143C27" w:rsidRDefault="00143C27" w:rsidP="00143C27">
      <w:pPr>
        <w:pStyle w:val="Lgende"/>
        <w:keepNext/>
        <w:spacing w:after="120" w:line="300" w:lineRule="atLeast"/>
        <w:jc w:val="both"/>
        <w:rPr>
          <w:i w:val="0"/>
          <w:iCs w:val="0"/>
          <w:color w:val="auto"/>
          <w:sz w:val="22"/>
          <w:szCs w:val="22"/>
        </w:rPr>
      </w:pPr>
      <w:r w:rsidRPr="00143C27">
        <w:rPr>
          <w:i w:val="0"/>
          <w:iCs w:val="0"/>
          <w:color w:val="auto"/>
          <w:sz w:val="22"/>
          <w:szCs w:val="22"/>
        </w:rPr>
        <w:t xml:space="preserve">Pour les projets dont les coûts sont actuellement renseignés, le montant total estimé s’élève à environ </w:t>
      </w:r>
      <w:r w:rsidRPr="00143C27">
        <w:rPr>
          <w:b/>
          <w:bCs/>
          <w:i w:val="0"/>
          <w:iCs w:val="0"/>
          <w:color w:val="auto"/>
          <w:sz w:val="22"/>
          <w:szCs w:val="22"/>
        </w:rPr>
        <w:t>555,63 milliards de FCFA</w:t>
      </w:r>
      <w:r w:rsidRPr="00143C27">
        <w:rPr>
          <w:i w:val="0"/>
          <w:iCs w:val="0"/>
          <w:color w:val="auto"/>
          <w:sz w:val="22"/>
          <w:szCs w:val="22"/>
        </w:rPr>
        <w:t>, incluant les projets évalués en dollars américains convertis en FCFA. Parmi les investissements les plus importants figurent notamment le Programme de Promotion des Pôles de Développement Agricole, estimé à 160 milliards de FCFA, le Programme de développement de la culture du maïs dans les bassins de production au Mali avec 100,755 milliards de FCFA, ainsi que le Projet de formation qualifiante des jeunes ruraux doté d’un budget de 100 milliards de FCFA.</w:t>
      </w:r>
    </w:p>
    <w:p w14:paraId="6728A710" w14:textId="77777777" w:rsidR="00143C27" w:rsidRPr="00143C27" w:rsidRDefault="00143C27" w:rsidP="00143C27">
      <w:pPr>
        <w:pStyle w:val="Lgende"/>
        <w:keepNext/>
        <w:spacing w:after="120" w:line="300" w:lineRule="atLeast"/>
        <w:jc w:val="both"/>
        <w:rPr>
          <w:i w:val="0"/>
          <w:iCs w:val="0"/>
          <w:color w:val="auto"/>
          <w:sz w:val="22"/>
          <w:szCs w:val="22"/>
        </w:rPr>
      </w:pPr>
      <w:r w:rsidRPr="00143C27">
        <w:rPr>
          <w:i w:val="0"/>
          <w:iCs w:val="0"/>
          <w:color w:val="auto"/>
          <w:sz w:val="22"/>
          <w:szCs w:val="22"/>
        </w:rPr>
        <w:t>En termes de financement, certains projets disposent déjà de partenaires identifiés, notamment la Banque mondiale, la GIZ ou des financements publics et internationaux, tandis que plusieurs autres restent conditionnels à la mobilisation effective des ressources nécessaires. Par ailleurs, certaines informations relatives aux sources de financement ou à la conditionnalité demeurent encore à préciser pour plusieurs projets.</w:t>
      </w:r>
    </w:p>
    <w:p w14:paraId="122D2B35" w14:textId="38BDC215" w:rsidR="00382328" w:rsidRPr="00A04700" w:rsidRDefault="00382328" w:rsidP="00382328">
      <w:pPr>
        <w:pStyle w:val="Lgende"/>
        <w:keepNext/>
        <w:spacing w:after="0"/>
        <w:rPr>
          <w:sz w:val="22"/>
          <w:szCs w:val="22"/>
        </w:rPr>
      </w:pPr>
      <w:bookmarkStart w:id="95" w:name="_Toc234853961"/>
      <w:r w:rsidRPr="00BB7517">
        <w:rPr>
          <w:sz w:val="22"/>
          <w:szCs w:val="22"/>
        </w:rPr>
        <w:t xml:space="preserve">Tableau </w:t>
      </w:r>
      <w:r w:rsidRPr="00BB7517">
        <w:rPr>
          <w:sz w:val="22"/>
          <w:szCs w:val="22"/>
        </w:rPr>
        <w:fldChar w:fldCharType="begin"/>
      </w:r>
      <w:r w:rsidRPr="00BB7517">
        <w:rPr>
          <w:sz w:val="22"/>
          <w:szCs w:val="22"/>
        </w:rPr>
        <w:instrText xml:space="preserve"> SEQ Tableau \* ARABIC </w:instrText>
      </w:r>
      <w:r w:rsidRPr="00BB7517">
        <w:rPr>
          <w:sz w:val="22"/>
          <w:szCs w:val="22"/>
        </w:rPr>
        <w:fldChar w:fldCharType="separate"/>
      </w:r>
      <w:r w:rsidR="0018772E">
        <w:rPr>
          <w:noProof/>
          <w:sz w:val="22"/>
          <w:szCs w:val="22"/>
        </w:rPr>
        <w:t>37</w:t>
      </w:r>
      <w:r w:rsidRPr="00BB7517">
        <w:rPr>
          <w:sz w:val="22"/>
          <w:szCs w:val="22"/>
        </w:rPr>
        <w:fldChar w:fldCharType="end"/>
      </w:r>
      <w:r w:rsidRPr="00BB7517">
        <w:rPr>
          <w:sz w:val="22"/>
          <w:szCs w:val="22"/>
        </w:rPr>
        <w:t> :</w:t>
      </w:r>
      <w:r w:rsidRPr="00783E23">
        <w:t xml:space="preserve"> </w:t>
      </w:r>
      <w:r>
        <w:rPr>
          <w:sz w:val="22"/>
          <w:szCs w:val="22"/>
        </w:rPr>
        <w:t>Financement des projets d’adaptation</w:t>
      </w:r>
      <w:r w:rsidRPr="00783E23">
        <w:rPr>
          <w:sz w:val="22"/>
          <w:szCs w:val="22"/>
        </w:rPr>
        <w:t xml:space="preserve"> </w:t>
      </w:r>
      <w:r>
        <w:rPr>
          <w:sz w:val="22"/>
          <w:szCs w:val="22"/>
        </w:rPr>
        <w:t xml:space="preserve">du secteur </w:t>
      </w:r>
      <w:r w:rsidR="00360A54">
        <w:rPr>
          <w:sz w:val="22"/>
          <w:szCs w:val="22"/>
        </w:rPr>
        <w:t>de l’agricu</w:t>
      </w:r>
      <w:r w:rsidR="003C00FB">
        <w:rPr>
          <w:sz w:val="22"/>
          <w:szCs w:val="22"/>
        </w:rPr>
        <w:t>lture</w:t>
      </w:r>
      <w:r w:rsidRPr="00783E23">
        <w:rPr>
          <w:sz w:val="22"/>
          <w:szCs w:val="22"/>
        </w:rPr>
        <w:t xml:space="preserve"> dans le cadre de la CDN 3</w:t>
      </w:r>
      <w:r>
        <w:rPr>
          <w:sz w:val="22"/>
          <w:szCs w:val="22"/>
        </w:rPr>
        <w:t xml:space="preserve"> </w:t>
      </w:r>
      <w:r w:rsidRPr="00783E23">
        <w:rPr>
          <w:sz w:val="22"/>
          <w:szCs w:val="22"/>
        </w:rPr>
        <w:t>0</w:t>
      </w:r>
      <w:bookmarkEnd w:id="95"/>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3312"/>
        <w:gridCol w:w="2025"/>
        <w:gridCol w:w="1717"/>
        <w:gridCol w:w="1877"/>
      </w:tblGrid>
      <w:tr w:rsidR="00BE17FF" w:rsidRPr="009D54A4" w14:paraId="12525C49" w14:textId="77777777" w:rsidTr="009D54A4">
        <w:trPr>
          <w:trHeight w:val="680"/>
          <w:tblHeader/>
        </w:trPr>
        <w:tc>
          <w:tcPr>
            <w:tcW w:w="4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9DF5BA1" w14:textId="77777777" w:rsidR="00BE17FF" w:rsidRPr="009D54A4" w:rsidRDefault="00BE17FF" w:rsidP="0010507D">
            <w:pPr>
              <w:jc w:val="center"/>
              <w:rPr>
                <w:b/>
                <w:color w:val="FFFFFF" w:themeColor="background1"/>
                <w:sz w:val="20"/>
                <w:szCs w:val="20"/>
              </w:rPr>
            </w:pPr>
            <w:r w:rsidRPr="009D54A4">
              <w:rPr>
                <w:b/>
                <w:color w:val="FFFFFF" w:themeColor="background1"/>
                <w:sz w:val="20"/>
                <w:szCs w:val="20"/>
              </w:rPr>
              <w:t>N°</w:t>
            </w:r>
          </w:p>
        </w:tc>
        <w:tc>
          <w:tcPr>
            <w:tcW w:w="33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38CB255A" w14:textId="77777777" w:rsidR="00BE17FF" w:rsidRPr="009D54A4" w:rsidRDefault="00BE17FF" w:rsidP="0010507D">
            <w:pPr>
              <w:jc w:val="center"/>
              <w:rPr>
                <w:b/>
                <w:color w:val="FFFFFF" w:themeColor="background1"/>
                <w:sz w:val="20"/>
                <w:szCs w:val="20"/>
              </w:rPr>
            </w:pPr>
            <w:r w:rsidRPr="009D54A4">
              <w:rPr>
                <w:b/>
                <w:color w:val="FFFFFF" w:themeColor="background1"/>
                <w:sz w:val="20"/>
                <w:szCs w:val="20"/>
              </w:rPr>
              <w:t>Projets</w:t>
            </w:r>
          </w:p>
        </w:tc>
        <w:tc>
          <w:tcPr>
            <w:tcW w:w="2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464BCD1" w14:textId="3E7CA7FB" w:rsidR="00BE17FF" w:rsidRPr="009D54A4" w:rsidRDefault="00BE17FF" w:rsidP="0010507D">
            <w:pPr>
              <w:jc w:val="center"/>
              <w:rPr>
                <w:b/>
                <w:color w:val="FFFFFF" w:themeColor="background1"/>
                <w:sz w:val="20"/>
                <w:szCs w:val="20"/>
              </w:rPr>
            </w:pPr>
            <w:r w:rsidRPr="009D54A4">
              <w:rPr>
                <w:b/>
                <w:color w:val="FFFFFF" w:themeColor="background1"/>
                <w:sz w:val="20"/>
                <w:szCs w:val="20"/>
              </w:rPr>
              <w:t>Coût</w:t>
            </w:r>
          </w:p>
        </w:tc>
        <w:tc>
          <w:tcPr>
            <w:tcW w:w="17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07AC96F0" w14:textId="4F45295D" w:rsidR="00BE17FF" w:rsidRPr="009D54A4" w:rsidRDefault="00BE17FF" w:rsidP="0010507D">
            <w:pPr>
              <w:jc w:val="center"/>
              <w:rPr>
                <w:b/>
                <w:color w:val="FFFFFF" w:themeColor="background1"/>
                <w:sz w:val="20"/>
                <w:szCs w:val="20"/>
              </w:rPr>
            </w:pPr>
            <w:r w:rsidRPr="009D54A4">
              <w:rPr>
                <w:b/>
                <w:color w:val="FFFFFF" w:themeColor="background1"/>
                <w:sz w:val="20"/>
                <w:szCs w:val="20"/>
              </w:rPr>
              <w:t>Source de financement</w:t>
            </w:r>
          </w:p>
        </w:tc>
        <w:tc>
          <w:tcPr>
            <w:tcW w:w="18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03273614" w14:textId="77777777" w:rsidR="00BE17FF" w:rsidRPr="009D54A4" w:rsidRDefault="00BE17FF" w:rsidP="0010507D">
            <w:pPr>
              <w:jc w:val="center"/>
              <w:rPr>
                <w:b/>
                <w:color w:val="FFFFFF" w:themeColor="background1"/>
                <w:sz w:val="20"/>
                <w:szCs w:val="20"/>
              </w:rPr>
            </w:pPr>
            <w:r w:rsidRPr="009D54A4">
              <w:rPr>
                <w:b/>
                <w:color w:val="FFFFFF" w:themeColor="background1"/>
                <w:sz w:val="20"/>
                <w:szCs w:val="20"/>
              </w:rPr>
              <w:t>Conditionnalité</w:t>
            </w:r>
          </w:p>
        </w:tc>
      </w:tr>
      <w:tr w:rsidR="00386975" w:rsidRPr="009D54A4" w14:paraId="36298904" w14:textId="77777777" w:rsidTr="0010507D">
        <w:tc>
          <w:tcPr>
            <w:tcW w:w="440" w:type="dxa"/>
            <w:tcBorders>
              <w:top w:val="single" w:sz="4" w:space="0" w:color="FFFFFF" w:themeColor="background1"/>
            </w:tcBorders>
            <w:vAlign w:val="center"/>
          </w:tcPr>
          <w:p w14:paraId="7CAB06C7" w14:textId="77777777" w:rsidR="00C821FC" w:rsidRPr="009D54A4" w:rsidRDefault="00C821FC" w:rsidP="0010507D">
            <w:pPr>
              <w:rPr>
                <w:b/>
                <w:sz w:val="20"/>
                <w:szCs w:val="20"/>
              </w:rPr>
            </w:pPr>
            <w:r w:rsidRPr="009D54A4">
              <w:rPr>
                <w:b/>
                <w:sz w:val="20"/>
                <w:szCs w:val="20"/>
              </w:rPr>
              <w:t>1</w:t>
            </w:r>
          </w:p>
        </w:tc>
        <w:tc>
          <w:tcPr>
            <w:tcW w:w="3312" w:type="dxa"/>
            <w:tcBorders>
              <w:top w:val="single" w:sz="4" w:space="0" w:color="FFFFFF" w:themeColor="background1"/>
            </w:tcBorders>
            <w:vAlign w:val="center"/>
          </w:tcPr>
          <w:p w14:paraId="48300238" w14:textId="0583DD98" w:rsidR="00C821FC" w:rsidRPr="009D54A4" w:rsidRDefault="00C821FC" w:rsidP="0010507D">
            <w:pPr>
              <w:jc w:val="both"/>
              <w:rPr>
                <w:sz w:val="20"/>
                <w:szCs w:val="20"/>
              </w:rPr>
            </w:pPr>
            <w:r w:rsidRPr="009D54A4">
              <w:rPr>
                <w:rFonts w:asciiTheme="minorHAnsi" w:hAnsiTheme="minorHAnsi" w:cstheme="minorHAnsi"/>
                <w:sz w:val="20"/>
                <w:szCs w:val="20"/>
              </w:rPr>
              <w:t xml:space="preserve">Paysages Résilients, Productifs et Durables (PRPD). </w:t>
            </w:r>
          </w:p>
        </w:tc>
        <w:tc>
          <w:tcPr>
            <w:tcW w:w="2025" w:type="dxa"/>
            <w:tcBorders>
              <w:top w:val="single" w:sz="4" w:space="0" w:color="FFFFFF" w:themeColor="background1"/>
            </w:tcBorders>
            <w:vAlign w:val="center"/>
          </w:tcPr>
          <w:p w14:paraId="74D1F6FB" w14:textId="482F57C9" w:rsidR="00C821FC" w:rsidRPr="009D54A4" w:rsidRDefault="00750635" w:rsidP="0010507D">
            <w:pPr>
              <w:jc w:val="both"/>
              <w:rPr>
                <w:sz w:val="20"/>
                <w:szCs w:val="20"/>
              </w:rPr>
            </w:pPr>
            <w:r w:rsidRPr="009D54A4">
              <w:rPr>
                <w:sz w:val="20"/>
                <w:szCs w:val="20"/>
              </w:rPr>
              <w:t>34,7 millions USD</w:t>
            </w:r>
            <w:r w:rsidR="00664505" w:rsidRPr="009D54A4">
              <w:rPr>
                <w:sz w:val="20"/>
                <w:szCs w:val="20"/>
              </w:rPr>
              <w:t xml:space="preserve"> (</w:t>
            </w:r>
            <w:r w:rsidR="002C4A85" w:rsidRPr="009D54A4">
              <w:rPr>
                <w:sz w:val="20"/>
                <w:szCs w:val="20"/>
              </w:rPr>
              <w:t>19,61 milliards de FCFA)</w:t>
            </w:r>
          </w:p>
        </w:tc>
        <w:tc>
          <w:tcPr>
            <w:tcW w:w="1717" w:type="dxa"/>
            <w:tcBorders>
              <w:top w:val="single" w:sz="4" w:space="0" w:color="FFFFFF" w:themeColor="background1"/>
            </w:tcBorders>
            <w:vAlign w:val="center"/>
          </w:tcPr>
          <w:p w14:paraId="35FCF6D1" w14:textId="13AA3B28" w:rsidR="00C821FC" w:rsidRPr="009D54A4" w:rsidRDefault="00750635" w:rsidP="0010507D">
            <w:pPr>
              <w:jc w:val="both"/>
              <w:rPr>
                <w:sz w:val="20"/>
                <w:szCs w:val="20"/>
              </w:rPr>
            </w:pPr>
            <w:r w:rsidRPr="009D54A4">
              <w:rPr>
                <w:sz w:val="20"/>
                <w:szCs w:val="20"/>
              </w:rPr>
              <w:t>Public + international</w:t>
            </w:r>
          </w:p>
        </w:tc>
        <w:tc>
          <w:tcPr>
            <w:tcW w:w="1877" w:type="dxa"/>
            <w:tcBorders>
              <w:top w:val="single" w:sz="4" w:space="0" w:color="FFFFFF" w:themeColor="background1"/>
            </w:tcBorders>
            <w:vAlign w:val="center"/>
          </w:tcPr>
          <w:p w14:paraId="44957EAD" w14:textId="5F250FBE" w:rsidR="00C821FC" w:rsidRPr="009D54A4" w:rsidRDefault="00D42141" w:rsidP="0010507D">
            <w:pPr>
              <w:jc w:val="both"/>
              <w:rPr>
                <w:sz w:val="20"/>
                <w:szCs w:val="20"/>
                <w:highlight w:val="yellow"/>
              </w:rPr>
            </w:pPr>
            <w:r w:rsidRPr="009D54A4">
              <w:rPr>
                <w:sz w:val="20"/>
                <w:szCs w:val="20"/>
              </w:rPr>
              <w:t>C</w:t>
            </w:r>
            <w:r w:rsidR="00C821FC" w:rsidRPr="009D54A4">
              <w:rPr>
                <w:sz w:val="20"/>
                <w:szCs w:val="20"/>
              </w:rPr>
              <w:t>onditionnel</w:t>
            </w:r>
          </w:p>
        </w:tc>
      </w:tr>
      <w:tr w:rsidR="00C821FC" w:rsidRPr="009D54A4" w14:paraId="00ADBD9C" w14:textId="77777777" w:rsidTr="0010507D">
        <w:tc>
          <w:tcPr>
            <w:tcW w:w="440" w:type="dxa"/>
            <w:vAlign w:val="center"/>
          </w:tcPr>
          <w:p w14:paraId="727A33F2" w14:textId="77777777" w:rsidR="00C821FC" w:rsidRPr="009D54A4" w:rsidRDefault="00C821FC" w:rsidP="0010507D">
            <w:pPr>
              <w:rPr>
                <w:b/>
                <w:sz w:val="20"/>
                <w:szCs w:val="20"/>
              </w:rPr>
            </w:pPr>
            <w:r w:rsidRPr="009D54A4">
              <w:rPr>
                <w:b/>
                <w:sz w:val="20"/>
                <w:szCs w:val="20"/>
              </w:rPr>
              <w:t>2</w:t>
            </w:r>
          </w:p>
        </w:tc>
        <w:tc>
          <w:tcPr>
            <w:tcW w:w="3312" w:type="dxa"/>
            <w:vAlign w:val="center"/>
          </w:tcPr>
          <w:p w14:paraId="5527AE6B" w14:textId="4C28FD39" w:rsidR="00C821FC" w:rsidRPr="009D54A4" w:rsidRDefault="00C821FC" w:rsidP="0010507D">
            <w:pPr>
              <w:jc w:val="both"/>
              <w:rPr>
                <w:sz w:val="20"/>
                <w:szCs w:val="20"/>
              </w:rPr>
            </w:pPr>
            <w:r w:rsidRPr="009D54A4">
              <w:rPr>
                <w:rFonts w:asciiTheme="minorHAnsi" w:hAnsiTheme="minorHAnsi" w:cstheme="minorHAnsi"/>
                <w:sz w:val="20"/>
                <w:szCs w:val="20"/>
              </w:rPr>
              <w:t xml:space="preserve">Projet Régional d'Appui au Pastoralisme au Sahel (PRAPS) – Phase II. </w:t>
            </w:r>
          </w:p>
        </w:tc>
        <w:tc>
          <w:tcPr>
            <w:tcW w:w="2025" w:type="dxa"/>
            <w:vAlign w:val="center"/>
          </w:tcPr>
          <w:p w14:paraId="6E5B2119" w14:textId="31ADD736" w:rsidR="00C821FC" w:rsidRPr="009D54A4" w:rsidRDefault="00E22259" w:rsidP="0010507D">
            <w:pPr>
              <w:jc w:val="both"/>
              <w:rPr>
                <w:rFonts w:hAnsiTheme="minorHAnsi" w:cstheme="minorHAnsi"/>
                <w:sz w:val="20"/>
                <w:szCs w:val="20"/>
              </w:rPr>
            </w:pPr>
            <w:r w:rsidRPr="009D54A4">
              <w:rPr>
                <w:rFonts w:hAnsiTheme="minorHAnsi" w:cstheme="minorHAnsi"/>
                <w:sz w:val="20"/>
                <w:szCs w:val="20"/>
              </w:rPr>
              <w:t>60 millions USD</w:t>
            </w:r>
            <w:r w:rsidR="002C4A85" w:rsidRPr="009D54A4">
              <w:rPr>
                <w:rFonts w:hAnsiTheme="minorHAnsi" w:cstheme="minorHAnsi"/>
                <w:sz w:val="20"/>
                <w:szCs w:val="20"/>
              </w:rPr>
              <w:t xml:space="preserve"> (</w:t>
            </w:r>
            <w:r w:rsidR="008359A0" w:rsidRPr="009D54A4">
              <w:rPr>
                <w:rFonts w:hAnsiTheme="minorHAnsi" w:cstheme="minorHAnsi"/>
                <w:sz w:val="20"/>
                <w:szCs w:val="20"/>
              </w:rPr>
              <w:t>33,90 milliards de FCFA)</w:t>
            </w:r>
          </w:p>
        </w:tc>
        <w:tc>
          <w:tcPr>
            <w:tcW w:w="1717" w:type="dxa"/>
            <w:vAlign w:val="center"/>
          </w:tcPr>
          <w:p w14:paraId="3911C14E" w14:textId="329350DE" w:rsidR="00C821FC" w:rsidRPr="009D54A4" w:rsidRDefault="0093304A" w:rsidP="0010507D">
            <w:pPr>
              <w:jc w:val="both"/>
              <w:rPr>
                <w:sz w:val="20"/>
                <w:szCs w:val="20"/>
                <w:highlight w:val="yellow"/>
              </w:rPr>
            </w:pPr>
            <w:r w:rsidRPr="009D54A4">
              <w:rPr>
                <w:sz w:val="20"/>
                <w:szCs w:val="20"/>
              </w:rPr>
              <w:t>Banque Mondiale et Gouvernement du Mali</w:t>
            </w:r>
          </w:p>
        </w:tc>
        <w:tc>
          <w:tcPr>
            <w:tcW w:w="1877" w:type="dxa"/>
            <w:vAlign w:val="center"/>
          </w:tcPr>
          <w:p w14:paraId="7931A5AC" w14:textId="72E1D3CA" w:rsidR="00C821FC" w:rsidRPr="009D54A4" w:rsidRDefault="00460491" w:rsidP="0010507D">
            <w:pPr>
              <w:jc w:val="both"/>
              <w:rPr>
                <w:sz w:val="20"/>
                <w:szCs w:val="20"/>
                <w:highlight w:val="yellow"/>
              </w:rPr>
            </w:pPr>
            <w:r w:rsidRPr="009D54A4">
              <w:rPr>
                <w:rFonts w:hAnsiTheme="minorHAnsi" w:cstheme="minorHAnsi"/>
                <w:sz w:val="20"/>
                <w:szCs w:val="20"/>
              </w:rPr>
              <w:t>ND</w:t>
            </w:r>
          </w:p>
        </w:tc>
      </w:tr>
      <w:tr w:rsidR="00460491" w:rsidRPr="009D54A4" w14:paraId="56EEE1AF" w14:textId="77777777" w:rsidTr="0010507D">
        <w:tc>
          <w:tcPr>
            <w:tcW w:w="440" w:type="dxa"/>
            <w:vAlign w:val="center"/>
          </w:tcPr>
          <w:p w14:paraId="244FC28B" w14:textId="77777777" w:rsidR="00460491" w:rsidRPr="009D54A4" w:rsidRDefault="00460491" w:rsidP="0010507D">
            <w:pPr>
              <w:rPr>
                <w:b/>
                <w:sz w:val="20"/>
                <w:szCs w:val="20"/>
              </w:rPr>
            </w:pPr>
            <w:r w:rsidRPr="009D54A4">
              <w:rPr>
                <w:b/>
                <w:sz w:val="20"/>
                <w:szCs w:val="20"/>
              </w:rPr>
              <w:t>3</w:t>
            </w:r>
          </w:p>
        </w:tc>
        <w:tc>
          <w:tcPr>
            <w:tcW w:w="3312" w:type="dxa"/>
            <w:vAlign w:val="center"/>
          </w:tcPr>
          <w:p w14:paraId="22E7232B" w14:textId="73D301B5" w:rsidR="00460491" w:rsidRPr="009D54A4" w:rsidRDefault="00460491" w:rsidP="0010507D">
            <w:pPr>
              <w:jc w:val="both"/>
              <w:rPr>
                <w:sz w:val="20"/>
                <w:szCs w:val="20"/>
              </w:rPr>
            </w:pPr>
            <w:r w:rsidRPr="009D54A4">
              <w:rPr>
                <w:rFonts w:asciiTheme="minorHAnsi" w:hAnsiTheme="minorHAnsi" w:cstheme="minorHAnsi"/>
                <w:sz w:val="20"/>
                <w:szCs w:val="20"/>
              </w:rPr>
              <w:t>Programme National de Mise à l'échelle du Système de riziculture Intensif (PN-SRI) au Mali.</w:t>
            </w:r>
          </w:p>
        </w:tc>
        <w:tc>
          <w:tcPr>
            <w:tcW w:w="2025" w:type="dxa"/>
            <w:vAlign w:val="center"/>
          </w:tcPr>
          <w:p w14:paraId="183CF157" w14:textId="3B897617" w:rsidR="00460491" w:rsidRPr="009D54A4" w:rsidRDefault="00460491" w:rsidP="0010507D">
            <w:pPr>
              <w:jc w:val="both"/>
              <w:rPr>
                <w:rFonts w:eastAsia="Times New Roman"/>
                <w:b/>
                <w:color w:val="000000"/>
                <w:sz w:val="20"/>
                <w:szCs w:val="20"/>
                <w:lang w:eastAsia="fr-FR"/>
              </w:rPr>
            </w:pPr>
            <w:r w:rsidRPr="009D54A4">
              <w:rPr>
                <w:sz w:val="20"/>
                <w:szCs w:val="20"/>
              </w:rPr>
              <w:t>14</w:t>
            </w:r>
            <w:r w:rsidR="006174D0" w:rsidRPr="009D54A4">
              <w:rPr>
                <w:sz w:val="20"/>
                <w:szCs w:val="20"/>
              </w:rPr>
              <w:t>,</w:t>
            </w:r>
            <w:r w:rsidRPr="009D54A4">
              <w:rPr>
                <w:sz w:val="20"/>
                <w:szCs w:val="20"/>
              </w:rPr>
              <w:t>112 millions de FCFA</w:t>
            </w:r>
          </w:p>
        </w:tc>
        <w:tc>
          <w:tcPr>
            <w:tcW w:w="1717" w:type="dxa"/>
            <w:vAlign w:val="center"/>
          </w:tcPr>
          <w:p w14:paraId="75036816" w14:textId="1C393CD5" w:rsidR="00460491" w:rsidRPr="009D54A4" w:rsidRDefault="00460491" w:rsidP="0010507D">
            <w:pPr>
              <w:jc w:val="both"/>
              <w:rPr>
                <w:sz w:val="20"/>
                <w:szCs w:val="20"/>
              </w:rPr>
            </w:pPr>
            <w:r w:rsidRPr="009D54A4">
              <w:rPr>
                <w:rFonts w:hAnsiTheme="minorHAnsi" w:cstheme="minorHAnsi"/>
                <w:sz w:val="20"/>
                <w:szCs w:val="20"/>
              </w:rPr>
              <w:t>ND</w:t>
            </w:r>
          </w:p>
        </w:tc>
        <w:tc>
          <w:tcPr>
            <w:tcW w:w="1877" w:type="dxa"/>
            <w:vAlign w:val="center"/>
          </w:tcPr>
          <w:p w14:paraId="1EBD1582" w14:textId="77777777" w:rsidR="00460491" w:rsidRPr="009D54A4" w:rsidRDefault="00460491" w:rsidP="0010507D">
            <w:pPr>
              <w:jc w:val="both"/>
              <w:rPr>
                <w:sz w:val="20"/>
                <w:szCs w:val="20"/>
              </w:rPr>
            </w:pPr>
            <w:r w:rsidRPr="009D54A4">
              <w:rPr>
                <w:sz w:val="20"/>
                <w:szCs w:val="20"/>
              </w:rPr>
              <w:t>Inconditionnel</w:t>
            </w:r>
          </w:p>
        </w:tc>
      </w:tr>
      <w:tr w:rsidR="00460491" w:rsidRPr="009D54A4" w14:paraId="6DDFB5E4" w14:textId="77777777" w:rsidTr="0010507D">
        <w:tc>
          <w:tcPr>
            <w:tcW w:w="440" w:type="dxa"/>
            <w:vAlign w:val="center"/>
          </w:tcPr>
          <w:p w14:paraId="2554DF07" w14:textId="77777777" w:rsidR="00460491" w:rsidRPr="009D54A4" w:rsidRDefault="00460491" w:rsidP="0010507D">
            <w:pPr>
              <w:rPr>
                <w:b/>
                <w:sz w:val="20"/>
                <w:szCs w:val="20"/>
              </w:rPr>
            </w:pPr>
            <w:r w:rsidRPr="009D54A4">
              <w:rPr>
                <w:b/>
                <w:sz w:val="20"/>
                <w:szCs w:val="20"/>
              </w:rPr>
              <w:t>4</w:t>
            </w:r>
          </w:p>
        </w:tc>
        <w:tc>
          <w:tcPr>
            <w:tcW w:w="3312" w:type="dxa"/>
            <w:vAlign w:val="center"/>
          </w:tcPr>
          <w:p w14:paraId="43FCCAF6" w14:textId="605DE7A6" w:rsidR="00460491" w:rsidRPr="009D54A4" w:rsidRDefault="00460491" w:rsidP="0010507D">
            <w:pPr>
              <w:jc w:val="both"/>
              <w:rPr>
                <w:sz w:val="20"/>
                <w:szCs w:val="20"/>
              </w:rPr>
            </w:pPr>
            <w:r w:rsidRPr="009D54A4">
              <w:rPr>
                <w:rFonts w:asciiTheme="minorHAnsi" w:hAnsiTheme="minorHAnsi" w:cstheme="minorHAnsi"/>
                <w:sz w:val="20"/>
                <w:szCs w:val="20"/>
              </w:rPr>
              <w:t>Programme Promotion de la Production et de la productivité de l'Agriculture Durable au Mali.</w:t>
            </w:r>
          </w:p>
        </w:tc>
        <w:tc>
          <w:tcPr>
            <w:tcW w:w="2025" w:type="dxa"/>
            <w:vAlign w:val="center"/>
          </w:tcPr>
          <w:p w14:paraId="54031AC7" w14:textId="14D980FC" w:rsidR="00460491" w:rsidRPr="009D54A4" w:rsidRDefault="00460491" w:rsidP="0010507D">
            <w:pPr>
              <w:jc w:val="both"/>
              <w:rPr>
                <w:rFonts w:eastAsia="Times New Roman"/>
                <w:b/>
                <w:color w:val="000000"/>
                <w:sz w:val="20"/>
                <w:szCs w:val="20"/>
                <w:lang w:eastAsia="fr-FR"/>
              </w:rPr>
            </w:pPr>
            <w:r w:rsidRPr="009D54A4">
              <w:rPr>
                <w:sz w:val="20"/>
                <w:szCs w:val="20"/>
              </w:rPr>
              <w:t>26</w:t>
            </w:r>
            <w:r w:rsidR="00CA0700" w:rsidRPr="009D54A4">
              <w:rPr>
                <w:sz w:val="20"/>
                <w:szCs w:val="20"/>
              </w:rPr>
              <w:t>,</w:t>
            </w:r>
            <w:r w:rsidRPr="009D54A4">
              <w:rPr>
                <w:sz w:val="20"/>
                <w:szCs w:val="20"/>
              </w:rPr>
              <w:t>981 millions de FCFA</w:t>
            </w:r>
          </w:p>
        </w:tc>
        <w:tc>
          <w:tcPr>
            <w:tcW w:w="1717" w:type="dxa"/>
            <w:vAlign w:val="center"/>
          </w:tcPr>
          <w:p w14:paraId="16273536" w14:textId="49779532" w:rsidR="00460491" w:rsidRPr="009D54A4" w:rsidRDefault="00460491" w:rsidP="0010507D">
            <w:pPr>
              <w:jc w:val="both"/>
              <w:rPr>
                <w:sz w:val="20"/>
                <w:szCs w:val="20"/>
                <w:highlight w:val="yellow"/>
              </w:rPr>
            </w:pPr>
            <w:r w:rsidRPr="009D54A4">
              <w:rPr>
                <w:rFonts w:hAnsiTheme="minorHAnsi" w:cstheme="minorHAnsi"/>
                <w:sz w:val="20"/>
                <w:szCs w:val="20"/>
              </w:rPr>
              <w:t>ND</w:t>
            </w:r>
          </w:p>
        </w:tc>
        <w:tc>
          <w:tcPr>
            <w:tcW w:w="1877" w:type="dxa"/>
            <w:vAlign w:val="center"/>
          </w:tcPr>
          <w:p w14:paraId="79312830" w14:textId="4E1FDC73" w:rsidR="00460491" w:rsidRPr="009D54A4" w:rsidRDefault="00460491" w:rsidP="0010507D">
            <w:pPr>
              <w:jc w:val="both"/>
              <w:rPr>
                <w:sz w:val="20"/>
                <w:szCs w:val="20"/>
                <w:highlight w:val="yellow"/>
              </w:rPr>
            </w:pPr>
            <w:r w:rsidRPr="009D54A4">
              <w:rPr>
                <w:sz w:val="20"/>
                <w:szCs w:val="20"/>
              </w:rPr>
              <w:t>Conditionnel</w:t>
            </w:r>
          </w:p>
        </w:tc>
      </w:tr>
      <w:tr w:rsidR="00460491" w:rsidRPr="009D54A4" w14:paraId="6E063BEC" w14:textId="77777777" w:rsidTr="0010507D">
        <w:tc>
          <w:tcPr>
            <w:tcW w:w="440" w:type="dxa"/>
            <w:vAlign w:val="center"/>
          </w:tcPr>
          <w:p w14:paraId="17FF40C4" w14:textId="11CCEB75" w:rsidR="00460491" w:rsidRPr="009D54A4" w:rsidRDefault="004655DA" w:rsidP="0010507D">
            <w:pPr>
              <w:rPr>
                <w:b/>
                <w:sz w:val="20"/>
                <w:szCs w:val="20"/>
              </w:rPr>
            </w:pPr>
            <w:r w:rsidRPr="009D54A4">
              <w:rPr>
                <w:b/>
                <w:sz w:val="20"/>
                <w:szCs w:val="20"/>
              </w:rPr>
              <w:t>5</w:t>
            </w:r>
          </w:p>
        </w:tc>
        <w:tc>
          <w:tcPr>
            <w:tcW w:w="3312" w:type="dxa"/>
            <w:vAlign w:val="center"/>
          </w:tcPr>
          <w:p w14:paraId="36646FC0" w14:textId="7C44D1AC" w:rsidR="00460491" w:rsidRPr="009D54A4" w:rsidRDefault="00460491" w:rsidP="0010507D">
            <w:pPr>
              <w:jc w:val="both"/>
              <w:rPr>
                <w:sz w:val="20"/>
                <w:szCs w:val="20"/>
              </w:rPr>
            </w:pPr>
            <w:r w:rsidRPr="009D54A4">
              <w:rPr>
                <w:rFonts w:asciiTheme="minorHAnsi" w:hAnsiTheme="minorHAnsi" w:cstheme="minorHAnsi"/>
                <w:sz w:val="20"/>
                <w:szCs w:val="20"/>
              </w:rPr>
              <w:t>Projet de Réalisation de périmètres maraîchers par le système des murets dans les régions et le District de Bamako.</w:t>
            </w:r>
          </w:p>
        </w:tc>
        <w:tc>
          <w:tcPr>
            <w:tcW w:w="2025" w:type="dxa"/>
            <w:vAlign w:val="center"/>
          </w:tcPr>
          <w:p w14:paraId="461FFCB4" w14:textId="709BFCB6" w:rsidR="00460491" w:rsidRPr="009D54A4" w:rsidRDefault="00460491" w:rsidP="0010507D">
            <w:pPr>
              <w:jc w:val="both"/>
              <w:rPr>
                <w:rFonts w:eastAsia="Times New Roman"/>
                <w:b/>
                <w:color w:val="000000"/>
                <w:sz w:val="20"/>
                <w:szCs w:val="20"/>
                <w:lang w:eastAsia="fr-FR"/>
              </w:rPr>
            </w:pPr>
            <w:r w:rsidRPr="009D54A4">
              <w:rPr>
                <w:sz w:val="20"/>
                <w:szCs w:val="20"/>
              </w:rPr>
              <w:t>7 mi</w:t>
            </w:r>
            <w:r w:rsidR="00CA0700" w:rsidRPr="009D54A4">
              <w:rPr>
                <w:sz w:val="20"/>
                <w:szCs w:val="20"/>
              </w:rPr>
              <w:t>lliards</w:t>
            </w:r>
            <w:r w:rsidRPr="009D54A4">
              <w:rPr>
                <w:sz w:val="20"/>
                <w:szCs w:val="20"/>
              </w:rPr>
              <w:t xml:space="preserve"> de FCFA</w:t>
            </w:r>
          </w:p>
        </w:tc>
        <w:tc>
          <w:tcPr>
            <w:tcW w:w="1717" w:type="dxa"/>
            <w:vAlign w:val="center"/>
          </w:tcPr>
          <w:p w14:paraId="542E6B11" w14:textId="5E0D1E26" w:rsidR="00460491" w:rsidRPr="009D54A4" w:rsidRDefault="00460491" w:rsidP="0010507D">
            <w:pPr>
              <w:jc w:val="both"/>
              <w:rPr>
                <w:sz w:val="20"/>
                <w:szCs w:val="20"/>
                <w:highlight w:val="yellow"/>
              </w:rPr>
            </w:pPr>
            <w:r w:rsidRPr="009D54A4">
              <w:rPr>
                <w:rFonts w:hAnsiTheme="minorHAnsi" w:cstheme="minorHAnsi"/>
                <w:sz w:val="20"/>
                <w:szCs w:val="20"/>
              </w:rPr>
              <w:t>ND</w:t>
            </w:r>
          </w:p>
        </w:tc>
        <w:tc>
          <w:tcPr>
            <w:tcW w:w="1877" w:type="dxa"/>
            <w:vAlign w:val="center"/>
          </w:tcPr>
          <w:p w14:paraId="13CE57AD" w14:textId="48E044B2" w:rsidR="00460491" w:rsidRPr="009D54A4" w:rsidRDefault="00460491" w:rsidP="0010507D">
            <w:pPr>
              <w:jc w:val="both"/>
              <w:rPr>
                <w:sz w:val="20"/>
                <w:szCs w:val="20"/>
                <w:highlight w:val="yellow"/>
              </w:rPr>
            </w:pPr>
            <w:r w:rsidRPr="009D54A4">
              <w:rPr>
                <w:sz w:val="20"/>
                <w:szCs w:val="20"/>
              </w:rPr>
              <w:t>Conditionnel</w:t>
            </w:r>
          </w:p>
        </w:tc>
      </w:tr>
      <w:tr w:rsidR="00460491" w:rsidRPr="009D54A4" w14:paraId="0B785E56" w14:textId="77777777" w:rsidTr="0010507D">
        <w:tc>
          <w:tcPr>
            <w:tcW w:w="440" w:type="dxa"/>
            <w:vAlign w:val="center"/>
          </w:tcPr>
          <w:p w14:paraId="0035AFCB" w14:textId="098FE9A7" w:rsidR="00460491" w:rsidRPr="009D54A4" w:rsidRDefault="004655DA" w:rsidP="0010507D">
            <w:pPr>
              <w:rPr>
                <w:b/>
                <w:sz w:val="20"/>
                <w:szCs w:val="20"/>
              </w:rPr>
            </w:pPr>
            <w:r w:rsidRPr="009D54A4">
              <w:rPr>
                <w:b/>
                <w:sz w:val="20"/>
                <w:szCs w:val="20"/>
              </w:rPr>
              <w:t>6</w:t>
            </w:r>
          </w:p>
        </w:tc>
        <w:tc>
          <w:tcPr>
            <w:tcW w:w="3312" w:type="dxa"/>
            <w:vAlign w:val="center"/>
          </w:tcPr>
          <w:p w14:paraId="26A5B752" w14:textId="06A33362" w:rsidR="00460491" w:rsidRPr="009D54A4" w:rsidRDefault="00460491" w:rsidP="0010507D">
            <w:pPr>
              <w:jc w:val="both"/>
              <w:rPr>
                <w:rFonts w:asciiTheme="minorHAnsi" w:hAnsiTheme="minorHAnsi" w:cstheme="minorHAnsi"/>
                <w:sz w:val="20"/>
                <w:szCs w:val="20"/>
              </w:rPr>
            </w:pPr>
            <w:r w:rsidRPr="009D54A4">
              <w:rPr>
                <w:rFonts w:asciiTheme="minorHAnsi" w:hAnsiTheme="minorHAnsi" w:cstheme="minorHAnsi"/>
                <w:sz w:val="20"/>
                <w:szCs w:val="20"/>
              </w:rPr>
              <w:t xml:space="preserve">Projet d’amélioration de la fertilité des sols et d’adaptions aux effets du Changement climatique. </w:t>
            </w:r>
          </w:p>
        </w:tc>
        <w:tc>
          <w:tcPr>
            <w:tcW w:w="2025" w:type="dxa"/>
            <w:vAlign w:val="center"/>
          </w:tcPr>
          <w:p w14:paraId="3E767D96" w14:textId="11F54CC1" w:rsidR="00460491" w:rsidRPr="009D54A4" w:rsidRDefault="00A009AC" w:rsidP="0010507D">
            <w:pPr>
              <w:jc w:val="both"/>
              <w:rPr>
                <w:rFonts w:eastAsia="Times New Roman"/>
                <w:b/>
                <w:color w:val="000000"/>
                <w:sz w:val="20"/>
                <w:szCs w:val="20"/>
                <w:lang w:eastAsia="fr-FR"/>
              </w:rPr>
            </w:pPr>
            <w:r w:rsidRPr="009D54A4">
              <w:rPr>
                <w:sz w:val="20"/>
                <w:szCs w:val="20"/>
              </w:rPr>
              <w:t>10,638 milliards de FCFA</w:t>
            </w:r>
          </w:p>
        </w:tc>
        <w:tc>
          <w:tcPr>
            <w:tcW w:w="1717" w:type="dxa"/>
            <w:vAlign w:val="center"/>
          </w:tcPr>
          <w:p w14:paraId="62BCBF94" w14:textId="1C5548D7" w:rsidR="00460491" w:rsidRPr="009D54A4" w:rsidRDefault="00460491" w:rsidP="0010507D">
            <w:pPr>
              <w:jc w:val="both"/>
              <w:rPr>
                <w:sz w:val="20"/>
                <w:szCs w:val="20"/>
                <w:highlight w:val="yellow"/>
              </w:rPr>
            </w:pPr>
            <w:r w:rsidRPr="009D54A4">
              <w:rPr>
                <w:rFonts w:hAnsiTheme="minorHAnsi" w:cstheme="minorHAnsi"/>
                <w:sz w:val="20"/>
                <w:szCs w:val="20"/>
              </w:rPr>
              <w:t>ND</w:t>
            </w:r>
          </w:p>
        </w:tc>
        <w:tc>
          <w:tcPr>
            <w:tcW w:w="1877" w:type="dxa"/>
            <w:vAlign w:val="center"/>
          </w:tcPr>
          <w:p w14:paraId="7E0E73AB" w14:textId="77777777" w:rsidR="00460491" w:rsidRPr="009D54A4" w:rsidRDefault="00460491" w:rsidP="0010507D">
            <w:pPr>
              <w:jc w:val="both"/>
              <w:rPr>
                <w:sz w:val="20"/>
                <w:szCs w:val="20"/>
                <w:highlight w:val="yellow"/>
              </w:rPr>
            </w:pPr>
            <w:r w:rsidRPr="009D54A4">
              <w:rPr>
                <w:sz w:val="20"/>
                <w:szCs w:val="20"/>
              </w:rPr>
              <w:t>Conditionnel</w:t>
            </w:r>
          </w:p>
        </w:tc>
      </w:tr>
      <w:tr w:rsidR="00460491" w:rsidRPr="009D54A4" w14:paraId="6C27F77F" w14:textId="77777777" w:rsidTr="0010507D">
        <w:tc>
          <w:tcPr>
            <w:tcW w:w="440" w:type="dxa"/>
            <w:vAlign w:val="center"/>
          </w:tcPr>
          <w:p w14:paraId="53499795" w14:textId="2B1ACC75" w:rsidR="00460491" w:rsidRPr="009D54A4" w:rsidRDefault="004655DA" w:rsidP="0010507D">
            <w:pPr>
              <w:rPr>
                <w:b/>
                <w:sz w:val="20"/>
                <w:szCs w:val="20"/>
              </w:rPr>
            </w:pPr>
            <w:r w:rsidRPr="009D54A4">
              <w:rPr>
                <w:b/>
                <w:sz w:val="20"/>
                <w:szCs w:val="20"/>
              </w:rPr>
              <w:t>7</w:t>
            </w:r>
          </w:p>
        </w:tc>
        <w:tc>
          <w:tcPr>
            <w:tcW w:w="3312" w:type="dxa"/>
            <w:vAlign w:val="center"/>
          </w:tcPr>
          <w:p w14:paraId="49490B11" w14:textId="3DF6F2C5" w:rsidR="00460491" w:rsidRPr="009D54A4" w:rsidRDefault="00460491" w:rsidP="0010507D">
            <w:pPr>
              <w:jc w:val="both"/>
              <w:rPr>
                <w:rFonts w:asciiTheme="minorHAnsi" w:hAnsiTheme="minorHAnsi" w:cstheme="minorHAnsi"/>
                <w:sz w:val="20"/>
                <w:szCs w:val="20"/>
              </w:rPr>
            </w:pPr>
            <w:r w:rsidRPr="009D54A4">
              <w:rPr>
                <w:rFonts w:asciiTheme="minorHAnsi" w:hAnsiTheme="minorHAnsi" w:cstheme="minorHAnsi"/>
                <w:sz w:val="20"/>
                <w:szCs w:val="20"/>
              </w:rPr>
              <w:t>Projet d’appui à la résilience des communautés vulnérables des zones humides dans le Delta Intérieur du Niger et le sous bassin de Sourou.</w:t>
            </w:r>
          </w:p>
        </w:tc>
        <w:tc>
          <w:tcPr>
            <w:tcW w:w="2025" w:type="dxa"/>
            <w:vAlign w:val="center"/>
          </w:tcPr>
          <w:p w14:paraId="123A6026" w14:textId="3F497029" w:rsidR="00460491" w:rsidRPr="009D54A4" w:rsidRDefault="00A009AC" w:rsidP="0010507D">
            <w:pPr>
              <w:jc w:val="both"/>
              <w:rPr>
                <w:rFonts w:eastAsia="Times New Roman"/>
                <w:b/>
                <w:color w:val="000000"/>
                <w:sz w:val="20"/>
                <w:szCs w:val="20"/>
                <w:lang w:eastAsia="fr-FR"/>
              </w:rPr>
            </w:pPr>
            <w:r w:rsidRPr="009D54A4">
              <w:rPr>
                <w:sz w:val="20"/>
                <w:szCs w:val="20"/>
              </w:rPr>
              <w:t>28,993 milliards de FCFA</w:t>
            </w:r>
          </w:p>
        </w:tc>
        <w:tc>
          <w:tcPr>
            <w:tcW w:w="1717" w:type="dxa"/>
            <w:vAlign w:val="center"/>
          </w:tcPr>
          <w:p w14:paraId="64874487" w14:textId="0ED80F17" w:rsidR="00460491" w:rsidRPr="009D54A4" w:rsidRDefault="00460491" w:rsidP="0010507D">
            <w:pPr>
              <w:jc w:val="both"/>
              <w:rPr>
                <w:rFonts w:hAnsiTheme="minorHAnsi" w:cstheme="minorHAnsi"/>
                <w:sz w:val="20"/>
                <w:szCs w:val="20"/>
              </w:rPr>
            </w:pPr>
            <w:r w:rsidRPr="009D54A4">
              <w:rPr>
                <w:rFonts w:hAnsiTheme="minorHAnsi" w:cstheme="minorHAnsi"/>
                <w:sz w:val="20"/>
                <w:szCs w:val="20"/>
              </w:rPr>
              <w:t>ND</w:t>
            </w:r>
          </w:p>
        </w:tc>
        <w:tc>
          <w:tcPr>
            <w:tcW w:w="1877" w:type="dxa"/>
            <w:vAlign w:val="center"/>
          </w:tcPr>
          <w:p w14:paraId="345CEE1F" w14:textId="60CFE3BF" w:rsidR="00460491" w:rsidRPr="009D54A4" w:rsidRDefault="00460491" w:rsidP="0010507D">
            <w:pPr>
              <w:jc w:val="both"/>
              <w:rPr>
                <w:sz w:val="20"/>
                <w:szCs w:val="20"/>
              </w:rPr>
            </w:pPr>
            <w:r w:rsidRPr="009D54A4">
              <w:rPr>
                <w:sz w:val="20"/>
                <w:szCs w:val="20"/>
              </w:rPr>
              <w:t>Conditionnel</w:t>
            </w:r>
          </w:p>
        </w:tc>
      </w:tr>
      <w:tr w:rsidR="00460491" w:rsidRPr="009D54A4" w14:paraId="449E5149" w14:textId="77777777" w:rsidTr="0010507D">
        <w:tc>
          <w:tcPr>
            <w:tcW w:w="440" w:type="dxa"/>
            <w:vAlign w:val="center"/>
          </w:tcPr>
          <w:p w14:paraId="313ACB77" w14:textId="4A675DE2" w:rsidR="00460491" w:rsidRPr="009D54A4" w:rsidRDefault="004655DA" w:rsidP="0010507D">
            <w:pPr>
              <w:rPr>
                <w:b/>
                <w:sz w:val="20"/>
                <w:szCs w:val="20"/>
              </w:rPr>
            </w:pPr>
            <w:r w:rsidRPr="009D54A4">
              <w:rPr>
                <w:b/>
                <w:sz w:val="20"/>
                <w:szCs w:val="20"/>
              </w:rPr>
              <w:t>8</w:t>
            </w:r>
          </w:p>
        </w:tc>
        <w:tc>
          <w:tcPr>
            <w:tcW w:w="3312" w:type="dxa"/>
            <w:vAlign w:val="center"/>
          </w:tcPr>
          <w:p w14:paraId="379C71E4" w14:textId="45CC43F0" w:rsidR="00460491" w:rsidRPr="009D54A4" w:rsidRDefault="00460491" w:rsidP="0010507D">
            <w:pPr>
              <w:jc w:val="both"/>
              <w:rPr>
                <w:rFonts w:asciiTheme="minorHAnsi" w:hAnsiTheme="minorHAnsi" w:cstheme="minorHAnsi"/>
                <w:sz w:val="20"/>
                <w:szCs w:val="20"/>
              </w:rPr>
            </w:pPr>
            <w:r w:rsidRPr="009D54A4">
              <w:rPr>
                <w:rFonts w:asciiTheme="minorHAnsi" w:hAnsiTheme="minorHAnsi" w:cstheme="minorHAnsi"/>
                <w:sz w:val="20"/>
                <w:szCs w:val="20"/>
              </w:rPr>
              <w:t>Projet d’Extension de l’Approche SHEP (Agriculture orientée vers Marché).</w:t>
            </w:r>
          </w:p>
        </w:tc>
        <w:tc>
          <w:tcPr>
            <w:tcW w:w="2025" w:type="dxa"/>
            <w:vAlign w:val="center"/>
          </w:tcPr>
          <w:p w14:paraId="07CA139E" w14:textId="62E2EC6F" w:rsidR="00460491" w:rsidRPr="009D54A4" w:rsidRDefault="00460491" w:rsidP="0010507D">
            <w:pPr>
              <w:jc w:val="both"/>
              <w:rPr>
                <w:rFonts w:eastAsia="Times New Roman"/>
                <w:b/>
                <w:color w:val="000000"/>
                <w:sz w:val="20"/>
                <w:szCs w:val="20"/>
                <w:lang w:eastAsia="fr-FR"/>
              </w:rPr>
            </w:pPr>
            <w:r w:rsidRPr="009D54A4">
              <w:rPr>
                <w:sz w:val="20"/>
                <w:szCs w:val="20"/>
              </w:rPr>
              <w:t xml:space="preserve">3 </w:t>
            </w:r>
            <w:r w:rsidR="00A009AC" w:rsidRPr="009D54A4">
              <w:rPr>
                <w:sz w:val="20"/>
                <w:szCs w:val="20"/>
              </w:rPr>
              <w:t>milliards</w:t>
            </w:r>
            <w:r w:rsidRPr="009D54A4">
              <w:rPr>
                <w:sz w:val="20"/>
                <w:szCs w:val="20"/>
              </w:rPr>
              <w:t xml:space="preserve"> de FCFA</w:t>
            </w:r>
          </w:p>
        </w:tc>
        <w:tc>
          <w:tcPr>
            <w:tcW w:w="1717" w:type="dxa"/>
            <w:vAlign w:val="center"/>
          </w:tcPr>
          <w:p w14:paraId="6E5F5B6E" w14:textId="11C79490" w:rsidR="00460491" w:rsidRPr="009D54A4" w:rsidRDefault="00460491" w:rsidP="0010507D">
            <w:pPr>
              <w:jc w:val="both"/>
              <w:rPr>
                <w:rFonts w:hAnsiTheme="minorHAnsi" w:cstheme="minorHAnsi"/>
                <w:sz w:val="20"/>
                <w:szCs w:val="20"/>
              </w:rPr>
            </w:pPr>
            <w:r w:rsidRPr="009D54A4">
              <w:rPr>
                <w:rFonts w:hAnsiTheme="minorHAnsi" w:cstheme="minorHAnsi"/>
                <w:sz w:val="20"/>
                <w:szCs w:val="20"/>
              </w:rPr>
              <w:t>ND</w:t>
            </w:r>
          </w:p>
        </w:tc>
        <w:tc>
          <w:tcPr>
            <w:tcW w:w="1877" w:type="dxa"/>
            <w:vAlign w:val="center"/>
          </w:tcPr>
          <w:p w14:paraId="5B436C4B" w14:textId="357B9585" w:rsidR="00460491" w:rsidRPr="009D54A4" w:rsidRDefault="00647CC4" w:rsidP="0010507D">
            <w:pPr>
              <w:jc w:val="both"/>
              <w:rPr>
                <w:sz w:val="20"/>
                <w:szCs w:val="20"/>
              </w:rPr>
            </w:pPr>
            <w:r w:rsidRPr="009D54A4">
              <w:rPr>
                <w:sz w:val="20"/>
                <w:szCs w:val="20"/>
              </w:rPr>
              <w:t>Conditionnel</w:t>
            </w:r>
          </w:p>
        </w:tc>
      </w:tr>
      <w:tr w:rsidR="00647CC4" w:rsidRPr="009D54A4" w14:paraId="20802F28" w14:textId="77777777" w:rsidTr="0010507D">
        <w:tc>
          <w:tcPr>
            <w:tcW w:w="440" w:type="dxa"/>
            <w:vAlign w:val="center"/>
          </w:tcPr>
          <w:p w14:paraId="2B4701B0" w14:textId="7E422912" w:rsidR="00647CC4" w:rsidRPr="009D54A4" w:rsidRDefault="004655DA" w:rsidP="0010507D">
            <w:pPr>
              <w:rPr>
                <w:b/>
                <w:sz w:val="20"/>
                <w:szCs w:val="20"/>
              </w:rPr>
            </w:pPr>
            <w:r w:rsidRPr="009D54A4">
              <w:rPr>
                <w:b/>
                <w:sz w:val="20"/>
                <w:szCs w:val="20"/>
              </w:rPr>
              <w:t>9</w:t>
            </w:r>
          </w:p>
        </w:tc>
        <w:tc>
          <w:tcPr>
            <w:tcW w:w="3312" w:type="dxa"/>
            <w:vAlign w:val="center"/>
          </w:tcPr>
          <w:p w14:paraId="5E189221" w14:textId="485715E5" w:rsidR="00647CC4" w:rsidRPr="009D54A4" w:rsidRDefault="00647CC4" w:rsidP="0010507D">
            <w:pPr>
              <w:jc w:val="both"/>
              <w:rPr>
                <w:rFonts w:asciiTheme="minorHAnsi" w:hAnsiTheme="minorHAnsi" w:cstheme="minorHAnsi"/>
                <w:sz w:val="20"/>
                <w:szCs w:val="20"/>
              </w:rPr>
            </w:pPr>
            <w:r w:rsidRPr="009D54A4">
              <w:rPr>
                <w:rFonts w:asciiTheme="minorHAnsi" w:hAnsiTheme="minorHAnsi" w:cstheme="minorHAnsi"/>
                <w:sz w:val="20"/>
                <w:szCs w:val="20"/>
              </w:rPr>
              <w:t>Projet de promotion de Banane plantain dans les bassins de production de Banane au Mali.</w:t>
            </w:r>
          </w:p>
        </w:tc>
        <w:tc>
          <w:tcPr>
            <w:tcW w:w="2025" w:type="dxa"/>
            <w:vAlign w:val="center"/>
          </w:tcPr>
          <w:p w14:paraId="6FAAE9FB" w14:textId="15071851" w:rsidR="00647CC4" w:rsidRPr="009D54A4" w:rsidRDefault="00F26C8C" w:rsidP="0010507D">
            <w:pPr>
              <w:jc w:val="both"/>
              <w:rPr>
                <w:rFonts w:eastAsia="Times New Roman"/>
                <w:b/>
                <w:color w:val="000000"/>
                <w:sz w:val="20"/>
                <w:szCs w:val="20"/>
                <w:lang w:eastAsia="fr-FR"/>
              </w:rPr>
            </w:pPr>
            <w:r w:rsidRPr="009D54A4">
              <w:rPr>
                <w:sz w:val="20"/>
                <w:szCs w:val="20"/>
              </w:rPr>
              <w:t>2,5 milliards de FCFA</w:t>
            </w:r>
          </w:p>
        </w:tc>
        <w:tc>
          <w:tcPr>
            <w:tcW w:w="1717" w:type="dxa"/>
            <w:vAlign w:val="center"/>
          </w:tcPr>
          <w:p w14:paraId="0ADF34E7" w14:textId="309B1C6C" w:rsidR="00647CC4" w:rsidRPr="009D54A4" w:rsidRDefault="00647CC4" w:rsidP="0010507D">
            <w:pPr>
              <w:jc w:val="both"/>
              <w:rPr>
                <w:rFonts w:hAnsiTheme="minorHAnsi" w:cstheme="minorHAnsi"/>
                <w:sz w:val="20"/>
                <w:szCs w:val="20"/>
              </w:rPr>
            </w:pPr>
            <w:r w:rsidRPr="009D54A4">
              <w:rPr>
                <w:rFonts w:hAnsiTheme="minorHAnsi" w:cstheme="minorHAnsi"/>
                <w:sz w:val="20"/>
                <w:szCs w:val="20"/>
              </w:rPr>
              <w:t>ND</w:t>
            </w:r>
          </w:p>
        </w:tc>
        <w:tc>
          <w:tcPr>
            <w:tcW w:w="1877" w:type="dxa"/>
            <w:vAlign w:val="center"/>
          </w:tcPr>
          <w:p w14:paraId="2FFD38FE" w14:textId="5B987547" w:rsidR="00647CC4" w:rsidRPr="009D54A4" w:rsidRDefault="00647CC4" w:rsidP="0010507D">
            <w:pPr>
              <w:jc w:val="both"/>
              <w:rPr>
                <w:sz w:val="20"/>
                <w:szCs w:val="20"/>
              </w:rPr>
            </w:pPr>
            <w:r w:rsidRPr="009D54A4">
              <w:rPr>
                <w:sz w:val="20"/>
                <w:szCs w:val="20"/>
              </w:rPr>
              <w:t>Conditionnel</w:t>
            </w:r>
          </w:p>
        </w:tc>
      </w:tr>
      <w:tr w:rsidR="00647CC4" w:rsidRPr="009D54A4" w14:paraId="3D0BC846" w14:textId="77777777" w:rsidTr="0010507D">
        <w:tc>
          <w:tcPr>
            <w:tcW w:w="440" w:type="dxa"/>
            <w:vAlign w:val="center"/>
          </w:tcPr>
          <w:p w14:paraId="4DE68FE4" w14:textId="559FC46C" w:rsidR="00647CC4" w:rsidRPr="009D54A4" w:rsidRDefault="00386975" w:rsidP="0010507D">
            <w:pPr>
              <w:rPr>
                <w:b/>
                <w:sz w:val="20"/>
                <w:szCs w:val="20"/>
              </w:rPr>
            </w:pPr>
            <w:r w:rsidRPr="009D54A4">
              <w:rPr>
                <w:b/>
                <w:sz w:val="20"/>
                <w:szCs w:val="20"/>
              </w:rPr>
              <w:t>1</w:t>
            </w:r>
            <w:r w:rsidR="004655DA" w:rsidRPr="009D54A4">
              <w:rPr>
                <w:b/>
                <w:sz w:val="20"/>
                <w:szCs w:val="20"/>
              </w:rPr>
              <w:t>0</w:t>
            </w:r>
          </w:p>
        </w:tc>
        <w:tc>
          <w:tcPr>
            <w:tcW w:w="3312" w:type="dxa"/>
            <w:vAlign w:val="center"/>
          </w:tcPr>
          <w:p w14:paraId="212AF772" w14:textId="4FEFC583" w:rsidR="00647CC4" w:rsidRPr="009D54A4" w:rsidRDefault="00647CC4" w:rsidP="0010507D">
            <w:pPr>
              <w:jc w:val="both"/>
              <w:rPr>
                <w:rFonts w:asciiTheme="minorHAnsi" w:hAnsiTheme="minorHAnsi" w:cstheme="minorHAnsi"/>
                <w:sz w:val="20"/>
                <w:szCs w:val="20"/>
              </w:rPr>
            </w:pPr>
            <w:r w:rsidRPr="009D54A4">
              <w:rPr>
                <w:rFonts w:asciiTheme="minorHAnsi" w:hAnsiTheme="minorHAnsi" w:cstheme="minorHAnsi"/>
                <w:sz w:val="20"/>
                <w:szCs w:val="20"/>
              </w:rPr>
              <w:t>Programme de développement de la culture du maïs dans les bassins de production au Mali).</w:t>
            </w:r>
          </w:p>
        </w:tc>
        <w:tc>
          <w:tcPr>
            <w:tcW w:w="2025" w:type="dxa"/>
            <w:vAlign w:val="center"/>
          </w:tcPr>
          <w:p w14:paraId="08638D2F" w14:textId="57EE0A08" w:rsidR="00647CC4" w:rsidRPr="009D54A4" w:rsidRDefault="00F26C8C" w:rsidP="0010507D">
            <w:pPr>
              <w:jc w:val="both"/>
              <w:rPr>
                <w:rFonts w:eastAsia="Times New Roman"/>
                <w:b/>
                <w:color w:val="000000"/>
                <w:sz w:val="20"/>
                <w:szCs w:val="20"/>
                <w:lang w:eastAsia="fr-FR"/>
              </w:rPr>
            </w:pPr>
            <w:r w:rsidRPr="009D54A4">
              <w:rPr>
                <w:sz w:val="20"/>
                <w:szCs w:val="20"/>
              </w:rPr>
              <w:t>100,755 milliards de FCFA</w:t>
            </w:r>
          </w:p>
        </w:tc>
        <w:tc>
          <w:tcPr>
            <w:tcW w:w="1717" w:type="dxa"/>
            <w:vAlign w:val="center"/>
          </w:tcPr>
          <w:p w14:paraId="6E2C0376" w14:textId="499E3958" w:rsidR="00647CC4" w:rsidRPr="009D54A4" w:rsidRDefault="00647CC4" w:rsidP="0010507D">
            <w:pPr>
              <w:jc w:val="both"/>
              <w:rPr>
                <w:rFonts w:hAnsiTheme="minorHAnsi" w:cstheme="minorHAnsi"/>
                <w:sz w:val="20"/>
                <w:szCs w:val="20"/>
              </w:rPr>
            </w:pPr>
            <w:r w:rsidRPr="009D54A4">
              <w:rPr>
                <w:rFonts w:hAnsiTheme="minorHAnsi" w:cstheme="minorHAnsi"/>
                <w:sz w:val="20"/>
                <w:szCs w:val="20"/>
              </w:rPr>
              <w:t>ND</w:t>
            </w:r>
          </w:p>
        </w:tc>
        <w:tc>
          <w:tcPr>
            <w:tcW w:w="1877" w:type="dxa"/>
            <w:vAlign w:val="center"/>
          </w:tcPr>
          <w:p w14:paraId="298DB955" w14:textId="02D7FE56" w:rsidR="00647CC4" w:rsidRPr="009D54A4" w:rsidRDefault="00647CC4" w:rsidP="0010507D">
            <w:pPr>
              <w:jc w:val="both"/>
              <w:rPr>
                <w:sz w:val="20"/>
                <w:szCs w:val="20"/>
              </w:rPr>
            </w:pPr>
            <w:r w:rsidRPr="009D54A4">
              <w:rPr>
                <w:sz w:val="20"/>
                <w:szCs w:val="20"/>
              </w:rPr>
              <w:t>Conditionnel</w:t>
            </w:r>
          </w:p>
        </w:tc>
      </w:tr>
      <w:tr w:rsidR="00647CC4" w:rsidRPr="009D54A4" w14:paraId="3BB25BDA" w14:textId="77777777" w:rsidTr="0010507D">
        <w:tc>
          <w:tcPr>
            <w:tcW w:w="440" w:type="dxa"/>
            <w:vAlign w:val="center"/>
          </w:tcPr>
          <w:p w14:paraId="105CE61D" w14:textId="2F10E853" w:rsidR="00647CC4" w:rsidRPr="009D54A4" w:rsidRDefault="00386975" w:rsidP="0010507D">
            <w:pPr>
              <w:rPr>
                <w:b/>
                <w:sz w:val="20"/>
                <w:szCs w:val="20"/>
              </w:rPr>
            </w:pPr>
            <w:r w:rsidRPr="009D54A4">
              <w:rPr>
                <w:b/>
                <w:sz w:val="20"/>
                <w:szCs w:val="20"/>
              </w:rPr>
              <w:lastRenderedPageBreak/>
              <w:t>1</w:t>
            </w:r>
            <w:r w:rsidR="004655DA" w:rsidRPr="009D54A4">
              <w:rPr>
                <w:b/>
                <w:sz w:val="20"/>
                <w:szCs w:val="20"/>
              </w:rPr>
              <w:t>1</w:t>
            </w:r>
          </w:p>
        </w:tc>
        <w:tc>
          <w:tcPr>
            <w:tcW w:w="3312" w:type="dxa"/>
            <w:vAlign w:val="center"/>
          </w:tcPr>
          <w:p w14:paraId="56F49909" w14:textId="3C790BD4" w:rsidR="00647CC4" w:rsidRPr="009D54A4" w:rsidRDefault="00647CC4" w:rsidP="0010507D">
            <w:pPr>
              <w:jc w:val="both"/>
              <w:rPr>
                <w:rFonts w:asciiTheme="minorHAnsi" w:hAnsiTheme="minorHAnsi" w:cstheme="minorHAnsi"/>
                <w:sz w:val="20"/>
                <w:szCs w:val="20"/>
              </w:rPr>
            </w:pPr>
            <w:r w:rsidRPr="009D54A4">
              <w:rPr>
                <w:rFonts w:asciiTheme="minorHAnsi" w:hAnsiTheme="minorHAnsi" w:cstheme="minorHAnsi"/>
                <w:sz w:val="20"/>
                <w:szCs w:val="20"/>
              </w:rPr>
              <w:t>Projet d’appui et de valorisation de la filière sésame dans les bassins de production de Koulikoro, Kayes, Mopti, Ségou et Sikasso dans le cadre de la lutte contre la pauvreté, l’insécurité alimentaire et nutritionnelle.</w:t>
            </w:r>
          </w:p>
        </w:tc>
        <w:tc>
          <w:tcPr>
            <w:tcW w:w="2025" w:type="dxa"/>
            <w:vAlign w:val="center"/>
          </w:tcPr>
          <w:p w14:paraId="009FD872" w14:textId="16595152" w:rsidR="00647CC4" w:rsidRPr="009D54A4" w:rsidRDefault="00F26C8C" w:rsidP="0010507D">
            <w:pPr>
              <w:jc w:val="both"/>
              <w:rPr>
                <w:rFonts w:eastAsia="Times New Roman"/>
                <w:b/>
                <w:color w:val="000000"/>
                <w:sz w:val="20"/>
                <w:szCs w:val="20"/>
                <w:lang w:eastAsia="fr-FR"/>
              </w:rPr>
            </w:pPr>
            <w:r w:rsidRPr="009D54A4">
              <w:rPr>
                <w:sz w:val="20"/>
                <w:szCs w:val="20"/>
              </w:rPr>
              <w:t>2,641 milliards de FCFA</w:t>
            </w:r>
          </w:p>
        </w:tc>
        <w:tc>
          <w:tcPr>
            <w:tcW w:w="1717" w:type="dxa"/>
            <w:vAlign w:val="center"/>
          </w:tcPr>
          <w:p w14:paraId="0F3F4FA7" w14:textId="560AC434" w:rsidR="00647CC4" w:rsidRPr="009D54A4" w:rsidRDefault="00647CC4" w:rsidP="0010507D">
            <w:pPr>
              <w:jc w:val="both"/>
              <w:rPr>
                <w:rFonts w:hAnsiTheme="minorHAnsi" w:cstheme="minorHAnsi"/>
                <w:sz w:val="20"/>
                <w:szCs w:val="20"/>
              </w:rPr>
            </w:pPr>
            <w:r w:rsidRPr="009D54A4">
              <w:rPr>
                <w:rFonts w:hAnsiTheme="minorHAnsi" w:cstheme="minorHAnsi"/>
                <w:sz w:val="20"/>
                <w:szCs w:val="20"/>
              </w:rPr>
              <w:t>ND</w:t>
            </w:r>
          </w:p>
        </w:tc>
        <w:tc>
          <w:tcPr>
            <w:tcW w:w="1877" w:type="dxa"/>
            <w:vAlign w:val="center"/>
          </w:tcPr>
          <w:p w14:paraId="0ADF8307" w14:textId="3344DF0B" w:rsidR="00647CC4" w:rsidRPr="009D54A4" w:rsidRDefault="00647CC4" w:rsidP="0010507D">
            <w:pPr>
              <w:jc w:val="both"/>
              <w:rPr>
                <w:sz w:val="20"/>
                <w:szCs w:val="20"/>
              </w:rPr>
            </w:pPr>
            <w:r w:rsidRPr="009D54A4">
              <w:rPr>
                <w:sz w:val="20"/>
                <w:szCs w:val="20"/>
              </w:rPr>
              <w:t>Conditionnel</w:t>
            </w:r>
          </w:p>
        </w:tc>
      </w:tr>
      <w:tr w:rsidR="00460491" w:rsidRPr="009D54A4" w14:paraId="2305A787" w14:textId="77777777" w:rsidTr="0010507D">
        <w:tc>
          <w:tcPr>
            <w:tcW w:w="440" w:type="dxa"/>
            <w:vAlign w:val="center"/>
          </w:tcPr>
          <w:p w14:paraId="1E956D62" w14:textId="39BB667C" w:rsidR="00460491" w:rsidRPr="009D54A4" w:rsidRDefault="00386975" w:rsidP="0010507D">
            <w:pPr>
              <w:rPr>
                <w:b/>
                <w:sz w:val="20"/>
                <w:szCs w:val="20"/>
              </w:rPr>
            </w:pPr>
            <w:r w:rsidRPr="009D54A4">
              <w:rPr>
                <w:b/>
                <w:sz w:val="20"/>
                <w:szCs w:val="20"/>
              </w:rPr>
              <w:t>1</w:t>
            </w:r>
            <w:r w:rsidR="004655DA" w:rsidRPr="009D54A4">
              <w:rPr>
                <w:b/>
                <w:sz w:val="20"/>
                <w:szCs w:val="20"/>
              </w:rPr>
              <w:t>2</w:t>
            </w:r>
          </w:p>
        </w:tc>
        <w:tc>
          <w:tcPr>
            <w:tcW w:w="3312" w:type="dxa"/>
            <w:vAlign w:val="center"/>
          </w:tcPr>
          <w:p w14:paraId="65920ECF" w14:textId="0AC7AAAC" w:rsidR="00460491" w:rsidRPr="009D54A4" w:rsidRDefault="00460491" w:rsidP="0010507D">
            <w:pPr>
              <w:jc w:val="both"/>
              <w:rPr>
                <w:rFonts w:asciiTheme="minorHAnsi" w:hAnsiTheme="minorHAnsi" w:cstheme="minorHAnsi"/>
                <w:sz w:val="20"/>
                <w:szCs w:val="20"/>
              </w:rPr>
            </w:pPr>
            <w:r w:rsidRPr="009D54A4">
              <w:rPr>
                <w:rFonts w:asciiTheme="minorHAnsi" w:hAnsiTheme="minorHAnsi" w:cstheme="minorHAnsi"/>
                <w:sz w:val="20"/>
                <w:szCs w:val="20"/>
              </w:rPr>
              <w:t>Projet de promotion des systèmes de culture agroecologiques et de protection des sols au mali (PAESOL).</w:t>
            </w:r>
          </w:p>
        </w:tc>
        <w:tc>
          <w:tcPr>
            <w:tcW w:w="2025" w:type="dxa"/>
            <w:vAlign w:val="center"/>
          </w:tcPr>
          <w:p w14:paraId="2F4F139C" w14:textId="688920B3" w:rsidR="00460491" w:rsidRPr="009D54A4" w:rsidRDefault="00460491" w:rsidP="0010507D">
            <w:pPr>
              <w:jc w:val="both"/>
              <w:rPr>
                <w:rFonts w:eastAsia="Times New Roman"/>
                <w:color w:val="000000"/>
                <w:sz w:val="20"/>
                <w:szCs w:val="20"/>
                <w:lang w:eastAsia="fr-FR"/>
              </w:rPr>
            </w:pPr>
            <w:r w:rsidRPr="009D54A4">
              <w:rPr>
                <w:rFonts w:eastAsia="Times New Roman"/>
                <w:color w:val="000000"/>
                <w:sz w:val="20"/>
                <w:szCs w:val="20"/>
                <w:lang w:eastAsia="fr-FR"/>
              </w:rPr>
              <w:t>ND</w:t>
            </w:r>
          </w:p>
        </w:tc>
        <w:tc>
          <w:tcPr>
            <w:tcW w:w="1717" w:type="dxa"/>
            <w:vAlign w:val="center"/>
          </w:tcPr>
          <w:p w14:paraId="07B01D8B" w14:textId="7615D38E" w:rsidR="00460491" w:rsidRPr="009D54A4" w:rsidRDefault="00460491" w:rsidP="0010507D">
            <w:pPr>
              <w:jc w:val="both"/>
              <w:rPr>
                <w:rFonts w:hAnsiTheme="minorHAnsi" w:cstheme="minorHAnsi"/>
                <w:sz w:val="20"/>
                <w:szCs w:val="20"/>
              </w:rPr>
            </w:pPr>
            <w:r w:rsidRPr="009D54A4">
              <w:rPr>
                <w:rFonts w:hAnsiTheme="minorHAnsi" w:cstheme="minorHAnsi"/>
                <w:sz w:val="20"/>
                <w:szCs w:val="20"/>
              </w:rPr>
              <w:t>ND</w:t>
            </w:r>
          </w:p>
        </w:tc>
        <w:tc>
          <w:tcPr>
            <w:tcW w:w="1877" w:type="dxa"/>
            <w:vAlign w:val="center"/>
          </w:tcPr>
          <w:p w14:paraId="0A6A171F" w14:textId="47FB89AD" w:rsidR="00460491" w:rsidRPr="009D54A4" w:rsidRDefault="00647CC4" w:rsidP="0010507D">
            <w:pPr>
              <w:jc w:val="both"/>
              <w:rPr>
                <w:sz w:val="20"/>
                <w:szCs w:val="20"/>
              </w:rPr>
            </w:pPr>
            <w:r w:rsidRPr="009D54A4">
              <w:rPr>
                <w:sz w:val="20"/>
                <w:szCs w:val="20"/>
              </w:rPr>
              <w:t>Inconditionnel</w:t>
            </w:r>
          </w:p>
        </w:tc>
      </w:tr>
      <w:tr w:rsidR="00460491" w:rsidRPr="009D54A4" w14:paraId="56965106" w14:textId="77777777" w:rsidTr="0010507D">
        <w:tc>
          <w:tcPr>
            <w:tcW w:w="440" w:type="dxa"/>
            <w:vAlign w:val="center"/>
          </w:tcPr>
          <w:p w14:paraId="29505E47" w14:textId="3333142F" w:rsidR="00460491" w:rsidRPr="009D54A4" w:rsidRDefault="00386975" w:rsidP="0010507D">
            <w:pPr>
              <w:rPr>
                <w:b/>
                <w:sz w:val="20"/>
                <w:szCs w:val="20"/>
              </w:rPr>
            </w:pPr>
            <w:r w:rsidRPr="009D54A4">
              <w:rPr>
                <w:b/>
                <w:sz w:val="20"/>
                <w:szCs w:val="20"/>
              </w:rPr>
              <w:t>1</w:t>
            </w:r>
            <w:r w:rsidR="004655DA" w:rsidRPr="009D54A4">
              <w:rPr>
                <w:b/>
                <w:sz w:val="20"/>
                <w:szCs w:val="20"/>
              </w:rPr>
              <w:t>3</w:t>
            </w:r>
          </w:p>
        </w:tc>
        <w:tc>
          <w:tcPr>
            <w:tcW w:w="3312" w:type="dxa"/>
            <w:vAlign w:val="center"/>
          </w:tcPr>
          <w:p w14:paraId="0B3DA5E2" w14:textId="6287E820" w:rsidR="00460491" w:rsidRPr="009D54A4" w:rsidRDefault="00460491" w:rsidP="0010507D">
            <w:pPr>
              <w:jc w:val="both"/>
              <w:rPr>
                <w:rFonts w:asciiTheme="minorHAnsi" w:hAnsiTheme="minorHAnsi" w:cstheme="minorHAnsi"/>
                <w:sz w:val="20"/>
                <w:szCs w:val="20"/>
              </w:rPr>
            </w:pPr>
            <w:r w:rsidRPr="009D54A4">
              <w:rPr>
                <w:rFonts w:asciiTheme="minorHAnsi" w:hAnsiTheme="minorHAnsi" w:cstheme="minorHAnsi"/>
                <w:sz w:val="20"/>
                <w:szCs w:val="20"/>
              </w:rPr>
              <w:t>Projet Mise au point/actualisation/diffusion d’outils d’aide à la décision pour la mise en valeur des terres agricoles.</w:t>
            </w:r>
          </w:p>
        </w:tc>
        <w:tc>
          <w:tcPr>
            <w:tcW w:w="2025" w:type="dxa"/>
            <w:vAlign w:val="center"/>
          </w:tcPr>
          <w:p w14:paraId="57118BA4" w14:textId="7943EF67" w:rsidR="00460491" w:rsidRPr="009D54A4" w:rsidRDefault="00712CDC" w:rsidP="0010507D">
            <w:pPr>
              <w:jc w:val="both"/>
              <w:rPr>
                <w:rFonts w:eastAsia="Times New Roman"/>
                <w:b/>
                <w:color w:val="000000"/>
                <w:sz w:val="20"/>
                <w:szCs w:val="20"/>
                <w:lang w:eastAsia="fr-FR"/>
              </w:rPr>
            </w:pPr>
            <w:r w:rsidRPr="009D54A4">
              <w:rPr>
                <w:sz w:val="20"/>
                <w:szCs w:val="20"/>
              </w:rPr>
              <w:t>5 milliards de FCFA</w:t>
            </w:r>
          </w:p>
        </w:tc>
        <w:tc>
          <w:tcPr>
            <w:tcW w:w="1717" w:type="dxa"/>
            <w:vAlign w:val="center"/>
          </w:tcPr>
          <w:p w14:paraId="572709CA" w14:textId="261D4B2B" w:rsidR="00460491" w:rsidRPr="009D54A4" w:rsidRDefault="00313EA0" w:rsidP="0010507D">
            <w:pPr>
              <w:jc w:val="both"/>
              <w:rPr>
                <w:rFonts w:hAnsiTheme="minorHAnsi" w:cstheme="minorHAnsi"/>
                <w:sz w:val="20"/>
                <w:szCs w:val="20"/>
              </w:rPr>
            </w:pPr>
            <w:r w:rsidRPr="009D54A4">
              <w:rPr>
                <w:rFonts w:hAnsiTheme="minorHAnsi" w:cstheme="minorHAnsi"/>
                <w:sz w:val="20"/>
                <w:szCs w:val="20"/>
              </w:rPr>
              <w:t>GIZ</w:t>
            </w:r>
          </w:p>
        </w:tc>
        <w:tc>
          <w:tcPr>
            <w:tcW w:w="1877" w:type="dxa"/>
            <w:vAlign w:val="center"/>
          </w:tcPr>
          <w:p w14:paraId="0FAF63DA" w14:textId="3D264B57" w:rsidR="00460491" w:rsidRPr="009D54A4" w:rsidRDefault="00313EA0" w:rsidP="0010507D">
            <w:pPr>
              <w:jc w:val="both"/>
              <w:rPr>
                <w:sz w:val="20"/>
                <w:szCs w:val="20"/>
              </w:rPr>
            </w:pPr>
            <w:r w:rsidRPr="009D54A4">
              <w:rPr>
                <w:sz w:val="20"/>
                <w:szCs w:val="20"/>
              </w:rPr>
              <w:t>Inconditionnel</w:t>
            </w:r>
          </w:p>
        </w:tc>
      </w:tr>
      <w:tr w:rsidR="00460491" w:rsidRPr="009D54A4" w14:paraId="6225078A" w14:textId="77777777" w:rsidTr="0010507D">
        <w:tc>
          <w:tcPr>
            <w:tcW w:w="440" w:type="dxa"/>
            <w:vAlign w:val="center"/>
          </w:tcPr>
          <w:p w14:paraId="09729C78" w14:textId="3615993D" w:rsidR="00460491" w:rsidRPr="009D54A4" w:rsidRDefault="00386975" w:rsidP="0010507D">
            <w:pPr>
              <w:rPr>
                <w:b/>
                <w:sz w:val="20"/>
                <w:szCs w:val="20"/>
              </w:rPr>
            </w:pPr>
            <w:r w:rsidRPr="009D54A4">
              <w:rPr>
                <w:b/>
                <w:sz w:val="20"/>
                <w:szCs w:val="20"/>
              </w:rPr>
              <w:t>1</w:t>
            </w:r>
            <w:r w:rsidR="004655DA" w:rsidRPr="009D54A4">
              <w:rPr>
                <w:b/>
                <w:sz w:val="20"/>
                <w:szCs w:val="20"/>
              </w:rPr>
              <w:t>4</w:t>
            </w:r>
          </w:p>
        </w:tc>
        <w:tc>
          <w:tcPr>
            <w:tcW w:w="3312" w:type="dxa"/>
            <w:vAlign w:val="center"/>
          </w:tcPr>
          <w:p w14:paraId="0CE96749" w14:textId="12E0FB8E" w:rsidR="00460491" w:rsidRPr="009D54A4" w:rsidRDefault="00460491" w:rsidP="0010507D">
            <w:pPr>
              <w:jc w:val="both"/>
              <w:rPr>
                <w:rFonts w:asciiTheme="minorHAnsi" w:hAnsiTheme="minorHAnsi" w:cstheme="minorHAnsi"/>
                <w:sz w:val="20"/>
                <w:szCs w:val="20"/>
              </w:rPr>
            </w:pPr>
            <w:r w:rsidRPr="009D54A4">
              <w:rPr>
                <w:rFonts w:asciiTheme="minorHAnsi" w:hAnsiTheme="minorHAnsi" w:cstheme="minorHAnsi"/>
                <w:sz w:val="20"/>
                <w:szCs w:val="20"/>
              </w:rPr>
              <w:t>Projet Promotion de la chaine de valeur des Filières dans les agropoles de Kayes – Sud, Koulikoro – Péri-urbain de Bamako, Mali Sud, Zone office du Niger/Office Riz Ségou, Zone Lacustre.</w:t>
            </w:r>
          </w:p>
        </w:tc>
        <w:tc>
          <w:tcPr>
            <w:tcW w:w="2025" w:type="dxa"/>
            <w:vAlign w:val="center"/>
          </w:tcPr>
          <w:p w14:paraId="712C1E21" w14:textId="3369651A" w:rsidR="00460491" w:rsidRPr="009D54A4" w:rsidRDefault="00712CDC" w:rsidP="0010507D">
            <w:pPr>
              <w:jc w:val="both"/>
              <w:rPr>
                <w:rFonts w:eastAsia="Times New Roman"/>
                <w:b/>
                <w:color w:val="000000"/>
                <w:sz w:val="20"/>
                <w:szCs w:val="20"/>
                <w:lang w:eastAsia="fr-FR"/>
              </w:rPr>
            </w:pPr>
            <w:r w:rsidRPr="009D54A4">
              <w:rPr>
                <w:sz w:val="20"/>
                <w:szCs w:val="20"/>
              </w:rPr>
              <w:t>35 milliards de FCFA</w:t>
            </w:r>
          </w:p>
        </w:tc>
        <w:tc>
          <w:tcPr>
            <w:tcW w:w="1717" w:type="dxa"/>
            <w:vAlign w:val="center"/>
          </w:tcPr>
          <w:p w14:paraId="448CC42F" w14:textId="387ED122" w:rsidR="00460491" w:rsidRPr="009D54A4" w:rsidRDefault="00460491" w:rsidP="0010507D">
            <w:pPr>
              <w:jc w:val="both"/>
              <w:rPr>
                <w:rFonts w:hAnsiTheme="minorHAnsi" w:cstheme="minorHAnsi"/>
                <w:sz w:val="20"/>
                <w:szCs w:val="20"/>
              </w:rPr>
            </w:pPr>
            <w:r w:rsidRPr="009D54A4">
              <w:rPr>
                <w:rFonts w:hAnsiTheme="minorHAnsi" w:cstheme="minorHAnsi"/>
                <w:sz w:val="20"/>
                <w:szCs w:val="20"/>
              </w:rPr>
              <w:t>ND</w:t>
            </w:r>
          </w:p>
        </w:tc>
        <w:tc>
          <w:tcPr>
            <w:tcW w:w="1877" w:type="dxa"/>
            <w:vAlign w:val="center"/>
          </w:tcPr>
          <w:p w14:paraId="674F2400" w14:textId="35F9471A" w:rsidR="00460491" w:rsidRPr="009D54A4" w:rsidRDefault="0088480F" w:rsidP="0010507D">
            <w:pPr>
              <w:jc w:val="both"/>
              <w:rPr>
                <w:sz w:val="20"/>
                <w:szCs w:val="20"/>
              </w:rPr>
            </w:pPr>
            <w:r w:rsidRPr="009D54A4">
              <w:rPr>
                <w:sz w:val="20"/>
                <w:szCs w:val="20"/>
              </w:rPr>
              <w:t>Inconditionnel</w:t>
            </w:r>
          </w:p>
        </w:tc>
      </w:tr>
      <w:tr w:rsidR="00460491" w:rsidRPr="009D54A4" w14:paraId="13F66C40" w14:textId="77777777" w:rsidTr="0010507D">
        <w:tc>
          <w:tcPr>
            <w:tcW w:w="440" w:type="dxa"/>
            <w:vAlign w:val="center"/>
          </w:tcPr>
          <w:p w14:paraId="102D6739" w14:textId="43B40F2D" w:rsidR="00460491" w:rsidRPr="009D54A4" w:rsidRDefault="00386975" w:rsidP="0010507D">
            <w:pPr>
              <w:rPr>
                <w:b/>
                <w:sz w:val="20"/>
                <w:szCs w:val="20"/>
              </w:rPr>
            </w:pPr>
            <w:r w:rsidRPr="009D54A4">
              <w:rPr>
                <w:b/>
                <w:sz w:val="20"/>
                <w:szCs w:val="20"/>
              </w:rPr>
              <w:t>1</w:t>
            </w:r>
            <w:r w:rsidR="004655DA" w:rsidRPr="009D54A4">
              <w:rPr>
                <w:b/>
                <w:sz w:val="20"/>
                <w:szCs w:val="20"/>
              </w:rPr>
              <w:t>5</w:t>
            </w:r>
          </w:p>
        </w:tc>
        <w:tc>
          <w:tcPr>
            <w:tcW w:w="3312" w:type="dxa"/>
            <w:vAlign w:val="center"/>
          </w:tcPr>
          <w:p w14:paraId="38DDB9AB" w14:textId="5C1F2796" w:rsidR="00460491" w:rsidRPr="009D54A4" w:rsidRDefault="00460491" w:rsidP="0010507D">
            <w:pPr>
              <w:jc w:val="both"/>
              <w:rPr>
                <w:rFonts w:asciiTheme="minorHAnsi" w:hAnsiTheme="minorHAnsi" w:cstheme="minorHAnsi"/>
                <w:sz w:val="20"/>
                <w:szCs w:val="20"/>
              </w:rPr>
            </w:pPr>
            <w:r w:rsidRPr="009D54A4">
              <w:rPr>
                <w:rFonts w:asciiTheme="minorHAnsi" w:hAnsiTheme="minorHAnsi" w:cstheme="minorHAnsi"/>
                <w:sz w:val="20"/>
                <w:szCs w:val="20"/>
              </w:rPr>
              <w:t>Programme de Promotion des Pôles de Développement Agricole (Filières Porteuses) au Mali.</w:t>
            </w:r>
          </w:p>
        </w:tc>
        <w:tc>
          <w:tcPr>
            <w:tcW w:w="2025" w:type="dxa"/>
            <w:vAlign w:val="center"/>
          </w:tcPr>
          <w:p w14:paraId="2D28A54C" w14:textId="7A6A14A3" w:rsidR="00460491" w:rsidRPr="009D54A4" w:rsidRDefault="00460491" w:rsidP="0010507D">
            <w:pPr>
              <w:jc w:val="both"/>
              <w:rPr>
                <w:rFonts w:eastAsia="Times New Roman"/>
                <w:b/>
                <w:color w:val="000000"/>
                <w:sz w:val="20"/>
                <w:szCs w:val="20"/>
                <w:lang w:eastAsia="fr-FR"/>
              </w:rPr>
            </w:pPr>
            <w:r w:rsidRPr="009D54A4">
              <w:rPr>
                <w:sz w:val="20"/>
                <w:szCs w:val="20"/>
              </w:rPr>
              <w:t>160 </w:t>
            </w:r>
            <w:r w:rsidR="00712CDC" w:rsidRPr="009D54A4">
              <w:rPr>
                <w:sz w:val="20"/>
                <w:szCs w:val="20"/>
              </w:rPr>
              <w:t>milliards</w:t>
            </w:r>
            <w:r w:rsidRPr="009D54A4">
              <w:rPr>
                <w:sz w:val="20"/>
                <w:szCs w:val="20"/>
              </w:rPr>
              <w:t xml:space="preserve"> de FCFA</w:t>
            </w:r>
          </w:p>
        </w:tc>
        <w:tc>
          <w:tcPr>
            <w:tcW w:w="1717" w:type="dxa"/>
            <w:vAlign w:val="center"/>
          </w:tcPr>
          <w:p w14:paraId="0B5A15BA" w14:textId="7429D9CB" w:rsidR="00460491" w:rsidRPr="009D54A4" w:rsidRDefault="00460491" w:rsidP="0010507D">
            <w:pPr>
              <w:jc w:val="both"/>
              <w:rPr>
                <w:rFonts w:hAnsiTheme="minorHAnsi" w:cstheme="minorHAnsi"/>
                <w:sz w:val="20"/>
                <w:szCs w:val="20"/>
              </w:rPr>
            </w:pPr>
            <w:r w:rsidRPr="009D54A4">
              <w:rPr>
                <w:rFonts w:hAnsiTheme="minorHAnsi" w:cstheme="minorHAnsi"/>
                <w:sz w:val="20"/>
                <w:szCs w:val="20"/>
              </w:rPr>
              <w:t>ND</w:t>
            </w:r>
          </w:p>
        </w:tc>
        <w:tc>
          <w:tcPr>
            <w:tcW w:w="1877" w:type="dxa"/>
            <w:vAlign w:val="center"/>
          </w:tcPr>
          <w:p w14:paraId="1A002E21" w14:textId="265A8761" w:rsidR="00460491" w:rsidRPr="009D54A4" w:rsidRDefault="00DC7F68" w:rsidP="0010507D">
            <w:pPr>
              <w:jc w:val="both"/>
              <w:rPr>
                <w:sz w:val="20"/>
                <w:szCs w:val="20"/>
              </w:rPr>
            </w:pPr>
            <w:r w:rsidRPr="009D54A4">
              <w:rPr>
                <w:sz w:val="20"/>
                <w:szCs w:val="20"/>
              </w:rPr>
              <w:t>Conditionnel</w:t>
            </w:r>
          </w:p>
        </w:tc>
      </w:tr>
      <w:tr w:rsidR="00DC7F68" w:rsidRPr="009D54A4" w14:paraId="56961282" w14:textId="77777777" w:rsidTr="0010507D">
        <w:tc>
          <w:tcPr>
            <w:tcW w:w="440" w:type="dxa"/>
            <w:vAlign w:val="center"/>
          </w:tcPr>
          <w:p w14:paraId="62B095D2" w14:textId="205D9752" w:rsidR="00DC7F68" w:rsidRPr="009D54A4" w:rsidRDefault="00386975" w:rsidP="0010507D">
            <w:pPr>
              <w:rPr>
                <w:b/>
                <w:sz w:val="20"/>
                <w:szCs w:val="20"/>
              </w:rPr>
            </w:pPr>
            <w:r w:rsidRPr="009D54A4">
              <w:rPr>
                <w:b/>
                <w:sz w:val="20"/>
                <w:szCs w:val="20"/>
              </w:rPr>
              <w:t>1</w:t>
            </w:r>
            <w:r w:rsidR="004655DA" w:rsidRPr="009D54A4">
              <w:rPr>
                <w:b/>
                <w:sz w:val="20"/>
                <w:szCs w:val="20"/>
              </w:rPr>
              <w:t>6</w:t>
            </w:r>
          </w:p>
        </w:tc>
        <w:tc>
          <w:tcPr>
            <w:tcW w:w="3312" w:type="dxa"/>
            <w:vAlign w:val="center"/>
          </w:tcPr>
          <w:p w14:paraId="2B70845D" w14:textId="16D1C6AC" w:rsidR="00DC7F68" w:rsidRPr="009D54A4" w:rsidRDefault="00DC7F68" w:rsidP="0010507D">
            <w:pPr>
              <w:jc w:val="both"/>
              <w:rPr>
                <w:rFonts w:asciiTheme="minorHAnsi" w:hAnsiTheme="minorHAnsi" w:cstheme="minorHAnsi"/>
                <w:sz w:val="20"/>
                <w:szCs w:val="20"/>
              </w:rPr>
            </w:pPr>
            <w:r w:rsidRPr="009D54A4">
              <w:rPr>
                <w:sz w:val="20"/>
                <w:szCs w:val="20"/>
              </w:rPr>
              <w:t>Projet de Mise en place d’un centre d'innovations technologiques dans les agropoles de Kayes – Sud, Koulikoro – Péri-urbain de Bamako, Mali Sud, Zone office du Niger/Office Riz Ségou, Zone Lacustre</w:t>
            </w:r>
          </w:p>
        </w:tc>
        <w:tc>
          <w:tcPr>
            <w:tcW w:w="2025" w:type="dxa"/>
            <w:vAlign w:val="center"/>
          </w:tcPr>
          <w:p w14:paraId="1692ACEB" w14:textId="61AADA03" w:rsidR="00DC7F68" w:rsidRPr="009D54A4" w:rsidRDefault="00712CDC" w:rsidP="0010507D">
            <w:pPr>
              <w:jc w:val="both"/>
              <w:rPr>
                <w:sz w:val="20"/>
                <w:szCs w:val="20"/>
              </w:rPr>
            </w:pPr>
            <w:r w:rsidRPr="009D54A4">
              <w:rPr>
                <w:sz w:val="20"/>
                <w:szCs w:val="20"/>
              </w:rPr>
              <w:t>5,5 milliards de FCFA</w:t>
            </w:r>
          </w:p>
        </w:tc>
        <w:tc>
          <w:tcPr>
            <w:tcW w:w="1717" w:type="dxa"/>
            <w:vAlign w:val="center"/>
          </w:tcPr>
          <w:p w14:paraId="140071A4" w14:textId="049535CA" w:rsidR="00DC7F68" w:rsidRPr="009D54A4" w:rsidRDefault="00DC7F68" w:rsidP="0010507D">
            <w:pPr>
              <w:jc w:val="both"/>
              <w:rPr>
                <w:rFonts w:hAnsiTheme="minorHAnsi" w:cstheme="minorHAnsi"/>
                <w:sz w:val="20"/>
                <w:szCs w:val="20"/>
              </w:rPr>
            </w:pPr>
            <w:r w:rsidRPr="009D54A4">
              <w:rPr>
                <w:rFonts w:hAnsiTheme="minorHAnsi" w:cstheme="minorHAnsi"/>
                <w:sz w:val="20"/>
                <w:szCs w:val="20"/>
              </w:rPr>
              <w:t>ND</w:t>
            </w:r>
          </w:p>
        </w:tc>
        <w:tc>
          <w:tcPr>
            <w:tcW w:w="1877" w:type="dxa"/>
            <w:vAlign w:val="center"/>
          </w:tcPr>
          <w:p w14:paraId="701451E1" w14:textId="6F959E87" w:rsidR="00DC7F68" w:rsidRPr="009D54A4" w:rsidRDefault="00DC7F68" w:rsidP="0010507D">
            <w:pPr>
              <w:jc w:val="both"/>
              <w:rPr>
                <w:sz w:val="20"/>
                <w:szCs w:val="20"/>
              </w:rPr>
            </w:pPr>
            <w:r w:rsidRPr="009D54A4">
              <w:rPr>
                <w:sz w:val="20"/>
                <w:szCs w:val="20"/>
              </w:rPr>
              <w:t>Conditionnel</w:t>
            </w:r>
          </w:p>
        </w:tc>
      </w:tr>
      <w:tr w:rsidR="00DC7F68" w:rsidRPr="009D54A4" w14:paraId="30886AAE" w14:textId="77777777" w:rsidTr="0010507D">
        <w:tc>
          <w:tcPr>
            <w:tcW w:w="440" w:type="dxa"/>
            <w:vAlign w:val="center"/>
          </w:tcPr>
          <w:p w14:paraId="4C717A95" w14:textId="57305206" w:rsidR="00DC7F68" w:rsidRPr="009D54A4" w:rsidRDefault="00386975" w:rsidP="0010507D">
            <w:pPr>
              <w:rPr>
                <w:b/>
                <w:sz w:val="20"/>
                <w:szCs w:val="20"/>
              </w:rPr>
            </w:pPr>
            <w:r w:rsidRPr="009D54A4">
              <w:rPr>
                <w:b/>
                <w:sz w:val="20"/>
                <w:szCs w:val="20"/>
              </w:rPr>
              <w:t>1</w:t>
            </w:r>
            <w:r w:rsidR="004655DA" w:rsidRPr="009D54A4">
              <w:rPr>
                <w:b/>
                <w:sz w:val="20"/>
                <w:szCs w:val="20"/>
              </w:rPr>
              <w:t>7</w:t>
            </w:r>
          </w:p>
        </w:tc>
        <w:tc>
          <w:tcPr>
            <w:tcW w:w="3312" w:type="dxa"/>
            <w:vAlign w:val="center"/>
          </w:tcPr>
          <w:p w14:paraId="38787973" w14:textId="32999351" w:rsidR="00DC7F68" w:rsidRPr="009D54A4" w:rsidRDefault="00DC7F68" w:rsidP="0010507D">
            <w:pPr>
              <w:jc w:val="both"/>
              <w:rPr>
                <w:rFonts w:asciiTheme="minorHAnsi" w:hAnsiTheme="minorHAnsi" w:cstheme="minorHAnsi"/>
                <w:sz w:val="20"/>
                <w:szCs w:val="20"/>
              </w:rPr>
            </w:pPr>
            <w:r w:rsidRPr="009D54A4">
              <w:rPr>
                <w:sz w:val="20"/>
                <w:szCs w:val="20"/>
              </w:rPr>
              <w:t>Projet de Formation qualifiante des jeunes ruraux aux techniques et technologies agricoles et leur insertion en les dotant de kits agricoles</w:t>
            </w:r>
          </w:p>
        </w:tc>
        <w:tc>
          <w:tcPr>
            <w:tcW w:w="2025" w:type="dxa"/>
            <w:vAlign w:val="center"/>
          </w:tcPr>
          <w:p w14:paraId="00D80A05" w14:textId="13932340" w:rsidR="00DC7F68" w:rsidRPr="009D54A4" w:rsidRDefault="00706792" w:rsidP="0010507D">
            <w:pPr>
              <w:jc w:val="both"/>
              <w:rPr>
                <w:sz w:val="20"/>
                <w:szCs w:val="20"/>
              </w:rPr>
            </w:pPr>
            <w:r w:rsidRPr="009D54A4">
              <w:rPr>
                <w:sz w:val="20"/>
                <w:szCs w:val="20"/>
              </w:rPr>
              <w:t>100 milliards de FCFA</w:t>
            </w:r>
          </w:p>
        </w:tc>
        <w:tc>
          <w:tcPr>
            <w:tcW w:w="1717" w:type="dxa"/>
            <w:vAlign w:val="center"/>
          </w:tcPr>
          <w:p w14:paraId="7B05221A" w14:textId="6B3D2F5E" w:rsidR="00DC7F68" w:rsidRPr="009D54A4" w:rsidRDefault="00DC7F68" w:rsidP="0010507D">
            <w:pPr>
              <w:jc w:val="both"/>
              <w:rPr>
                <w:rFonts w:hAnsiTheme="minorHAnsi" w:cstheme="minorHAnsi"/>
                <w:sz w:val="20"/>
                <w:szCs w:val="20"/>
              </w:rPr>
            </w:pPr>
            <w:r w:rsidRPr="009D54A4">
              <w:rPr>
                <w:rFonts w:hAnsiTheme="minorHAnsi" w:cstheme="minorHAnsi"/>
                <w:sz w:val="20"/>
                <w:szCs w:val="20"/>
              </w:rPr>
              <w:t>ND</w:t>
            </w:r>
          </w:p>
        </w:tc>
        <w:tc>
          <w:tcPr>
            <w:tcW w:w="1877" w:type="dxa"/>
            <w:vAlign w:val="center"/>
          </w:tcPr>
          <w:p w14:paraId="0EFA39CF" w14:textId="59EF84EC" w:rsidR="00DC7F68" w:rsidRPr="009D54A4" w:rsidRDefault="00DC7F68" w:rsidP="0010507D">
            <w:pPr>
              <w:jc w:val="both"/>
              <w:rPr>
                <w:sz w:val="20"/>
                <w:szCs w:val="20"/>
              </w:rPr>
            </w:pPr>
            <w:r w:rsidRPr="009D54A4">
              <w:rPr>
                <w:sz w:val="20"/>
                <w:szCs w:val="20"/>
              </w:rPr>
              <w:t>Conditionnel</w:t>
            </w:r>
          </w:p>
        </w:tc>
      </w:tr>
    </w:tbl>
    <w:p w14:paraId="2C040E6E" w14:textId="7BA17C15" w:rsidR="00382328" w:rsidRDefault="00382328" w:rsidP="002C3767">
      <w:pPr>
        <w:pStyle w:val="Titre3"/>
        <w:numPr>
          <w:ilvl w:val="2"/>
          <w:numId w:val="21"/>
        </w:numPr>
      </w:pPr>
      <w:bookmarkStart w:id="96" w:name="_Toc234853889"/>
      <w:r w:rsidRPr="00332D2B">
        <w:t>Risques climatiques ciblés</w:t>
      </w:r>
      <w:bookmarkEnd w:id="96"/>
      <w:r w:rsidRPr="00332D2B">
        <w:t xml:space="preserve"> </w:t>
      </w:r>
    </w:p>
    <w:p w14:paraId="1029E9C8" w14:textId="77777777" w:rsidR="00382328" w:rsidRPr="00B743B9" w:rsidRDefault="00382328" w:rsidP="00382328">
      <w:pPr>
        <w:spacing w:after="120" w:line="300" w:lineRule="atLeast"/>
        <w:jc w:val="both"/>
      </w:pPr>
      <w:r w:rsidRPr="002A3945">
        <w:t>Les projets identifiés dans le secteur des déchets contribuent à la réduction de plusieurs risques climatiques et hydrométéorologiques auxquels le Mali est confronté</w:t>
      </w:r>
      <w:r>
        <w:t xml:space="preserve"> </w:t>
      </w:r>
      <w:r w:rsidRPr="002A3945">
        <w:t xml:space="preserve"> Les projets d'aménagement des collecteurs de Banconi, Molobalini, Foloni, Dougouradji et Bamafalani à Bamako, ainsi que des collecteurs Kotroni et Lotio à Sikasso, visent directement la réduction des risques d'inondation en milieu urbain, à travers l'amélioration du drainage des eaux pluviales</w:t>
      </w:r>
      <w:r>
        <w:t xml:space="preserve"> </w:t>
      </w:r>
      <w:r w:rsidRPr="002A3945">
        <w:t xml:space="preserve"> Le projet d'épuration des eaux usées et de leur réutilisation pour l'irrigation contribue quant à lui à la réduction des risques de sécheresse en mobilisant une ressource alternative pour les activités agricoles</w:t>
      </w:r>
      <w:r>
        <w:t xml:space="preserve"> </w:t>
      </w:r>
      <w:r w:rsidRPr="002A3945">
        <w:t xml:space="preserve"> Le projet</w:t>
      </w:r>
      <w:r w:rsidRPr="00817BEB">
        <w:t xml:space="preserve"> intégré de traitement des eaux usées et de renforcement des infrastructures d’assainissement à Bamako </w:t>
      </w:r>
      <w:r w:rsidRPr="002A3945">
        <w:t>participe également à la réduction des risques d'inondation urbaine en limitant l'accumulation d'effluents non traités dans les systèmes de drainage</w:t>
      </w:r>
      <w:r>
        <w:t xml:space="preserve"> </w:t>
      </w:r>
      <w:r w:rsidRPr="002A3945">
        <w:t xml:space="preserve"> Enfin, les projets de renforcement des capacités des agents de la DNACPN et de formation des </w:t>
      </w:r>
      <w:r w:rsidRPr="002A3945">
        <w:lastRenderedPageBreak/>
        <w:t>acteurs sur les textes du secteur, sans cibler un risque spécifique, renforcent les capacités institutionnelles d'anticipation et de gestion des risques climatiques liés à l'environnement et aux déchets</w:t>
      </w:r>
      <w:r>
        <w:t xml:space="preserve"> </w:t>
      </w:r>
    </w:p>
    <w:tbl>
      <w:tblPr>
        <w:tblStyle w:val="Grilledutableau"/>
        <w:tblW w:w="0" w:type="auto"/>
        <w:tblBorders>
          <w:insideH w:val="single" w:sz="12" w:space="0" w:color="2F5496" w:themeColor="accent5" w:themeShade="BF"/>
        </w:tblBorders>
        <w:shd w:val="clear" w:color="auto" w:fill="EDF1F9"/>
        <w:tblLook w:val="04A0" w:firstRow="1" w:lastRow="0" w:firstColumn="1" w:lastColumn="0" w:noHBand="0" w:noVBand="1"/>
      </w:tblPr>
      <w:tblGrid>
        <w:gridCol w:w="440"/>
        <w:gridCol w:w="5073"/>
        <w:gridCol w:w="1951"/>
        <w:gridCol w:w="1952"/>
      </w:tblGrid>
      <w:tr w:rsidR="00466F95" w:rsidRPr="00B743B9" w14:paraId="1450BCCF" w14:textId="77777777">
        <w:trPr>
          <w:trHeight w:val="488"/>
        </w:trPr>
        <w:tc>
          <w:tcPr>
            <w:tcW w:w="440" w:type="dxa"/>
            <w:tcBorders>
              <w:top w:val="nil"/>
              <w:bottom w:val="single" w:sz="12" w:space="0" w:color="2F5496" w:themeColor="accent5" w:themeShade="BF"/>
            </w:tcBorders>
            <w:shd w:val="clear" w:color="auto" w:fill="EDF1F9"/>
            <w:vAlign w:val="center"/>
          </w:tcPr>
          <w:p w14:paraId="32FA6A62" w14:textId="77777777" w:rsidR="00466F95" w:rsidRPr="00B743B9" w:rsidRDefault="00466F95" w:rsidP="00466F95">
            <w:pPr>
              <w:jc w:val="center"/>
              <w:rPr>
                <w:b/>
                <w:bCs/>
              </w:rPr>
            </w:pPr>
            <w:r w:rsidRPr="00B743B9">
              <w:rPr>
                <w:b/>
                <w:bCs/>
              </w:rPr>
              <w:t>1</w:t>
            </w:r>
          </w:p>
        </w:tc>
        <w:tc>
          <w:tcPr>
            <w:tcW w:w="5073" w:type="dxa"/>
            <w:tcBorders>
              <w:top w:val="nil"/>
              <w:bottom w:val="single" w:sz="12" w:space="0" w:color="2F5496" w:themeColor="accent5" w:themeShade="BF"/>
            </w:tcBorders>
            <w:shd w:val="clear" w:color="auto" w:fill="EDF1F9"/>
            <w:vAlign w:val="center"/>
          </w:tcPr>
          <w:p w14:paraId="0753BFBA" w14:textId="4B3404F9" w:rsidR="00466F95" w:rsidRPr="001A5233" w:rsidRDefault="00466F95" w:rsidP="00466F95">
            <w:r w:rsidRPr="00B536AD">
              <w:rPr>
                <w:rFonts w:asciiTheme="minorHAnsi" w:hAnsiTheme="minorHAnsi" w:cstheme="minorHAnsi"/>
              </w:rPr>
              <w:t>Paysages Résilients, Productifs et Durables (PRPD).</w:t>
            </w:r>
          </w:p>
        </w:tc>
        <w:tc>
          <w:tcPr>
            <w:tcW w:w="3903" w:type="dxa"/>
            <w:gridSpan w:val="2"/>
            <w:vMerge w:val="restart"/>
            <w:tcBorders>
              <w:top w:val="nil"/>
            </w:tcBorders>
            <w:shd w:val="clear" w:color="auto" w:fill="EDF1F9"/>
            <w:vAlign w:val="center"/>
          </w:tcPr>
          <w:p w14:paraId="0DA5A511" w14:textId="77777777" w:rsidR="00466F95" w:rsidRPr="00B743B9" w:rsidRDefault="00466F95" w:rsidP="007752DD">
            <w:pPr>
              <w:jc w:val="center"/>
              <w:rPr>
                <w:b/>
                <w:bCs/>
              </w:rPr>
            </w:pPr>
            <w:r>
              <w:rPr>
                <w:b/>
                <w:bCs/>
              </w:rPr>
              <w:t>Sécheresse</w:t>
            </w:r>
          </w:p>
          <w:p w14:paraId="32EEF599" w14:textId="26BA3E97" w:rsidR="00466F95" w:rsidRPr="00B743B9" w:rsidRDefault="00466F95" w:rsidP="00466F95">
            <w:pPr>
              <w:rPr>
                <w:b/>
                <w:bCs/>
              </w:rPr>
            </w:pPr>
            <w:r w:rsidRPr="007969E0">
              <w:rPr>
                <w:noProof/>
              </w:rPr>
              <w:drawing>
                <wp:anchor distT="0" distB="0" distL="114300" distR="114300" simplePos="0" relativeHeight="251658259" behindDoc="0" locked="0" layoutInCell="1" allowOverlap="1" wp14:anchorId="51FFF049" wp14:editId="25BD55E4">
                  <wp:simplePos x="0" y="0"/>
                  <wp:positionH relativeFrom="column">
                    <wp:posOffset>929640</wp:posOffset>
                  </wp:positionH>
                  <wp:positionV relativeFrom="paragraph">
                    <wp:posOffset>200025</wp:posOffset>
                  </wp:positionV>
                  <wp:extent cx="554355" cy="554355"/>
                  <wp:effectExtent l="0" t="0" r="0" b="0"/>
                  <wp:wrapNone/>
                  <wp:docPr id="936065406" name="Image 7">
                    <a:extLst xmlns:a="http://schemas.openxmlformats.org/drawingml/2006/main">
                      <a:ext uri="{FF2B5EF4-FFF2-40B4-BE49-F238E27FC236}">
                        <a16:creationId xmlns:a16="http://schemas.microsoft.com/office/drawing/2014/main" id="{69138AEB-6BCC-DE84-AF67-39169FCDFC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69138AEB-6BCC-DE84-AF67-39169FCDFC18}"/>
                              </a:ext>
                            </a:extLst>
                          </pic:cNvPr>
                          <pic:cNvPicPr>
                            <a:picLocks noChangeAspect="1"/>
                          </pic:cNvPicPr>
                        </pic:nvPicPr>
                        <pic:blipFill>
                          <a:blip r:embed="rId30">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p>
        </w:tc>
      </w:tr>
      <w:tr w:rsidR="00466F95" w:rsidRPr="00B743B9" w14:paraId="170EBC6B" w14:textId="77777777">
        <w:trPr>
          <w:trHeight w:val="630"/>
        </w:trPr>
        <w:tc>
          <w:tcPr>
            <w:tcW w:w="440" w:type="dxa"/>
            <w:tcBorders>
              <w:top w:val="single" w:sz="4" w:space="0" w:color="auto"/>
              <w:bottom w:val="single" w:sz="12" w:space="0" w:color="2F5496" w:themeColor="accent5" w:themeShade="BF"/>
            </w:tcBorders>
            <w:shd w:val="clear" w:color="auto" w:fill="EDF1F9"/>
            <w:vAlign w:val="center"/>
          </w:tcPr>
          <w:p w14:paraId="78681CF3" w14:textId="25AF941C" w:rsidR="00466F95" w:rsidRPr="00B743B9" w:rsidRDefault="00466F95" w:rsidP="00466F95">
            <w:pPr>
              <w:jc w:val="center"/>
              <w:rPr>
                <w:b/>
                <w:bCs/>
              </w:rPr>
            </w:pPr>
            <w:r>
              <w:rPr>
                <w:b/>
                <w:bCs/>
              </w:rPr>
              <w:t>2</w:t>
            </w:r>
          </w:p>
        </w:tc>
        <w:tc>
          <w:tcPr>
            <w:tcW w:w="5073" w:type="dxa"/>
            <w:tcBorders>
              <w:top w:val="single" w:sz="12" w:space="0" w:color="2F5496" w:themeColor="accent5" w:themeShade="BF"/>
              <w:bottom w:val="single" w:sz="12" w:space="0" w:color="2F5496" w:themeColor="accent5" w:themeShade="BF"/>
            </w:tcBorders>
            <w:shd w:val="clear" w:color="auto" w:fill="EDF1F9"/>
          </w:tcPr>
          <w:p w14:paraId="4D2B889E" w14:textId="77777777" w:rsidR="00466F95" w:rsidRPr="00172D4A" w:rsidRDefault="00466F95" w:rsidP="00466F95">
            <w:pPr>
              <w:jc w:val="both"/>
            </w:pPr>
            <w:r w:rsidRPr="00B536AD">
              <w:rPr>
                <w:rFonts w:asciiTheme="minorHAnsi" w:hAnsiTheme="minorHAnsi" w:cstheme="minorHAnsi"/>
              </w:rPr>
              <w:t xml:space="preserve">Projet Régional d'Appui au Pastoralisme au Sahel (PRAPS) – Phase II. </w:t>
            </w:r>
          </w:p>
        </w:tc>
        <w:tc>
          <w:tcPr>
            <w:tcW w:w="3903" w:type="dxa"/>
            <w:gridSpan w:val="2"/>
            <w:vMerge/>
            <w:shd w:val="clear" w:color="auto" w:fill="EDF1F9"/>
          </w:tcPr>
          <w:p w14:paraId="1A24F66F" w14:textId="279A1871" w:rsidR="00466F95" w:rsidRPr="007969E0" w:rsidRDefault="00466F95" w:rsidP="00466F95"/>
        </w:tc>
      </w:tr>
      <w:tr w:rsidR="00466F95" w:rsidRPr="00B743B9" w14:paraId="3E7DEE53" w14:textId="77777777">
        <w:trPr>
          <w:trHeight w:val="540"/>
        </w:trPr>
        <w:tc>
          <w:tcPr>
            <w:tcW w:w="440" w:type="dxa"/>
            <w:tcBorders>
              <w:top w:val="single" w:sz="12" w:space="0" w:color="2F5496" w:themeColor="accent5" w:themeShade="BF"/>
            </w:tcBorders>
            <w:shd w:val="clear" w:color="auto" w:fill="EDF1F9"/>
            <w:vAlign w:val="center"/>
          </w:tcPr>
          <w:p w14:paraId="2B5F2246" w14:textId="4F4986FB" w:rsidR="00466F95" w:rsidRPr="00B743B9" w:rsidRDefault="00466F95" w:rsidP="00466F95">
            <w:pPr>
              <w:jc w:val="center"/>
              <w:rPr>
                <w:b/>
                <w:bCs/>
              </w:rPr>
            </w:pPr>
            <w:r>
              <w:rPr>
                <w:b/>
                <w:bCs/>
              </w:rPr>
              <w:t>3</w:t>
            </w:r>
          </w:p>
        </w:tc>
        <w:tc>
          <w:tcPr>
            <w:tcW w:w="5073" w:type="dxa"/>
            <w:tcBorders>
              <w:top w:val="single" w:sz="12" w:space="0" w:color="2F5496" w:themeColor="accent5" w:themeShade="BF"/>
            </w:tcBorders>
            <w:shd w:val="clear" w:color="auto" w:fill="EDF1F9"/>
          </w:tcPr>
          <w:p w14:paraId="7BB2A341" w14:textId="05C3A38E" w:rsidR="00466F95" w:rsidRPr="00B743B9" w:rsidRDefault="00466F95" w:rsidP="00466F95">
            <w:pPr>
              <w:jc w:val="both"/>
              <w:rPr>
                <w:b/>
                <w:bCs/>
              </w:rPr>
            </w:pPr>
            <w:r w:rsidRPr="00B536AD">
              <w:rPr>
                <w:rFonts w:asciiTheme="minorHAnsi" w:hAnsiTheme="minorHAnsi" w:cstheme="minorHAnsi"/>
              </w:rPr>
              <w:t>Programme National de Mise à l'échelle du Système de riziculture Intensif (PN-SRI) au Mali.</w:t>
            </w:r>
          </w:p>
        </w:tc>
        <w:tc>
          <w:tcPr>
            <w:tcW w:w="3903" w:type="dxa"/>
            <w:gridSpan w:val="2"/>
            <w:vMerge/>
            <w:shd w:val="clear" w:color="auto" w:fill="EDF1F9"/>
          </w:tcPr>
          <w:p w14:paraId="5C72E311" w14:textId="28C5B688" w:rsidR="00466F95" w:rsidRPr="00B743B9" w:rsidRDefault="00466F95" w:rsidP="00466F95">
            <w:pPr>
              <w:rPr>
                <w:b/>
                <w:bCs/>
              </w:rPr>
            </w:pPr>
          </w:p>
        </w:tc>
      </w:tr>
      <w:tr w:rsidR="00466F95" w:rsidRPr="00B743B9" w14:paraId="46A4BF96" w14:textId="77777777">
        <w:trPr>
          <w:trHeight w:val="283"/>
        </w:trPr>
        <w:tc>
          <w:tcPr>
            <w:tcW w:w="440" w:type="dxa"/>
            <w:shd w:val="clear" w:color="auto" w:fill="EDF1F9"/>
            <w:vAlign w:val="center"/>
          </w:tcPr>
          <w:p w14:paraId="002CB641" w14:textId="7D2823AD" w:rsidR="00466F95" w:rsidRPr="00B743B9" w:rsidRDefault="00466F95" w:rsidP="00466F95">
            <w:pPr>
              <w:jc w:val="center"/>
              <w:rPr>
                <w:b/>
                <w:bCs/>
              </w:rPr>
            </w:pPr>
            <w:r>
              <w:rPr>
                <w:b/>
                <w:bCs/>
              </w:rPr>
              <w:t>4</w:t>
            </w:r>
          </w:p>
        </w:tc>
        <w:tc>
          <w:tcPr>
            <w:tcW w:w="5073" w:type="dxa"/>
            <w:shd w:val="clear" w:color="auto" w:fill="EDF1F9"/>
          </w:tcPr>
          <w:p w14:paraId="4E5895C2" w14:textId="16DD277E" w:rsidR="00466F95" w:rsidRPr="00A0394D" w:rsidRDefault="00466F95" w:rsidP="00466F95">
            <w:pPr>
              <w:jc w:val="both"/>
            </w:pPr>
            <w:r w:rsidRPr="00B536AD">
              <w:rPr>
                <w:rFonts w:asciiTheme="minorHAnsi" w:hAnsiTheme="minorHAnsi" w:cstheme="minorHAnsi"/>
              </w:rPr>
              <w:t>Programme Promotion de la Production et de la productivité de l'Agriculture Durable au Mali.</w:t>
            </w:r>
          </w:p>
        </w:tc>
        <w:tc>
          <w:tcPr>
            <w:tcW w:w="3903" w:type="dxa"/>
            <w:gridSpan w:val="2"/>
            <w:vMerge/>
            <w:shd w:val="clear" w:color="auto" w:fill="EDF1F9"/>
          </w:tcPr>
          <w:p w14:paraId="37760B85" w14:textId="43F84D08" w:rsidR="00466F95" w:rsidRDefault="00466F95" w:rsidP="00466F95">
            <w:pPr>
              <w:rPr>
                <w:b/>
                <w:bCs/>
                <w:noProof/>
              </w:rPr>
            </w:pPr>
          </w:p>
        </w:tc>
      </w:tr>
      <w:tr w:rsidR="00466F95" w:rsidRPr="00B743B9" w14:paraId="34870616" w14:textId="77777777">
        <w:trPr>
          <w:trHeight w:val="283"/>
        </w:trPr>
        <w:tc>
          <w:tcPr>
            <w:tcW w:w="440" w:type="dxa"/>
            <w:shd w:val="clear" w:color="auto" w:fill="EDF1F9"/>
            <w:vAlign w:val="center"/>
          </w:tcPr>
          <w:p w14:paraId="3956C844" w14:textId="40F52CE7" w:rsidR="00466F95" w:rsidRPr="00B743B9" w:rsidRDefault="00466F95" w:rsidP="00466F95">
            <w:pPr>
              <w:jc w:val="center"/>
              <w:rPr>
                <w:b/>
                <w:bCs/>
              </w:rPr>
            </w:pPr>
            <w:r>
              <w:rPr>
                <w:b/>
                <w:bCs/>
              </w:rPr>
              <w:t>5</w:t>
            </w:r>
          </w:p>
        </w:tc>
        <w:tc>
          <w:tcPr>
            <w:tcW w:w="5073" w:type="dxa"/>
            <w:shd w:val="clear" w:color="auto" w:fill="EDF1F9"/>
          </w:tcPr>
          <w:p w14:paraId="514DAC53" w14:textId="7A63AEAA" w:rsidR="00466F95" w:rsidRPr="00A0394D" w:rsidRDefault="00466F95" w:rsidP="00466F95">
            <w:pPr>
              <w:jc w:val="both"/>
            </w:pPr>
            <w:r w:rsidRPr="00B536AD">
              <w:rPr>
                <w:rFonts w:asciiTheme="minorHAnsi" w:hAnsiTheme="minorHAnsi" w:cstheme="minorHAnsi"/>
              </w:rPr>
              <w:t>Projet de Réalisation de périmètres maraîchers par le système des murets dans les régions et le District de Bamako.</w:t>
            </w:r>
          </w:p>
        </w:tc>
        <w:tc>
          <w:tcPr>
            <w:tcW w:w="3903" w:type="dxa"/>
            <w:gridSpan w:val="2"/>
            <w:vMerge/>
            <w:shd w:val="clear" w:color="auto" w:fill="EDF1F9"/>
          </w:tcPr>
          <w:p w14:paraId="2BD8BAE7" w14:textId="77777777" w:rsidR="00466F95" w:rsidRDefault="00466F95" w:rsidP="00466F95">
            <w:pPr>
              <w:rPr>
                <w:b/>
                <w:bCs/>
                <w:noProof/>
              </w:rPr>
            </w:pPr>
          </w:p>
        </w:tc>
      </w:tr>
      <w:tr w:rsidR="00466F95" w:rsidRPr="00B743B9" w14:paraId="5BF71B00" w14:textId="77777777">
        <w:trPr>
          <w:trHeight w:val="283"/>
        </w:trPr>
        <w:tc>
          <w:tcPr>
            <w:tcW w:w="440" w:type="dxa"/>
            <w:shd w:val="clear" w:color="auto" w:fill="EDF1F9"/>
            <w:vAlign w:val="center"/>
          </w:tcPr>
          <w:p w14:paraId="3B014F7C" w14:textId="5DDF81B5" w:rsidR="00466F95" w:rsidRPr="00B743B9" w:rsidRDefault="00466F95" w:rsidP="00466F95">
            <w:pPr>
              <w:jc w:val="center"/>
              <w:rPr>
                <w:b/>
                <w:bCs/>
              </w:rPr>
            </w:pPr>
            <w:r>
              <w:rPr>
                <w:b/>
                <w:bCs/>
              </w:rPr>
              <w:t>6</w:t>
            </w:r>
          </w:p>
        </w:tc>
        <w:tc>
          <w:tcPr>
            <w:tcW w:w="5073" w:type="dxa"/>
            <w:shd w:val="clear" w:color="auto" w:fill="EDF1F9"/>
          </w:tcPr>
          <w:p w14:paraId="3C532B8D" w14:textId="30E69603" w:rsidR="00466F95" w:rsidRPr="00A0394D" w:rsidRDefault="00466F95" w:rsidP="00466F95">
            <w:pPr>
              <w:jc w:val="both"/>
            </w:pPr>
            <w:r w:rsidRPr="00B536AD">
              <w:rPr>
                <w:rFonts w:asciiTheme="minorHAnsi" w:hAnsiTheme="minorHAnsi" w:cstheme="minorHAnsi"/>
              </w:rPr>
              <w:t xml:space="preserve">Projet d’amélioration de la fertilité des sols et d’adaptions aux effets du Changement climatique. </w:t>
            </w:r>
          </w:p>
        </w:tc>
        <w:tc>
          <w:tcPr>
            <w:tcW w:w="3903" w:type="dxa"/>
            <w:gridSpan w:val="2"/>
            <w:vMerge/>
            <w:tcBorders>
              <w:bottom w:val="nil"/>
            </w:tcBorders>
            <w:shd w:val="clear" w:color="auto" w:fill="EDF1F9"/>
          </w:tcPr>
          <w:p w14:paraId="5DBAA274" w14:textId="77777777" w:rsidR="00466F95" w:rsidRDefault="00466F95" w:rsidP="00466F95">
            <w:pPr>
              <w:rPr>
                <w:b/>
                <w:bCs/>
                <w:noProof/>
              </w:rPr>
            </w:pPr>
          </w:p>
        </w:tc>
      </w:tr>
      <w:tr w:rsidR="00466F95" w:rsidRPr="00B743B9" w14:paraId="4790C751" w14:textId="77777777">
        <w:trPr>
          <w:trHeight w:val="405"/>
        </w:trPr>
        <w:tc>
          <w:tcPr>
            <w:tcW w:w="440" w:type="dxa"/>
            <w:vMerge w:val="restart"/>
            <w:shd w:val="clear" w:color="auto" w:fill="EDF1F9"/>
            <w:vAlign w:val="center"/>
          </w:tcPr>
          <w:p w14:paraId="211DCF4E" w14:textId="627FDC36" w:rsidR="00466F95" w:rsidRDefault="00466F95" w:rsidP="00466F95">
            <w:pPr>
              <w:jc w:val="center"/>
              <w:rPr>
                <w:b/>
                <w:bCs/>
              </w:rPr>
            </w:pPr>
            <w:r>
              <w:rPr>
                <w:b/>
                <w:bCs/>
              </w:rPr>
              <w:t>7</w:t>
            </w:r>
          </w:p>
        </w:tc>
        <w:tc>
          <w:tcPr>
            <w:tcW w:w="5073" w:type="dxa"/>
            <w:vMerge w:val="restart"/>
            <w:shd w:val="clear" w:color="auto" w:fill="EDF1F9"/>
          </w:tcPr>
          <w:p w14:paraId="0FA6A101" w14:textId="1915CADB" w:rsidR="00466F95" w:rsidRPr="0086161C" w:rsidRDefault="00466F95" w:rsidP="00466F95">
            <w:pPr>
              <w:jc w:val="both"/>
            </w:pPr>
            <w:r w:rsidRPr="00B536AD">
              <w:rPr>
                <w:rFonts w:asciiTheme="minorHAnsi" w:hAnsiTheme="minorHAnsi" w:cstheme="minorHAnsi"/>
              </w:rPr>
              <w:t>Projet d’appui à la résilience des communautés vulnérables des zones humides dans le Delta Intérieur du Niger et le sous bassin de Sourou.</w:t>
            </w:r>
          </w:p>
        </w:tc>
        <w:tc>
          <w:tcPr>
            <w:tcW w:w="1951" w:type="dxa"/>
            <w:tcBorders>
              <w:top w:val="nil"/>
              <w:bottom w:val="nil"/>
            </w:tcBorders>
            <w:shd w:val="clear" w:color="auto" w:fill="EDF1F9"/>
            <w:vAlign w:val="center"/>
          </w:tcPr>
          <w:p w14:paraId="51A9CFF2" w14:textId="6163B3F4" w:rsidR="00466F95" w:rsidRDefault="00466F95" w:rsidP="00466F95">
            <w:pPr>
              <w:jc w:val="center"/>
              <w:rPr>
                <w:b/>
                <w:bCs/>
                <w:noProof/>
              </w:rPr>
            </w:pPr>
            <w:r>
              <w:rPr>
                <w:b/>
                <w:bCs/>
              </w:rPr>
              <w:t>Sécheresse</w:t>
            </w:r>
          </w:p>
        </w:tc>
        <w:tc>
          <w:tcPr>
            <w:tcW w:w="1952" w:type="dxa"/>
            <w:tcBorders>
              <w:top w:val="nil"/>
              <w:bottom w:val="nil"/>
            </w:tcBorders>
            <w:shd w:val="clear" w:color="auto" w:fill="EDF1F9"/>
            <w:vAlign w:val="center"/>
          </w:tcPr>
          <w:p w14:paraId="067B69A6" w14:textId="2E156538" w:rsidR="00466F95" w:rsidRDefault="00466F95" w:rsidP="00466F95">
            <w:pPr>
              <w:jc w:val="center"/>
              <w:rPr>
                <w:b/>
                <w:bCs/>
                <w:noProof/>
              </w:rPr>
            </w:pPr>
            <w:r>
              <w:rPr>
                <w:b/>
                <w:bCs/>
              </w:rPr>
              <w:t>Inondation</w:t>
            </w:r>
          </w:p>
        </w:tc>
      </w:tr>
      <w:tr w:rsidR="00466F95" w:rsidRPr="00B743B9" w14:paraId="6F786F53" w14:textId="77777777">
        <w:trPr>
          <w:trHeight w:val="405"/>
        </w:trPr>
        <w:tc>
          <w:tcPr>
            <w:tcW w:w="440" w:type="dxa"/>
            <w:vMerge/>
            <w:shd w:val="clear" w:color="auto" w:fill="EDF1F9"/>
            <w:vAlign w:val="center"/>
          </w:tcPr>
          <w:p w14:paraId="478711EC" w14:textId="77777777" w:rsidR="00466F95" w:rsidRDefault="00466F95" w:rsidP="00466F95">
            <w:pPr>
              <w:jc w:val="center"/>
              <w:rPr>
                <w:b/>
                <w:bCs/>
              </w:rPr>
            </w:pPr>
          </w:p>
        </w:tc>
        <w:tc>
          <w:tcPr>
            <w:tcW w:w="5073" w:type="dxa"/>
            <w:vMerge/>
            <w:shd w:val="clear" w:color="auto" w:fill="EDF1F9"/>
          </w:tcPr>
          <w:p w14:paraId="23C76F84" w14:textId="77777777" w:rsidR="00466F95" w:rsidRPr="00B536AD" w:rsidRDefault="00466F95" w:rsidP="00466F95">
            <w:pPr>
              <w:jc w:val="both"/>
              <w:rPr>
                <w:rFonts w:asciiTheme="minorHAnsi" w:hAnsiTheme="minorHAnsi" w:cstheme="minorHAnsi"/>
              </w:rPr>
            </w:pPr>
          </w:p>
        </w:tc>
        <w:tc>
          <w:tcPr>
            <w:tcW w:w="1951" w:type="dxa"/>
            <w:tcBorders>
              <w:top w:val="nil"/>
              <w:bottom w:val="nil"/>
            </w:tcBorders>
            <w:shd w:val="clear" w:color="auto" w:fill="EDF1F9"/>
          </w:tcPr>
          <w:p w14:paraId="70EEE274" w14:textId="48FB7527" w:rsidR="00466F95" w:rsidRDefault="00466F95" w:rsidP="00466F95">
            <w:pPr>
              <w:rPr>
                <w:b/>
                <w:bCs/>
                <w:noProof/>
              </w:rPr>
            </w:pPr>
            <w:r w:rsidRPr="007969E0">
              <w:rPr>
                <w:noProof/>
              </w:rPr>
              <w:drawing>
                <wp:anchor distT="0" distB="0" distL="114300" distR="114300" simplePos="0" relativeHeight="251658257" behindDoc="0" locked="0" layoutInCell="1" allowOverlap="1" wp14:anchorId="6B23B4DC" wp14:editId="748E0A4A">
                  <wp:simplePos x="0" y="0"/>
                  <wp:positionH relativeFrom="column">
                    <wp:posOffset>388620</wp:posOffset>
                  </wp:positionH>
                  <wp:positionV relativeFrom="paragraph">
                    <wp:posOffset>-6704</wp:posOffset>
                  </wp:positionV>
                  <wp:extent cx="323850" cy="323850"/>
                  <wp:effectExtent l="0" t="0" r="0" b="0"/>
                  <wp:wrapNone/>
                  <wp:docPr id="1865897029" name="Image 7">
                    <a:extLst xmlns:a="http://schemas.openxmlformats.org/drawingml/2006/main">
                      <a:ext uri="{FF2B5EF4-FFF2-40B4-BE49-F238E27FC236}">
                        <a16:creationId xmlns:a16="http://schemas.microsoft.com/office/drawing/2014/main" id="{69138AEB-6BCC-DE84-AF67-39169FCDFC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69138AEB-6BCC-DE84-AF67-39169FCDFC18}"/>
                              </a:ext>
                            </a:extLst>
                          </pic:cNvPr>
                          <pic:cNvPicPr>
                            <a:picLocks noChangeAspect="1"/>
                          </pic:cNvPicPr>
                        </pic:nvPicPr>
                        <pic:blipFill>
                          <a:blip r:embed="rId30">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23850" cy="323850"/>
                          </a:xfrm>
                          <a:prstGeom prst="rect">
                            <a:avLst/>
                          </a:prstGeom>
                        </pic:spPr>
                      </pic:pic>
                    </a:graphicData>
                  </a:graphic>
                  <wp14:sizeRelH relativeFrom="margin">
                    <wp14:pctWidth>0</wp14:pctWidth>
                  </wp14:sizeRelH>
                  <wp14:sizeRelV relativeFrom="margin">
                    <wp14:pctHeight>0</wp14:pctHeight>
                  </wp14:sizeRelV>
                </wp:anchor>
              </w:drawing>
            </w:r>
          </w:p>
          <w:p w14:paraId="50F3A7DF" w14:textId="41E99CEE" w:rsidR="00466F95" w:rsidRDefault="00466F95" w:rsidP="00466F95">
            <w:pPr>
              <w:rPr>
                <w:b/>
                <w:bCs/>
                <w:noProof/>
              </w:rPr>
            </w:pPr>
          </w:p>
        </w:tc>
        <w:tc>
          <w:tcPr>
            <w:tcW w:w="1952" w:type="dxa"/>
            <w:tcBorders>
              <w:top w:val="nil"/>
              <w:bottom w:val="nil"/>
            </w:tcBorders>
            <w:shd w:val="clear" w:color="auto" w:fill="EDF1F9"/>
          </w:tcPr>
          <w:p w14:paraId="350DDA32" w14:textId="1375B57A" w:rsidR="00466F95" w:rsidRDefault="00466F95" w:rsidP="00466F95">
            <w:pPr>
              <w:rPr>
                <w:b/>
                <w:bCs/>
                <w:noProof/>
              </w:rPr>
            </w:pPr>
            <w:r w:rsidRPr="007969E0">
              <w:rPr>
                <w:noProof/>
              </w:rPr>
              <w:drawing>
                <wp:anchor distT="0" distB="0" distL="114300" distR="114300" simplePos="0" relativeHeight="251658258" behindDoc="0" locked="0" layoutInCell="1" allowOverlap="1" wp14:anchorId="25BFC9E9" wp14:editId="48AE376B">
                  <wp:simplePos x="0" y="0"/>
                  <wp:positionH relativeFrom="column">
                    <wp:posOffset>418288</wp:posOffset>
                  </wp:positionH>
                  <wp:positionV relativeFrom="paragraph">
                    <wp:posOffset>28575</wp:posOffset>
                  </wp:positionV>
                  <wp:extent cx="288000" cy="288000"/>
                  <wp:effectExtent l="0" t="0" r="0" b="0"/>
                  <wp:wrapNone/>
                  <wp:docPr id="844709781" name="Image 8">
                    <a:extLst xmlns:a="http://schemas.openxmlformats.org/drawingml/2006/main">
                      <a:ext uri="{FF2B5EF4-FFF2-40B4-BE49-F238E27FC236}">
                        <a16:creationId xmlns:a16="http://schemas.microsoft.com/office/drawing/2014/main" id="{4CEAFBD5-751E-C7CB-C0C5-021262199B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4CEAFBD5-751E-C7CB-C0C5-021262199BB1}"/>
                              </a:ext>
                            </a:extLst>
                          </pic:cNvPr>
                          <pic:cNvPicPr>
                            <a:picLocks noChangeAspect="1"/>
                          </pic:cNvPicPr>
                        </pic:nvPicPr>
                        <pic:blipFill>
                          <a:blip r:embed="rId31">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288000" cy="288000"/>
                          </a:xfrm>
                          <a:prstGeom prst="rect">
                            <a:avLst/>
                          </a:prstGeom>
                        </pic:spPr>
                      </pic:pic>
                    </a:graphicData>
                  </a:graphic>
                  <wp14:sizeRelH relativeFrom="margin">
                    <wp14:pctWidth>0</wp14:pctWidth>
                  </wp14:sizeRelH>
                  <wp14:sizeRelV relativeFrom="margin">
                    <wp14:pctHeight>0</wp14:pctHeight>
                  </wp14:sizeRelV>
                </wp:anchor>
              </w:drawing>
            </w:r>
          </w:p>
        </w:tc>
      </w:tr>
      <w:tr w:rsidR="00466F95" w:rsidRPr="00B743B9" w14:paraId="1DFC82CA" w14:textId="77777777">
        <w:trPr>
          <w:trHeight w:val="283"/>
        </w:trPr>
        <w:tc>
          <w:tcPr>
            <w:tcW w:w="440" w:type="dxa"/>
            <w:shd w:val="clear" w:color="auto" w:fill="EDF1F9"/>
            <w:vAlign w:val="center"/>
          </w:tcPr>
          <w:p w14:paraId="0AB6D791" w14:textId="5E2FED31" w:rsidR="00466F95" w:rsidRDefault="00466F95" w:rsidP="00466F95">
            <w:pPr>
              <w:jc w:val="center"/>
              <w:rPr>
                <w:b/>
                <w:bCs/>
              </w:rPr>
            </w:pPr>
            <w:r>
              <w:rPr>
                <w:b/>
                <w:bCs/>
              </w:rPr>
              <w:t>8</w:t>
            </w:r>
          </w:p>
        </w:tc>
        <w:tc>
          <w:tcPr>
            <w:tcW w:w="5073" w:type="dxa"/>
            <w:shd w:val="clear" w:color="auto" w:fill="EDF1F9"/>
          </w:tcPr>
          <w:p w14:paraId="23789A16" w14:textId="7413FE42" w:rsidR="00466F95" w:rsidRPr="0086161C" w:rsidRDefault="00466F95" w:rsidP="00466F95">
            <w:pPr>
              <w:jc w:val="both"/>
            </w:pPr>
            <w:r w:rsidRPr="00B536AD">
              <w:rPr>
                <w:rFonts w:asciiTheme="minorHAnsi" w:hAnsiTheme="minorHAnsi" w:cstheme="minorHAnsi"/>
              </w:rPr>
              <w:t>Projet d’Extension de l’Approche SHEP (Agriculture orientée vers Marché).</w:t>
            </w:r>
          </w:p>
        </w:tc>
        <w:tc>
          <w:tcPr>
            <w:tcW w:w="3903" w:type="dxa"/>
            <w:gridSpan w:val="2"/>
            <w:vMerge w:val="restart"/>
            <w:tcBorders>
              <w:top w:val="nil"/>
            </w:tcBorders>
            <w:shd w:val="clear" w:color="auto" w:fill="EDF1F9"/>
          </w:tcPr>
          <w:p w14:paraId="20A371E8" w14:textId="77777777" w:rsidR="00466F95" w:rsidRDefault="00466F95" w:rsidP="00466F95">
            <w:pPr>
              <w:rPr>
                <w:b/>
                <w:bCs/>
                <w:noProof/>
              </w:rPr>
            </w:pPr>
          </w:p>
          <w:p w14:paraId="5ED53B05" w14:textId="77777777" w:rsidR="007752DD" w:rsidRDefault="007752DD" w:rsidP="007752DD">
            <w:pPr>
              <w:jc w:val="center"/>
              <w:rPr>
                <w:b/>
                <w:bCs/>
              </w:rPr>
            </w:pPr>
          </w:p>
          <w:p w14:paraId="5BC6BB31" w14:textId="77777777" w:rsidR="007752DD" w:rsidRDefault="007752DD" w:rsidP="007752DD">
            <w:pPr>
              <w:jc w:val="center"/>
              <w:rPr>
                <w:b/>
                <w:bCs/>
              </w:rPr>
            </w:pPr>
          </w:p>
          <w:p w14:paraId="3955832F" w14:textId="35460F53" w:rsidR="007752DD" w:rsidRPr="00B743B9" w:rsidRDefault="007752DD" w:rsidP="007752DD">
            <w:pPr>
              <w:jc w:val="center"/>
              <w:rPr>
                <w:b/>
                <w:bCs/>
              </w:rPr>
            </w:pPr>
            <w:r>
              <w:rPr>
                <w:b/>
                <w:bCs/>
              </w:rPr>
              <w:t>Sécheresse</w:t>
            </w:r>
          </w:p>
          <w:p w14:paraId="64BC119C" w14:textId="5123B9CA" w:rsidR="007752DD" w:rsidRDefault="007752DD" w:rsidP="00466F95">
            <w:pPr>
              <w:rPr>
                <w:b/>
                <w:bCs/>
                <w:noProof/>
              </w:rPr>
            </w:pPr>
            <w:r w:rsidRPr="007969E0">
              <w:rPr>
                <w:noProof/>
              </w:rPr>
              <w:drawing>
                <wp:anchor distT="0" distB="0" distL="114300" distR="114300" simplePos="0" relativeHeight="251658260" behindDoc="0" locked="0" layoutInCell="1" allowOverlap="1" wp14:anchorId="629B4BD4" wp14:editId="6ACDD377">
                  <wp:simplePos x="0" y="0"/>
                  <wp:positionH relativeFrom="column">
                    <wp:posOffset>935044</wp:posOffset>
                  </wp:positionH>
                  <wp:positionV relativeFrom="paragraph">
                    <wp:posOffset>168072</wp:posOffset>
                  </wp:positionV>
                  <wp:extent cx="554355" cy="554355"/>
                  <wp:effectExtent l="0" t="0" r="0" b="0"/>
                  <wp:wrapNone/>
                  <wp:docPr id="792644056" name="Image 7">
                    <a:extLst xmlns:a="http://schemas.openxmlformats.org/drawingml/2006/main">
                      <a:ext uri="{FF2B5EF4-FFF2-40B4-BE49-F238E27FC236}">
                        <a16:creationId xmlns:a16="http://schemas.microsoft.com/office/drawing/2014/main" id="{69138AEB-6BCC-DE84-AF67-39169FCDFC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69138AEB-6BCC-DE84-AF67-39169FCDFC18}"/>
                              </a:ext>
                            </a:extLst>
                          </pic:cNvPr>
                          <pic:cNvPicPr>
                            <a:picLocks noChangeAspect="1"/>
                          </pic:cNvPicPr>
                        </pic:nvPicPr>
                        <pic:blipFill>
                          <a:blip r:embed="rId30">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p>
        </w:tc>
      </w:tr>
      <w:tr w:rsidR="00466F95" w:rsidRPr="00B743B9" w14:paraId="3100CFAE" w14:textId="77777777">
        <w:trPr>
          <w:trHeight w:val="283"/>
        </w:trPr>
        <w:tc>
          <w:tcPr>
            <w:tcW w:w="440" w:type="dxa"/>
            <w:shd w:val="clear" w:color="auto" w:fill="EDF1F9"/>
            <w:vAlign w:val="center"/>
          </w:tcPr>
          <w:p w14:paraId="0F9F9FD6" w14:textId="6FAB4804" w:rsidR="00466F95" w:rsidRDefault="00466F95" w:rsidP="00466F95">
            <w:pPr>
              <w:jc w:val="center"/>
              <w:rPr>
                <w:b/>
                <w:bCs/>
              </w:rPr>
            </w:pPr>
            <w:r>
              <w:rPr>
                <w:b/>
                <w:bCs/>
              </w:rPr>
              <w:t>9</w:t>
            </w:r>
          </w:p>
        </w:tc>
        <w:tc>
          <w:tcPr>
            <w:tcW w:w="5073" w:type="dxa"/>
            <w:shd w:val="clear" w:color="auto" w:fill="EDF1F9"/>
          </w:tcPr>
          <w:p w14:paraId="79C3891D" w14:textId="3E0E2DDA" w:rsidR="00466F95" w:rsidRPr="0086161C" w:rsidRDefault="00466F95" w:rsidP="00466F95">
            <w:pPr>
              <w:jc w:val="both"/>
            </w:pPr>
            <w:r w:rsidRPr="00B536AD">
              <w:rPr>
                <w:rFonts w:asciiTheme="minorHAnsi" w:hAnsiTheme="minorHAnsi" w:cstheme="minorHAnsi"/>
              </w:rPr>
              <w:t>Projet de promotion de Banane plantain dans les bassins de production de Banane au Mali.</w:t>
            </w:r>
          </w:p>
        </w:tc>
        <w:tc>
          <w:tcPr>
            <w:tcW w:w="3903" w:type="dxa"/>
            <w:gridSpan w:val="2"/>
            <w:vMerge/>
            <w:shd w:val="clear" w:color="auto" w:fill="EDF1F9"/>
          </w:tcPr>
          <w:p w14:paraId="5D701C76" w14:textId="77777777" w:rsidR="00466F95" w:rsidRDefault="00466F95" w:rsidP="00466F95">
            <w:pPr>
              <w:rPr>
                <w:b/>
                <w:bCs/>
                <w:noProof/>
              </w:rPr>
            </w:pPr>
          </w:p>
        </w:tc>
      </w:tr>
      <w:tr w:rsidR="00466F95" w:rsidRPr="00B743B9" w14:paraId="7C4E0791" w14:textId="77777777">
        <w:trPr>
          <w:trHeight w:val="283"/>
        </w:trPr>
        <w:tc>
          <w:tcPr>
            <w:tcW w:w="440" w:type="dxa"/>
            <w:shd w:val="clear" w:color="auto" w:fill="EDF1F9"/>
            <w:vAlign w:val="center"/>
          </w:tcPr>
          <w:p w14:paraId="25EB864F" w14:textId="4A28C18A" w:rsidR="00466F95" w:rsidRDefault="00466F95" w:rsidP="00466F95">
            <w:pPr>
              <w:jc w:val="center"/>
              <w:rPr>
                <w:b/>
                <w:bCs/>
              </w:rPr>
            </w:pPr>
            <w:r>
              <w:rPr>
                <w:b/>
                <w:bCs/>
              </w:rPr>
              <w:t>10</w:t>
            </w:r>
          </w:p>
        </w:tc>
        <w:tc>
          <w:tcPr>
            <w:tcW w:w="5073" w:type="dxa"/>
            <w:shd w:val="clear" w:color="auto" w:fill="EDF1F9"/>
          </w:tcPr>
          <w:p w14:paraId="578C42E3" w14:textId="4101D20C" w:rsidR="00466F95" w:rsidRPr="0086161C" w:rsidRDefault="00466F95" w:rsidP="00466F95">
            <w:pPr>
              <w:jc w:val="both"/>
            </w:pPr>
            <w:r w:rsidRPr="00B536AD">
              <w:rPr>
                <w:rFonts w:asciiTheme="minorHAnsi" w:hAnsiTheme="minorHAnsi" w:cstheme="minorHAnsi"/>
              </w:rPr>
              <w:t>Programme de développement de la culture du maïs dans les bassins de production au Mali).</w:t>
            </w:r>
          </w:p>
        </w:tc>
        <w:tc>
          <w:tcPr>
            <w:tcW w:w="3903" w:type="dxa"/>
            <w:gridSpan w:val="2"/>
            <w:vMerge/>
            <w:shd w:val="clear" w:color="auto" w:fill="EDF1F9"/>
          </w:tcPr>
          <w:p w14:paraId="3AEEF587" w14:textId="77777777" w:rsidR="00466F95" w:rsidRDefault="00466F95" w:rsidP="00466F95">
            <w:pPr>
              <w:rPr>
                <w:b/>
                <w:bCs/>
                <w:noProof/>
              </w:rPr>
            </w:pPr>
          </w:p>
        </w:tc>
      </w:tr>
      <w:tr w:rsidR="00466F95" w:rsidRPr="00B743B9" w14:paraId="7E135F6D" w14:textId="77777777">
        <w:trPr>
          <w:trHeight w:val="283"/>
        </w:trPr>
        <w:tc>
          <w:tcPr>
            <w:tcW w:w="440" w:type="dxa"/>
            <w:shd w:val="clear" w:color="auto" w:fill="EDF1F9"/>
            <w:vAlign w:val="center"/>
          </w:tcPr>
          <w:p w14:paraId="6067D49E" w14:textId="42FD3290" w:rsidR="00466F95" w:rsidRDefault="00466F95" w:rsidP="00466F95">
            <w:pPr>
              <w:jc w:val="center"/>
              <w:rPr>
                <w:b/>
                <w:bCs/>
              </w:rPr>
            </w:pPr>
            <w:r>
              <w:rPr>
                <w:b/>
                <w:bCs/>
              </w:rPr>
              <w:t>11</w:t>
            </w:r>
          </w:p>
        </w:tc>
        <w:tc>
          <w:tcPr>
            <w:tcW w:w="5073" w:type="dxa"/>
            <w:shd w:val="clear" w:color="auto" w:fill="EDF1F9"/>
          </w:tcPr>
          <w:p w14:paraId="0A549462" w14:textId="7DE3E5A1" w:rsidR="00466F95" w:rsidRPr="0086161C" w:rsidRDefault="00466F95" w:rsidP="00466F95">
            <w:pPr>
              <w:jc w:val="both"/>
            </w:pPr>
            <w:r w:rsidRPr="00B536AD">
              <w:rPr>
                <w:rFonts w:asciiTheme="minorHAnsi" w:hAnsiTheme="minorHAnsi" w:cstheme="minorHAnsi"/>
              </w:rPr>
              <w:t>Projet d’appui et de valorisation de la filière sésame dans les bassins de production de Koulikoro, Kayes, Mopti, Ségou et Sikasso dans le cadre de la lutte contre la pauvreté, l’insécurité alimentaire et nutritionnelle.</w:t>
            </w:r>
          </w:p>
        </w:tc>
        <w:tc>
          <w:tcPr>
            <w:tcW w:w="3903" w:type="dxa"/>
            <w:gridSpan w:val="2"/>
            <w:vMerge/>
            <w:shd w:val="clear" w:color="auto" w:fill="EDF1F9"/>
          </w:tcPr>
          <w:p w14:paraId="69CD250D" w14:textId="77777777" w:rsidR="00466F95" w:rsidRDefault="00466F95" w:rsidP="00466F95">
            <w:pPr>
              <w:rPr>
                <w:b/>
                <w:bCs/>
                <w:noProof/>
              </w:rPr>
            </w:pPr>
          </w:p>
        </w:tc>
      </w:tr>
      <w:tr w:rsidR="00466F95" w:rsidRPr="00B743B9" w14:paraId="189621C2" w14:textId="77777777">
        <w:trPr>
          <w:trHeight w:val="283"/>
        </w:trPr>
        <w:tc>
          <w:tcPr>
            <w:tcW w:w="440" w:type="dxa"/>
            <w:shd w:val="clear" w:color="auto" w:fill="EDF1F9"/>
            <w:vAlign w:val="center"/>
          </w:tcPr>
          <w:p w14:paraId="565797FA" w14:textId="18699C67" w:rsidR="00466F95" w:rsidRDefault="00466F95" w:rsidP="00466F95">
            <w:pPr>
              <w:jc w:val="center"/>
              <w:rPr>
                <w:b/>
                <w:bCs/>
              </w:rPr>
            </w:pPr>
            <w:r>
              <w:rPr>
                <w:b/>
                <w:bCs/>
              </w:rPr>
              <w:t>12</w:t>
            </w:r>
          </w:p>
        </w:tc>
        <w:tc>
          <w:tcPr>
            <w:tcW w:w="5073" w:type="dxa"/>
            <w:shd w:val="clear" w:color="auto" w:fill="EDF1F9"/>
          </w:tcPr>
          <w:p w14:paraId="796E352C" w14:textId="149F6F9C" w:rsidR="00466F95" w:rsidRPr="0086161C" w:rsidRDefault="00466F95" w:rsidP="00466F95">
            <w:pPr>
              <w:jc w:val="both"/>
            </w:pPr>
            <w:r w:rsidRPr="00B536AD">
              <w:rPr>
                <w:rFonts w:asciiTheme="minorHAnsi" w:hAnsiTheme="minorHAnsi" w:cstheme="minorHAnsi"/>
              </w:rPr>
              <w:t xml:space="preserve">Projet de promotion des systèmes de culture </w:t>
            </w:r>
            <w:r w:rsidR="0010507D" w:rsidRPr="00B536AD">
              <w:rPr>
                <w:rFonts w:asciiTheme="minorHAnsi" w:hAnsiTheme="minorHAnsi" w:cstheme="minorHAnsi"/>
              </w:rPr>
              <w:t>agroécologiques</w:t>
            </w:r>
            <w:r w:rsidRPr="00B536AD">
              <w:rPr>
                <w:rFonts w:asciiTheme="minorHAnsi" w:hAnsiTheme="minorHAnsi" w:cstheme="minorHAnsi"/>
              </w:rPr>
              <w:t xml:space="preserve"> et de protection des sols au mali (PAESOL).</w:t>
            </w:r>
          </w:p>
        </w:tc>
        <w:tc>
          <w:tcPr>
            <w:tcW w:w="3903" w:type="dxa"/>
            <w:gridSpan w:val="2"/>
            <w:vMerge/>
            <w:shd w:val="clear" w:color="auto" w:fill="EDF1F9"/>
          </w:tcPr>
          <w:p w14:paraId="13FAD3A5" w14:textId="77777777" w:rsidR="00466F95" w:rsidRDefault="00466F95" w:rsidP="00466F95">
            <w:pPr>
              <w:rPr>
                <w:b/>
                <w:bCs/>
                <w:noProof/>
              </w:rPr>
            </w:pPr>
          </w:p>
        </w:tc>
      </w:tr>
      <w:tr w:rsidR="00466F95" w:rsidRPr="00B743B9" w14:paraId="3E917BA5" w14:textId="77777777">
        <w:trPr>
          <w:trHeight w:val="283"/>
        </w:trPr>
        <w:tc>
          <w:tcPr>
            <w:tcW w:w="440" w:type="dxa"/>
            <w:shd w:val="clear" w:color="auto" w:fill="EDF1F9"/>
            <w:vAlign w:val="center"/>
          </w:tcPr>
          <w:p w14:paraId="7BC7C6E2" w14:textId="28853920" w:rsidR="00466F95" w:rsidRDefault="00466F95" w:rsidP="00466F95">
            <w:pPr>
              <w:jc w:val="center"/>
              <w:rPr>
                <w:b/>
                <w:bCs/>
              </w:rPr>
            </w:pPr>
            <w:r>
              <w:rPr>
                <w:b/>
                <w:bCs/>
              </w:rPr>
              <w:t>13</w:t>
            </w:r>
          </w:p>
        </w:tc>
        <w:tc>
          <w:tcPr>
            <w:tcW w:w="5073" w:type="dxa"/>
            <w:shd w:val="clear" w:color="auto" w:fill="EDF1F9"/>
          </w:tcPr>
          <w:p w14:paraId="3A25B527" w14:textId="6E667968" w:rsidR="00466F95" w:rsidRPr="0086161C" w:rsidRDefault="00466F95" w:rsidP="00466F95">
            <w:pPr>
              <w:jc w:val="both"/>
            </w:pPr>
            <w:r w:rsidRPr="00B536AD">
              <w:rPr>
                <w:rFonts w:asciiTheme="minorHAnsi" w:hAnsiTheme="minorHAnsi" w:cstheme="minorHAnsi"/>
              </w:rPr>
              <w:t>Projet Mise au point/actualisation/diffusion d’outils d’aide à la décision pour la mise en valeur des terres agricoles.</w:t>
            </w:r>
          </w:p>
        </w:tc>
        <w:tc>
          <w:tcPr>
            <w:tcW w:w="3903" w:type="dxa"/>
            <w:gridSpan w:val="2"/>
            <w:vMerge/>
            <w:shd w:val="clear" w:color="auto" w:fill="EDF1F9"/>
          </w:tcPr>
          <w:p w14:paraId="53A3661E" w14:textId="77777777" w:rsidR="00466F95" w:rsidRDefault="00466F95" w:rsidP="00466F95">
            <w:pPr>
              <w:rPr>
                <w:b/>
                <w:bCs/>
                <w:noProof/>
              </w:rPr>
            </w:pPr>
          </w:p>
        </w:tc>
      </w:tr>
      <w:tr w:rsidR="00466F95" w:rsidRPr="00B743B9" w14:paraId="4C276375" w14:textId="77777777">
        <w:trPr>
          <w:trHeight w:val="283"/>
        </w:trPr>
        <w:tc>
          <w:tcPr>
            <w:tcW w:w="440" w:type="dxa"/>
            <w:shd w:val="clear" w:color="auto" w:fill="EDF1F9"/>
            <w:vAlign w:val="center"/>
          </w:tcPr>
          <w:p w14:paraId="5CC9F1F2" w14:textId="3D1F8DAB" w:rsidR="00466F95" w:rsidRDefault="00466F95" w:rsidP="00466F95">
            <w:pPr>
              <w:jc w:val="center"/>
              <w:rPr>
                <w:b/>
                <w:bCs/>
              </w:rPr>
            </w:pPr>
            <w:r>
              <w:rPr>
                <w:b/>
                <w:bCs/>
              </w:rPr>
              <w:t>14</w:t>
            </w:r>
          </w:p>
        </w:tc>
        <w:tc>
          <w:tcPr>
            <w:tcW w:w="5073" w:type="dxa"/>
            <w:shd w:val="clear" w:color="auto" w:fill="EDF1F9"/>
          </w:tcPr>
          <w:p w14:paraId="4A53C8E0" w14:textId="6C4C77E0" w:rsidR="00466F95" w:rsidRPr="0086161C" w:rsidRDefault="00466F95" w:rsidP="00466F95">
            <w:pPr>
              <w:jc w:val="both"/>
            </w:pPr>
            <w:r w:rsidRPr="00B536AD">
              <w:rPr>
                <w:rFonts w:asciiTheme="minorHAnsi" w:hAnsiTheme="minorHAnsi" w:cstheme="minorHAnsi"/>
              </w:rPr>
              <w:t>Projet Promotion de la chaine de valeur des Filières dans les agropoles de Kayes – Sud, Koulikoro – Péri-urbain de Bamako, Mali Sud, Zone office du Niger/Office Riz Ségou, Zone Lacustre.</w:t>
            </w:r>
          </w:p>
        </w:tc>
        <w:tc>
          <w:tcPr>
            <w:tcW w:w="3903" w:type="dxa"/>
            <w:gridSpan w:val="2"/>
            <w:vMerge/>
            <w:shd w:val="clear" w:color="auto" w:fill="EDF1F9"/>
          </w:tcPr>
          <w:p w14:paraId="0B4E0BCD" w14:textId="77777777" w:rsidR="00466F95" w:rsidRDefault="00466F95" w:rsidP="00466F95">
            <w:pPr>
              <w:rPr>
                <w:b/>
                <w:bCs/>
                <w:noProof/>
              </w:rPr>
            </w:pPr>
          </w:p>
        </w:tc>
      </w:tr>
      <w:tr w:rsidR="00466F95" w:rsidRPr="00B743B9" w14:paraId="558D641A" w14:textId="77777777">
        <w:trPr>
          <w:trHeight w:val="283"/>
        </w:trPr>
        <w:tc>
          <w:tcPr>
            <w:tcW w:w="440" w:type="dxa"/>
            <w:shd w:val="clear" w:color="auto" w:fill="EDF1F9"/>
            <w:vAlign w:val="center"/>
          </w:tcPr>
          <w:p w14:paraId="31964330" w14:textId="28F22533" w:rsidR="00466F95" w:rsidRDefault="00466F95" w:rsidP="00466F95">
            <w:pPr>
              <w:jc w:val="center"/>
              <w:rPr>
                <w:b/>
                <w:bCs/>
              </w:rPr>
            </w:pPr>
            <w:r>
              <w:rPr>
                <w:b/>
                <w:bCs/>
              </w:rPr>
              <w:t>15</w:t>
            </w:r>
          </w:p>
        </w:tc>
        <w:tc>
          <w:tcPr>
            <w:tcW w:w="5073" w:type="dxa"/>
            <w:shd w:val="clear" w:color="auto" w:fill="EDF1F9"/>
          </w:tcPr>
          <w:p w14:paraId="6C9C4953" w14:textId="4C9FB832" w:rsidR="00466F95" w:rsidRPr="0086161C" w:rsidRDefault="00466F95" w:rsidP="00466F95">
            <w:pPr>
              <w:jc w:val="both"/>
            </w:pPr>
            <w:r w:rsidRPr="00B536AD">
              <w:rPr>
                <w:rFonts w:asciiTheme="minorHAnsi" w:hAnsiTheme="minorHAnsi" w:cstheme="minorHAnsi"/>
              </w:rPr>
              <w:t>Programme de Promotion des Pôles de Développement Agricole (Filières Porteuses) au Mali.</w:t>
            </w:r>
          </w:p>
        </w:tc>
        <w:tc>
          <w:tcPr>
            <w:tcW w:w="3903" w:type="dxa"/>
            <w:gridSpan w:val="2"/>
            <w:vMerge/>
            <w:shd w:val="clear" w:color="auto" w:fill="EDF1F9"/>
          </w:tcPr>
          <w:p w14:paraId="42B5DA88" w14:textId="77777777" w:rsidR="00466F95" w:rsidRDefault="00466F95" w:rsidP="00466F95">
            <w:pPr>
              <w:rPr>
                <w:b/>
                <w:bCs/>
                <w:noProof/>
              </w:rPr>
            </w:pPr>
          </w:p>
        </w:tc>
      </w:tr>
      <w:tr w:rsidR="00466F95" w:rsidRPr="00B743B9" w14:paraId="628E95D8" w14:textId="77777777">
        <w:trPr>
          <w:trHeight w:val="283"/>
        </w:trPr>
        <w:tc>
          <w:tcPr>
            <w:tcW w:w="440" w:type="dxa"/>
            <w:shd w:val="clear" w:color="auto" w:fill="EDF1F9"/>
            <w:vAlign w:val="center"/>
          </w:tcPr>
          <w:p w14:paraId="6678351D" w14:textId="7D6F7757" w:rsidR="00466F95" w:rsidRDefault="00466F95" w:rsidP="00466F95">
            <w:pPr>
              <w:jc w:val="center"/>
              <w:rPr>
                <w:b/>
                <w:bCs/>
              </w:rPr>
            </w:pPr>
            <w:r>
              <w:rPr>
                <w:b/>
                <w:bCs/>
              </w:rPr>
              <w:t>16</w:t>
            </w:r>
          </w:p>
        </w:tc>
        <w:tc>
          <w:tcPr>
            <w:tcW w:w="5073" w:type="dxa"/>
            <w:shd w:val="clear" w:color="auto" w:fill="EDF1F9"/>
          </w:tcPr>
          <w:p w14:paraId="2C9A79D2" w14:textId="266A3EB1" w:rsidR="00466F95" w:rsidRPr="0086161C" w:rsidRDefault="00466F95" w:rsidP="00466F95">
            <w:pPr>
              <w:jc w:val="both"/>
            </w:pPr>
            <w:r w:rsidRPr="0039216B">
              <w:rPr>
                <w:sz w:val="24"/>
                <w:szCs w:val="24"/>
              </w:rPr>
              <w:t>Projet de Mise en place d’un centre d'innovations technologiques dans les agropoles de Kayes – Sud, Koulikoro – Péri-urbain de Bamako, Mali Sud, Zone office du Niger/Office Riz Ségou, Zone Lacustre</w:t>
            </w:r>
          </w:p>
        </w:tc>
        <w:tc>
          <w:tcPr>
            <w:tcW w:w="3903" w:type="dxa"/>
            <w:gridSpan w:val="2"/>
            <w:vMerge/>
            <w:shd w:val="clear" w:color="auto" w:fill="EDF1F9"/>
          </w:tcPr>
          <w:p w14:paraId="3D40306D" w14:textId="77777777" w:rsidR="00466F95" w:rsidRDefault="00466F95" w:rsidP="00466F95">
            <w:pPr>
              <w:rPr>
                <w:b/>
                <w:bCs/>
                <w:noProof/>
              </w:rPr>
            </w:pPr>
          </w:p>
        </w:tc>
      </w:tr>
      <w:tr w:rsidR="00466F95" w:rsidRPr="00B743B9" w14:paraId="13005B84" w14:textId="77777777">
        <w:trPr>
          <w:trHeight w:val="283"/>
        </w:trPr>
        <w:tc>
          <w:tcPr>
            <w:tcW w:w="440" w:type="dxa"/>
            <w:shd w:val="clear" w:color="auto" w:fill="EDF1F9"/>
            <w:vAlign w:val="center"/>
          </w:tcPr>
          <w:p w14:paraId="4E7ED9E7" w14:textId="62DD795B" w:rsidR="00466F95" w:rsidRDefault="00466F95" w:rsidP="00466F95">
            <w:pPr>
              <w:jc w:val="center"/>
              <w:rPr>
                <w:b/>
                <w:bCs/>
              </w:rPr>
            </w:pPr>
            <w:r>
              <w:rPr>
                <w:b/>
                <w:bCs/>
              </w:rPr>
              <w:lastRenderedPageBreak/>
              <w:t>17</w:t>
            </w:r>
          </w:p>
        </w:tc>
        <w:tc>
          <w:tcPr>
            <w:tcW w:w="5073" w:type="dxa"/>
            <w:shd w:val="clear" w:color="auto" w:fill="EDF1F9"/>
          </w:tcPr>
          <w:p w14:paraId="737A5BAA" w14:textId="54F3CEB0" w:rsidR="00466F95" w:rsidRPr="0086161C" w:rsidRDefault="00466F95" w:rsidP="00466F95">
            <w:pPr>
              <w:jc w:val="both"/>
            </w:pPr>
            <w:r w:rsidRPr="0039216B">
              <w:rPr>
                <w:sz w:val="24"/>
                <w:szCs w:val="24"/>
              </w:rPr>
              <w:t>Projet de Formation qualifiante des jeunes ruraux aux techniques et technologies agricoles et leur insertion en les dotant de kits agricoles</w:t>
            </w:r>
          </w:p>
        </w:tc>
        <w:tc>
          <w:tcPr>
            <w:tcW w:w="3903" w:type="dxa"/>
            <w:gridSpan w:val="2"/>
            <w:vMerge/>
            <w:tcBorders>
              <w:bottom w:val="nil"/>
            </w:tcBorders>
            <w:shd w:val="clear" w:color="auto" w:fill="EDF1F9"/>
          </w:tcPr>
          <w:p w14:paraId="381B866A" w14:textId="77777777" w:rsidR="00466F95" w:rsidRDefault="00466F95" w:rsidP="00466F95">
            <w:pPr>
              <w:rPr>
                <w:b/>
                <w:bCs/>
                <w:noProof/>
              </w:rPr>
            </w:pPr>
          </w:p>
        </w:tc>
      </w:tr>
    </w:tbl>
    <w:p w14:paraId="26FA5963" w14:textId="417CDEA9" w:rsidR="00332D2B" w:rsidRDefault="00BC7852" w:rsidP="00332D2B">
      <w:pPr>
        <w:pStyle w:val="Titre2"/>
      </w:pPr>
      <w:bookmarkStart w:id="97" w:name="_Toc234853890"/>
      <w:r>
        <w:t>Energie</w:t>
      </w:r>
      <w:bookmarkEnd w:id="97"/>
    </w:p>
    <w:p w14:paraId="4C82F1EA" w14:textId="5BFDFBCF" w:rsidR="00651607" w:rsidRPr="00D4565A" w:rsidRDefault="00D4565A" w:rsidP="00D4565A">
      <w:pPr>
        <w:pStyle w:val="NormalWeb"/>
        <w:jc w:val="both"/>
        <w:rPr>
          <w:rFonts w:ascii="Calibri" w:eastAsia="Calibri" w:hAnsi="Calibri" w:cs="Calibri"/>
          <w:sz w:val="22"/>
          <w:szCs w:val="22"/>
        </w:rPr>
      </w:pPr>
      <w:r w:rsidRPr="00D4565A">
        <w:rPr>
          <w:rFonts w:ascii="Calibri" w:eastAsia="Calibri" w:hAnsi="Calibri" w:cs="Calibri"/>
          <w:sz w:val="22"/>
          <w:szCs w:val="22"/>
        </w:rPr>
        <w:t>Les projets proposés pour le volet adaptation à travers les consultations bilatérales et le renseignement des questionnaires semblent davantage s’inscrire dans le cadre de l’atténuation</w:t>
      </w:r>
      <w:r w:rsidR="00BD3154">
        <w:rPr>
          <w:rFonts w:ascii="Calibri" w:eastAsia="Calibri" w:hAnsi="Calibri" w:cs="Calibri"/>
          <w:sz w:val="22"/>
          <w:szCs w:val="22"/>
        </w:rPr>
        <w:t>.</w:t>
      </w:r>
      <w:r w:rsidR="00925DAB">
        <w:rPr>
          <w:rFonts w:ascii="Calibri" w:eastAsia="Calibri" w:hAnsi="Calibri" w:cs="Calibri"/>
          <w:sz w:val="22"/>
          <w:szCs w:val="22"/>
        </w:rPr>
        <w:t xml:space="preserve"> </w:t>
      </w:r>
      <w:r w:rsidRPr="00D4565A">
        <w:rPr>
          <w:rFonts w:ascii="Calibri" w:eastAsia="Calibri" w:hAnsi="Calibri" w:cs="Calibri"/>
          <w:sz w:val="22"/>
          <w:szCs w:val="22"/>
        </w:rPr>
        <w:t xml:space="preserve"> Dans ce contexte, aucun projet d’adaptation spécifique au secteur de l’énergie n’a été identifié à ce stade dans le cadre de l’élaboration de la CDN 3</w:t>
      </w:r>
      <w:r w:rsidR="00925DAB">
        <w:rPr>
          <w:rFonts w:ascii="Calibri" w:eastAsia="Calibri" w:hAnsi="Calibri" w:cs="Calibri"/>
          <w:sz w:val="22"/>
          <w:szCs w:val="22"/>
        </w:rPr>
        <w:t xml:space="preserve"> </w:t>
      </w:r>
      <w:r w:rsidRPr="00D4565A">
        <w:rPr>
          <w:rFonts w:ascii="Calibri" w:eastAsia="Calibri" w:hAnsi="Calibri" w:cs="Calibri"/>
          <w:sz w:val="22"/>
          <w:szCs w:val="22"/>
        </w:rPr>
        <w:t>0</w:t>
      </w:r>
      <w:r w:rsidR="00925DAB">
        <w:rPr>
          <w:rFonts w:ascii="Calibri" w:eastAsia="Calibri" w:hAnsi="Calibri" w:cs="Calibri"/>
          <w:sz w:val="22"/>
          <w:szCs w:val="22"/>
        </w:rPr>
        <w:t xml:space="preserve"> </w:t>
      </w:r>
    </w:p>
    <w:p w14:paraId="4420F0C0" w14:textId="2771BF46" w:rsidR="00BC7852" w:rsidRPr="00D4565A" w:rsidRDefault="00C8081F" w:rsidP="00BC7852">
      <w:pPr>
        <w:pStyle w:val="Titre2"/>
      </w:pPr>
      <w:bookmarkStart w:id="98" w:name="_Toc234853891"/>
      <w:r w:rsidRPr="00D4565A">
        <w:t>Météo</w:t>
      </w:r>
      <w:bookmarkEnd w:id="98"/>
    </w:p>
    <w:p w14:paraId="06307009" w14:textId="79EC86E6" w:rsidR="007D31B2" w:rsidRPr="00D4565A" w:rsidRDefault="00550294" w:rsidP="00550294">
      <w:pPr>
        <w:jc w:val="both"/>
      </w:pPr>
      <w:r w:rsidRPr="00D4565A">
        <w:t>Aucun projet spécifique relatif au domaine de la météorologie n’a été identifié par les parties prenantes dans le cadre des consultations menées pour l’élaboration de la CDN 3</w:t>
      </w:r>
      <w:r w:rsidR="00925DAB">
        <w:t xml:space="preserve"> </w:t>
      </w:r>
      <w:r w:rsidRPr="00D4565A">
        <w:t>0</w:t>
      </w:r>
      <w:r w:rsidR="00925DAB">
        <w:t xml:space="preserve"> </w:t>
      </w:r>
    </w:p>
    <w:p w14:paraId="7EBA50EA" w14:textId="083EA925" w:rsidR="00550294" w:rsidRPr="00D4565A" w:rsidRDefault="00550294" w:rsidP="00550294">
      <w:pPr>
        <w:pStyle w:val="Titre2"/>
      </w:pPr>
      <w:bookmarkStart w:id="99" w:name="_Toc234853892"/>
      <w:r w:rsidRPr="00D4565A">
        <w:t>Société civile et collectivités territoriales</w:t>
      </w:r>
      <w:bookmarkEnd w:id="99"/>
    </w:p>
    <w:p w14:paraId="4CBF2D5A" w14:textId="3E6D82E6" w:rsidR="00550294" w:rsidRPr="007D31B2" w:rsidRDefault="00550294" w:rsidP="00550294">
      <w:pPr>
        <w:jc w:val="both"/>
        <w:rPr>
          <w:highlight w:val="yellow"/>
          <w:lang w:eastAsia="en-US"/>
        </w:rPr>
      </w:pPr>
      <w:r>
        <w:t>Aucun projet spécifique relatif au domaine de la société civile et des collectivités territoriales n’a été identifié par les parties prenantes dans le cadre des consultations menées pour l’élaboration de la CDN 3</w:t>
      </w:r>
      <w:r w:rsidR="00F80D63">
        <w:t>.</w:t>
      </w:r>
      <w:r>
        <w:t>0</w:t>
      </w:r>
      <w:r w:rsidR="00F80D63">
        <w:t>.</w:t>
      </w:r>
      <w:r w:rsidR="00EB40FE" w:rsidRPr="00EB40FE">
        <w:t xml:space="preserve"> Par ailleurs, lors de l’atelier de validation de l’évaluation de la CDN 2.0, il a été souligné que </w:t>
      </w:r>
      <w:r w:rsidR="00CE3194">
        <w:t>ce domaine</w:t>
      </w:r>
      <w:r w:rsidR="00EB40FE" w:rsidRPr="00EB40FE">
        <w:t xml:space="preserve"> recoupe en grande partie des secteurs d’adaptation déjà couverts, les projets associés étant généralement intégrés de manière transversale au sein des autres secteurs prioritaires. Cette situation amène ainsi à réfléchir à la pertinence du maintien de ce domaine distinct dans le cadre de la CDN 3.0.</w:t>
      </w:r>
    </w:p>
    <w:p w14:paraId="765EFF7A" w14:textId="1E72C902" w:rsidR="00C8081F" w:rsidRDefault="00C8081F" w:rsidP="00C8081F">
      <w:pPr>
        <w:pStyle w:val="Titre2"/>
      </w:pPr>
      <w:bookmarkStart w:id="100" w:name="_Toc234853893"/>
      <w:r>
        <w:t>Déchets</w:t>
      </w:r>
      <w:bookmarkEnd w:id="100"/>
    </w:p>
    <w:p w14:paraId="3BCF9886" w14:textId="77276101" w:rsidR="00E914BA" w:rsidRDefault="00E914BA" w:rsidP="002C3767">
      <w:pPr>
        <w:pStyle w:val="Titre3"/>
        <w:numPr>
          <w:ilvl w:val="2"/>
          <w:numId w:val="21"/>
        </w:numPr>
      </w:pPr>
      <w:bookmarkStart w:id="101" w:name="_Toc234853894"/>
      <w:r>
        <w:t xml:space="preserve">Projets </w:t>
      </w:r>
      <w:r w:rsidRPr="00332D2B">
        <w:t>d’adaptation prioritaires retenus dans le cadre de la CDN 3</w:t>
      </w:r>
      <w:r w:rsidR="00925DAB">
        <w:t xml:space="preserve"> </w:t>
      </w:r>
      <w:r w:rsidRPr="00332D2B">
        <w:t>0</w:t>
      </w:r>
      <w:bookmarkEnd w:id="101"/>
      <w:r w:rsidRPr="00332D2B">
        <w:t xml:space="preserve"> </w:t>
      </w:r>
    </w:p>
    <w:p w14:paraId="64363F66" w14:textId="150B3BDA" w:rsidR="00A814FF" w:rsidRPr="00740D98" w:rsidRDefault="00204BCC" w:rsidP="00A814FF">
      <w:pPr>
        <w:spacing w:after="120" w:line="300" w:lineRule="atLeast"/>
        <w:jc w:val="both"/>
      </w:pPr>
      <w:r w:rsidRPr="00204BCC">
        <w:t>Pour le secteur des déchets, sept projets ont été identifiés pour intégration dans la CDN 3</w:t>
      </w:r>
      <w:r w:rsidR="00925DAB">
        <w:t xml:space="preserve"> </w:t>
      </w:r>
      <w:r w:rsidRPr="00204BCC">
        <w:t>0</w:t>
      </w:r>
      <w:r w:rsidR="00925DAB">
        <w:t xml:space="preserve"> </w:t>
      </w:r>
      <w:r w:rsidRPr="00204BCC">
        <w:t xml:space="preserve"> Parmi ceux-ci, quatre projets sont reconduits de la CDN 2</w:t>
      </w:r>
      <w:r w:rsidR="00925DAB">
        <w:t xml:space="preserve"> </w:t>
      </w:r>
      <w:r w:rsidRPr="00204BCC">
        <w:t>0 en raison de leur non-réalisation à ce jour</w:t>
      </w:r>
      <w:r w:rsidR="00925DAB">
        <w:t xml:space="preserve"> </w:t>
      </w:r>
      <w:r w:rsidRPr="00204BCC">
        <w:t xml:space="preserve"> Deux projets portent spécifiquement sur le renforcement des capacités de la Direction Nationale de l’Assainissement, du Contrôle des Pollutions et des Nuisances (DNACPN)</w:t>
      </w:r>
      <w:r w:rsidR="00925DAB">
        <w:t xml:space="preserve"> </w:t>
      </w:r>
      <w:r w:rsidRPr="00204BCC">
        <w:t xml:space="preserve"> L’identification de ces projets a été réalisée à travers les consultations bilatérales menées notamment avec la DNACPN et l’ANGESEM, qui ont également renseigné les questionnaires sectoriels</w:t>
      </w:r>
      <w:r w:rsidR="00925DAB">
        <w:t xml:space="preserve"> </w:t>
      </w:r>
      <w:r w:rsidRPr="00204BCC">
        <w:t xml:space="preserve"> Le maintien de certains projets déjà inscrits dans la CDN 2</w:t>
      </w:r>
      <w:r w:rsidR="00925DAB">
        <w:t xml:space="preserve"> </w:t>
      </w:r>
      <w:r w:rsidRPr="00204BCC">
        <w:t>0 a par ailleurs été validé lors des travaux de groupe organisés à la suite de l’atelier de présentation des résultats de l’évaluation de la CDN 2</w:t>
      </w:r>
      <w:r w:rsidR="00925DAB">
        <w:t xml:space="preserve"> </w:t>
      </w:r>
      <w:r w:rsidRPr="00204BCC">
        <w:t>0</w:t>
      </w:r>
      <w:r w:rsidR="00657CD8">
        <w:t>.</w:t>
      </w:r>
      <w:r w:rsidR="00925DAB">
        <w:t xml:space="preserve"> </w:t>
      </w:r>
    </w:p>
    <w:p w14:paraId="102B133C" w14:textId="77777777" w:rsidR="00A814FF" w:rsidRDefault="00A814FF" w:rsidP="00A814FF">
      <w:r>
        <w:br w:type="page"/>
      </w:r>
    </w:p>
    <w:p w14:paraId="5F8D9CD7" w14:textId="77777777" w:rsidR="00A814FF" w:rsidRDefault="00A814FF" w:rsidP="00A814FF">
      <w:pPr>
        <w:sectPr w:rsidR="00A814FF" w:rsidSect="00C42595">
          <w:pgSz w:w="12240" w:h="15840" w:code="1"/>
          <w:pgMar w:top="1412" w:right="1412" w:bottom="1412" w:left="1412" w:header="709" w:footer="709" w:gutter="0"/>
          <w:cols w:space="708"/>
          <w:docGrid w:linePitch="360"/>
        </w:sectPr>
      </w:pPr>
    </w:p>
    <w:p w14:paraId="266E052B" w14:textId="5EBD11FC" w:rsidR="00A814FF" w:rsidRPr="008C1B8A" w:rsidRDefault="00A814FF" w:rsidP="00A814FF">
      <w:pPr>
        <w:pStyle w:val="Lgende"/>
        <w:keepNext/>
        <w:spacing w:after="0"/>
        <w:rPr>
          <w:sz w:val="22"/>
          <w:szCs w:val="22"/>
        </w:rPr>
      </w:pPr>
      <w:bookmarkStart w:id="102" w:name="_Toc234853962"/>
      <w:r w:rsidRPr="00BB7517">
        <w:rPr>
          <w:sz w:val="22"/>
          <w:szCs w:val="22"/>
        </w:rPr>
        <w:lastRenderedPageBreak/>
        <w:t xml:space="preserve">Tableau </w:t>
      </w:r>
      <w:r w:rsidRPr="00BB7517">
        <w:rPr>
          <w:sz w:val="22"/>
          <w:szCs w:val="22"/>
        </w:rPr>
        <w:fldChar w:fldCharType="begin"/>
      </w:r>
      <w:r w:rsidRPr="00BB7517">
        <w:rPr>
          <w:sz w:val="22"/>
          <w:szCs w:val="22"/>
        </w:rPr>
        <w:instrText xml:space="preserve"> SEQ Tableau \* ARABIC </w:instrText>
      </w:r>
      <w:r w:rsidRPr="00BB7517">
        <w:rPr>
          <w:sz w:val="22"/>
          <w:szCs w:val="22"/>
        </w:rPr>
        <w:fldChar w:fldCharType="separate"/>
      </w:r>
      <w:r w:rsidR="0018772E">
        <w:rPr>
          <w:noProof/>
          <w:sz w:val="22"/>
          <w:szCs w:val="22"/>
        </w:rPr>
        <w:t>38</w:t>
      </w:r>
      <w:r w:rsidRPr="00BB7517">
        <w:rPr>
          <w:sz w:val="22"/>
          <w:szCs w:val="22"/>
        </w:rPr>
        <w:fldChar w:fldCharType="end"/>
      </w:r>
      <w:r w:rsidRPr="00BB7517">
        <w:rPr>
          <w:sz w:val="22"/>
          <w:szCs w:val="22"/>
        </w:rPr>
        <w:t> :</w:t>
      </w:r>
      <w:r w:rsidRPr="00783E23">
        <w:t xml:space="preserve"> </w:t>
      </w:r>
      <w:r>
        <w:rPr>
          <w:sz w:val="22"/>
          <w:szCs w:val="22"/>
        </w:rPr>
        <w:t>Projets d’adaptation</w:t>
      </w:r>
      <w:r w:rsidRPr="00783E23">
        <w:rPr>
          <w:sz w:val="22"/>
          <w:szCs w:val="22"/>
        </w:rPr>
        <w:t xml:space="preserve"> identifiés pour le</w:t>
      </w:r>
      <w:r>
        <w:rPr>
          <w:sz w:val="22"/>
          <w:szCs w:val="22"/>
        </w:rPr>
        <w:t xml:space="preserve"> secteur de</w:t>
      </w:r>
      <w:r w:rsidR="007B226F">
        <w:rPr>
          <w:sz w:val="22"/>
          <w:szCs w:val="22"/>
        </w:rPr>
        <w:t>s déchets</w:t>
      </w:r>
      <w:r w:rsidRPr="00783E23">
        <w:rPr>
          <w:sz w:val="22"/>
          <w:szCs w:val="22"/>
        </w:rPr>
        <w:t xml:space="preserve"> dans le cadre de la CDN 3</w:t>
      </w:r>
      <w:r w:rsidR="00925DAB">
        <w:rPr>
          <w:sz w:val="22"/>
          <w:szCs w:val="22"/>
        </w:rPr>
        <w:t xml:space="preserve"> </w:t>
      </w:r>
      <w:r w:rsidRPr="00783E23">
        <w:rPr>
          <w:sz w:val="22"/>
          <w:szCs w:val="22"/>
        </w:rPr>
        <w:t>0</w:t>
      </w:r>
      <w:bookmarkEnd w:id="102"/>
    </w:p>
    <w:tbl>
      <w:tblPr>
        <w:tblStyle w:val="Grilledutableau"/>
        <w:tblW w:w="13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3348"/>
        <w:gridCol w:w="1696"/>
        <w:gridCol w:w="4175"/>
        <w:gridCol w:w="2034"/>
        <w:gridCol w:w="1662"/>
      </w:tblGrid>
      <w:tr w:rsidR="00A814FF" w:rsidRPr="009D54A4" w14:paraId="4CD9480F" w14:textId="77777777" w:rsidTr="009D54A4">
        <w:trPr>
          <w:trHeight w:val="613"/>
          <w:tblHeader/>
        </w:trPr>
        <w:tc>
          <w:tcPr>
            <w:tcW w:w="438"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65C90156" w14:textId="77777777" w:rsidR="00A814FF" w:rsidRPr="009D54A4" w:rsidRDefault="00A814FF" w:rsidP="001625F7">
            <w:pPr>
              <w:jc w:val="center"/>
              <w:rPr>
                <w:b/>
                <w:color w:val="FFFFFF" w:themeColor="background1"/>
                <w:sz w:val="18"/>
                <w:szCs w:val="18"/>
              </w:rPr>
            </w:pPr>
            <w:r w:rsidRPr="009D54A4">
              <w:rPr>
                <w:b/>
                <w:color w:val="FFFFFF" w:themeColor="background1"/>
                <w:sz w:val="18"/>
                <w:szCs w:val="18"/>
              </w:rPr>
              <w:t>N°</w:t>
            </w:r>
          </w:p>
        </w:tc>
        <w:tc>
          <w:tcPr>
            <w:tcW w:w="3348"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6B451B5A" w14:textId="77777777" w:rsidR="00A814FF" w:rsidRPr="009D54A4" w:rsidRDefault="00A814FF" w:rsidP="001625F7">
            <w:pPr>
              <w:jc w:val="center"/>
              <w:rPr>
                <w:b/>
                <w:color w:val="FFFFFF" w:themeColor="background1"/>
                <w:sz w:val="18"/>
                <w:szCs w:val="18"/>
              </w:rPr>
            </w:pPr>
            <w:r w:rsidRPr="009D54A4">
              <w:rPr>
                <w:b/>
                <w:color w:val="FFFFFF" w:themeColor="background1"/>
                <w:sz w:val="18"/>
                <w:szCs w:val="18"/>
              </w:rPr>
              <w:t>Projets</w:t>
            </w:r>
          </w:p>
        </w:tc>
        <w:tc>
          <w:tcPr>
            <w:tcW w:w="169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5537471A" w14:textId="77777777" w:rsidR="00A814FF" w:rsidRPr="009D54A4" w:rsidRDefault="00A814FF" w:rsidP="001625F7">
            <w:pPr>
              <w:jc w:val="center"/>
              <w:rPr>
                <w:b/>
                <w:color w:val="FFFFFF" w:themeColor="background1"/>
                <w:sz w:val="18"/>
                <w:szCs w:val="18"/>
              </w:rPr>
            </w:pPr>
            <w:r w:rsidRPr="009D54A4">
              <w:rPr>
                <w:b/>
                <w:color w:val="FFFFFF" w:themeColor="background1"/>
                <w:sz w:val="18"/>
                <w:szCs w:val="18"/>
              </w:rPr>
              <w:t>Porteur</w:t>
            </w:r>
          </w:p>
        </w:tc>
        <w:tc>
          <w:tcPr>
            <w:tcW w:w="417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44AF9094" w14:textId="77777777" w:rsidR="00A814FF" w:rsidRPr="009D54A4" w:rsidRDefault="00A814FF" w:rsidP="001625F7">
            <w:pPr>
              <w:jc w:val="center"/>
              <w:rPr>
                <w:b/>
                <w:color w:val="FFFFFF" w:themeColor="background1"/>
                <w:sz w:val="18"/>
                <w:szCs w:val="18"/>
              </w:rPr>
            </w:pPr>
            <w:r w:rsidRPr="009D54A4">
              <w:rPr>
                <w:b/>
                <w:color w:val="FFFFFF" w:themeColor="background1"/>
                <w:sz w:val="18"/>
                <w:szCs w:val="18"/>
              </w:rPr>
              <w:t>Objectif et description</w:t>
            </w:r>
          </w:p>
        </w:tc>
        <w:tc>
          <w:tcPr>
            <w:tcW w:w="2034"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1E4A5955" w14:textId="77777777" w:rsidR="00A814FF" w:rsidRPr="009D54A4" w:rsidRDefault="00A814FF" w:rsidP="001625F7">
            <w:pPr>
              <w:jc w:val="center"/>
              <w:rPr>
                <w:b/>
                <w:color w:val="FFFFFF" w:themeColor="background1"/>
                <w:sz w:val="18"/>
                <w:szCs w:val="18"/>
              </w:rPr>
            </w:pPr>
            <w:r w:rsidRPr="009D54A4">
              <w:rPr>
                <w:b/>
                <w:color w:val="FFFFFF" w:themeColor="background1"/>
                <w:sz w:val="18"/>
                <w:szCs w:val="18"/>
              </w:rPr>
              <w:t>Période de mise en œuvre</w:t>
            </w:r>
          </w:p>
        </w:tc>
        <w:tc>
          <w:tcPr>
            <w:tcW w:w="166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2551C402" w14:textId="77777777" w:rsidR="00A814FF" w:rsidRPr="009D54A4" w:rsidRDefault="00A814FF" w:rsidP="001625F7">
            <w:pPr>
              <w:jc w:val="center"/>
              <w:rPr>
                <w:b/>
                <w:color w:val="FFFFFF" w:themeColor="background1"/>
                <w:sz w:val="18"/>
                <w:szCs w:val="18"/>
              </w:rPr>
            </w:pPr>
            <w:r w:rsidRPr="009D54A4">
              <w:rPr>
                <w:b/>
                <w:color w:val="FFFFFF" w:themeColor="background1"/>
                <w:sz w:val="18"/>
                <w:szCs w:val="18"/>
              </w:rPr>
              <w:t>Statut</w:t>
            </w:r>
          </w:p>
        </w:tc>
      </w:tr>
      <w:tr w:rsidR="00A814FF" w:rsidRPr="009D54A4" w14:paraId="4BFF67F1" w14:textId="77777777" w:rsidTr="001625F7">
        <w:tc>
          <w:tcPr>
            <w:tcW w:w="438" w:type="dxa"/>
            <w:tcBorders>
              <w:top w:val="single" w:sz="4" w:space="0" w:color="auto"/>
              <w:bottom w:val="single" w:sz="4" w:space="0" w:color="auto"/>
            </w:tcBorders>
            <w:vAlign w:val="center"/>
          </w:tcPr>
          <w:p w14:paraId="46AE3E4B" w14:textId="77777777" w:rsidR="00A814FF" w:rsidRPr="009D54A4" w:rsidRDefault="00A814FF" w:rsidP="001625F7">
            <w:pPr>
              <w:rPr>
                <w:b/>
                <w:sz w:val="18"/>
                <w:szCs w:val="18"/>
              </w:rPr>
            </w:pPr>
            <w:r w:rsidRPr="009D54A4">
              <w:rPr>
                <w:b/>
                <w:sz w:val="18"/>
                <w:szCs w:val="18"/>
              </w:rPr>
              <w:t>1</w:t>
            </w:r>
          </w:p>
        </w:tc>
        <w:tc>
          <w:tcPr>
            <w:tcW w:w="3348" w:type="dxa"/>
            <w:tcBorders>
              <w:top w:val="single" w:sz="4" w:space="0" w:color="auto"/>
              <w:bottom w:val="single" w:sz="4" w:space="0" w:color="auto"/>
            </w:tcBorders>
            <w:vAlign w:val="center"/>
          </w:tcPr>
          <w:p w14:paraId="25988ABB" w14:textId="7614BFB3" w:rsidR="00A814FF" w:rsidRPr="009D54A4" w:rsidRDefault="00E3025A" w:rsidP="001625F7">
            <w:pPr>
              <w:jc w:val="both"/>
              <w:rPr>
                <w:sz w:val="18"/>
                <w:szCs w:val="18"/>
              </w:rPr>
            </w:pPr>
            <w:r w:rsidRPr="009D54A4">
              <w:rPr>
                <w:sz w:val="18"/>
                <w:szCs w:val="18"/>
              </w:rPr>
              <w:t>L'Épuration des eaux usées et leur réutilisation pour des besoins notamment pour l'irrigation</w:t>
            </w:r>
            <w:r w:rsidR="00657CD8" w:rsidRPr="009D54A4">
              <w:rPr>
                <w:sz w:val="18"/>
                <w:szCs w:val="18"/>
              </w:rPr>
              <w:t>.</w:t>
            </w:r>
            <w:r w:rsidR="00925DAB" w:rsidRPr="009D54A4">
              <w:rPr>
                <w:sz w:val="18"/>
                <w:szCs w:val="18"/>
              </w:rPr>
              <w:t xml:space="preserve"> </w:t>
            </w:r>
          </w:p>
        </w:tc>
        <w:tc>
          <w:tcPr>
            <w:tcW w:w="1696" w:type="dxa"/>
            <w:tcBorders>
              <w:top w:val="single" w:sz="4" w:space="0" w:color="auto"/>
              <w:bottom w:val="single" w:sz="4" w:space="0" w:color="auto"/>
            </w:tcBorders>
            <w:vAlign w:val="center"/>
          </w:tcPr>
          <w:p w14:paraId="680EE659" w14:textId="480F996B" w:rsidR="00A814FF" w:rsidRPr="009D54A4" w:rsidRDefault="00EF50B4" w:rsidP="001625F7">
            <w:pPr>
              <w:jc w:val="both"/>
              <w:rPr>
                <w:sz w:val="18"/>
                <w:szCs w:val="18"/>
              </w:rPr>
            </w:pPr>
            <w:r w:rsidRPr="009D54A4">
              <w:rPr>
                <w:sz w:val="18"/>
                <w:szCs w:val="18"/>
              </w:rPr>
              <w:t>Agence Nationale de Gestion des Stations d'Epuration du Mali (ANGESEM)</w:t>
            </w:r>
          </w:p>
        </w:tc>
        <w:tc>
          <w:tcPr>
            <w:tcW w:w="4175" w:type="dxa"/>
            <w:tcBorders>
              <w:top w:val="single" w:sz="4" w:space="0" w:color="auto"/>
              <w:bottom w:val="single" w:sz="4" w:space="0" w:color="auto"/>
            </w:tcBorders>
            <w:shd w:val="clear" w:color="auto" w:fill="F2F2F2" w:themeFill="background1" w:themeFillShade="F2"/>
            <w:vAlign w:val="center"/>
          </w:tcPr>
          <w:p w14:paraId="5017824B" w14:textId="58EC8124" w:rsidR="00A814FF" w:rsidRPr="009D54A4" w:rsidRDefault="00A814FF" w:rsidP="001625F7">
            <w:pPr>
              <w:jc w:val="both"/>
              <w:rPr>
                <w:sz w:val="18"/>
                <w:szCs w:val="18"/>
              </w:rPr>
            </w:pPr>
          </w:p>
        </w:tc>
        <w:tc>
          <w:tcPr>
            <w:tcW w:w="2034" w:type="dxa"/>
            <w:tcBorders>
              <w:top w:val="single" w:sz="4" w:space="0" w:color="auto"/>
              <w:bottom w:val="single" w:sz="4" w:space="0" w:color="auto"/>
            </w:tcBorders>
            <w:vAlign w:val="center"/>
          </w:tcPr>
          <w:p w14:paraId="42EE5C0D" w14:textId="6C775DD0" w:rsidR="00A814FF" w:rsidRPr="009D54A4" w:rsidRDefault="00E61396" w:rsidP="001625F7">
            <w:pPr>
              <w:jc w:val="center"/>
              <w:rPr>
                <w:sz w:val="18"/>
                <w:szCs w:val="18"/>
              </w:rPr>
            </w:pPr>
            <w:r w:rsidRPr="009D54A4">
              <w:rPr>
                <w:rFonts w:hAnsiTheme="minorHAnsi" w:cstheme="minorHAnsi"/>
                <w:sz w:val="18"/>
                <w:szCs w:val="18"/>
              </w:rPr>
              <w:t>ND</w:t>
            </w:r>
          </w:p>
        </w:tc>
        <w:tc>
          <w:tcPr>
            <w:tcW w:w="1662" w:type="dxa"/>
            <w:tcBorders>
              <w:top w:val="single" w:sz="4" w:space="0" w:color="auto"/>
              <w:bottom w:val="single" w:sz="4" w:space="0" w:color="auto"/>
            </w:tcBorders>
            <w:vAlign w:val="center"/>
          </w:tcPr>
          <w:p w14:paraId="4D4E32CB" w14:textId="43A8DA8F" w:rsidR="00A814FF" w:rsidRPr="009D54A4" w:rsidRDefault="00EF50B4" w:rsidP="001625F7">
            <w:pPr>
              <w:jc w:val="center"/>
              <w:rPr>
                <w:sz w:val="18"/>
                <w:szCs w:val="18"/>
              </w:rPr>
            </w:pPr>
            <w:r w:rsidRPr="009D54A4">
              <w:rPr>
                <w:sz w:val="18"/>
                <w:szCs w:val="18"/>
              </w:rPr>
              <w:t>En cours</w:t>
            </w:r>
          </w:p>
        </w:tc>
      </w:tr>
      <w:tr w:rsidR="00E61396" w:rsidRPr="009D54A4" w14:paraId="05A328BC" w14:textId="77777777" w:rsidTr="001625F7">
        <w:tc>
          <w:tcPr>
            <w:tcW w:w="438" w:type="dxa"/>
            <w:tcBorders>
              <w:top w:val="single" w:sz="4" w:space="0" w:color="auto"/>
              <w:bottom w:val="single" w:sz="4" w:space="0" w:color="auto"/>
            </w:tcBorders>
            <w:vAlign w:val="center"/>
          </w:tcPr>
          <w:p w14:paraId="1C511DAD" w14:textId="78CEAB36" w:rsidR="00E61396" w:rsidRPr="009D54A4" w:rsidRDefault="00E61396" w:rsidP="001625F7">
            <w:pPr>
              <w:rPr>
                <w:b/>
                <w:sz w:val="18"/>
                <w:szCs w:val="18"/>
              </w:rPr>
            </w:pPr>
            <w:r w:rsidRPr="009D54A4">
              <w:rPr>
                <w:b/>
                <w:sz w:val="18"/>
                <w:szCs w:val="18"/>
              </w:rPr>
              <w:t>2</w:t>
            </w:r>
          </w:p>
        </w:tc>
        <w:tc>
          <w:tcPr>
            <w:tcW w:w="3348" w:type="dxa"/>
            <w:tcBorders>
              <w:top w:val="single" w:sz="4" w:space="0" w:color="auto"/>
              <w:bottom w:val="single" w:sz="4" w:space="0" w:color="auto"/>
            </w:tcBorders>
            <w:vAlign w:val="center"/>
          </w:tcPr>
          <w:p w14:paraId="6EEC4365" w14:textId="500CA298" w:rsidR="00E61396" w:rsidRPr="009D54A4" w:rsidRDefault="00E61396" w:rsidP="001625F7">
            <w:pPr>
              <w:jc w:val="both"/>
              <w:rPr>
                <w:sz w:val="18"/>
                <w:szCs w:val="18"/>
              </w:rPr>
            </w:pPr>
            <w:r w:rsidRPr="009D54A4">
              <w:rPr>
                <w:sz w:val="18"/>
                <w:szCs w:val="18"/>
              </w:rPr>
              <w:t>L'aménagement des collecteurs Banconi, Molobalini, Foloni, Dougouradji et Bamafalani dans le district de Bamako pour la protection contre les risques d'inondations</w:t>
            </w:r>
            <w:r w:rsidR="00657CD8" w:rsidRPr="009D54A4">
              <w:rPr>
                <w:sz w:val="18"/>
                <w:szCs w:val="18"/>
              </w:rPr>
              <w:t>.</w:t>
            </w:r>
            <w:r w:rsidRPr="009D54A4">
              <w:rPr>
                <w:sz w:val="18"/>
                <w:szCs w:val="18"/>
              </w:rPr>
              <w:t xml:space="preserve"> </w:t>
            </w:r>
          </w:p>
        </w:tc>
        <w:tc>
          <w:tcPr>
            <w:tcW w:w="1696" w:type="dxa"/>
            <w:tcBorders>
              <w:top w:val="single" w:sz="4" w:space="0" w:color="auto"/>
              <w:bottom w:val="single" w:sz="4" w:space="0" w:color="auto"/>
            </w:tcBorders>
            <w:vAlign w:val="center"/>
          </w:tcPr>
          <w:p w14:paraId="78E279D1" w14:textId="7299BC38" w:rsidR="00E61396" w:rsidRPr="009D54A4" w:rsidRDefault="00E61396" w:rsidP="001625F7">
            <w:pPr>
              <w:jc w:val="both"/>
              <w:rPr>
                <w:sz w:val="18"/>
                <w:szCs w:val="18"/>
              </w:rPr>
            </w:pPr>
            <w:r w:rsidRPr="009D54A4">
              <w:rPr>
                <w:sz w:val="18"/>
                <w:szCs w:val="18"/>
              </w:rPr>
              <w:t>Conseil Régional</w:t>
            </w:r>
          </w:p>
        </w:tc>
        <w:tc>
          <w:tcPr>
            <w:tcW w:w="4175" w:type="dxa"/>
            <w:tcBorders>
              <w:top w:val="single" w:sz="4" w:space="0" w:color="auto"/>
              <w:bottom w:val="single" w:sz="4" w:space="0" w:color="auto"/>
            </w:tcBorders>
            <w:vAlign w:val="center"/>
          </w:tcPr>
          <w:p w14:paraId="70E5586F" w14:textId="77777777" w:rsidR="00E61396" w:rsidRPr="009D54A4" w:rsidRDefault="00E61396" w:rsidP="001625F7">
            <w:pPr>
              <w:jc w:val="both"/>
              <w:rPr>
                <w:b/>
                <w:sz w:val="18"/>
                <w:szCs w:val="18"/>
                <w:u w:val="single"/>
              </w:rPr>
            </w:pPr>
            <w:r w:rsidRPr="009D54A4">
              <w:rPr>
                <w:b/>
                <w:sz w:val="18"/>
                <w:szCs w:val="18"/>
                <w:u w:val="single"/>
              </w:rPr>
              <w:t>Objectif </w:t>
            </w:r>
          </w:p>
          <w:p w14:paraId="297E7CC8" w14:textId="6460F145" w:rsidR="00E61396" w:rsidRPr="009D54A4" w:rsidRDefault="00E61396" w:rsidP="001625F7">
            <w:pPr>
              <w:jc w:val="both"/>
              <w:rPr>
                <w:sz w:val="18"/>
                <w:szCs w:val="18"/>
              </w:rPr>
            </w:pPr>
            <w:r w:rsidRPr="009D54A4">
              <w:rPr>
                <w:sz w:val="18"/>
                <w:szCs w:val="18"/>
              </w:rPr>
              <w:t>Faciliter l’écoulement des eaux pluviales et renforcer la protection du district de Bamako contre les risques d’inondation</w:t>
            </w:r>
            <w:r w:rsidR="00657CD8" w:rsidRPr="009D54A4">
              <w:rPr>
                <w:sz w:val="18"/>
                <w:szCs w:val="18"/>
              </w:rPr>
              <w:t>.</w:t>
            </w:r>
            <w:r w:rsidRPr="009D54A4">
              <w:rPr>
                <w:sz w:val="18"/>
                <w:szCs w:val="18"/>
              </w:rPr>
              <w:t xml:space="preserve">  </w:t>
            </w:r>
          </w:p>
          <w:p w14:paraId="7485D234" w14:textId="77777777" w:rsidR="00E61396" w:rsidRPr="009D54A4" w:rsidRDefault="00E61396" w:rsidP="001625F7">
            <w:pPr>
              <w:jc w:val="both"/>
              <w:rPr>
                <w:b/>
                <w:sz w:val="18"/>
                <w:szCs w:val="18"/>
                <w:u w:val="single"/>
              </w:rPr>
            </w:pPr>
            <w:r w:rsidRPr="009D54A4">
              <w:rPr>
                <w:b/>
                <w:sz w:val="18"/>
                <w:szCs w:val="18"/>
                <w:u w:val="single"/>
              </w:rPr>
              <w:t>Description</w:t>
            </w:r>
          </w:p>
          <w:p w14:paraId="23683825" w14:textId="4C2C8E6E" w:rsidR="00E61396" w:rsidRPr="009D54A4" w:rsidRDefault="00E61396" w:rsidP="001625F7">
            <w:pPr>
              <w:jc w:val="both"/>
              <w:rPr>
                <w:sz w:val="18"/>
                <w:szCs w:val="18"/>
              </w:rPr>
            </w:pPr>
            <w:r w:rsidRPr="009D54A4">
              <w:rPr>
                <w:sz w:val="18"/>
                <w:szCs w:val="18"/>
              </w:rPr>
              <w:t>Le projet porte sur l’aménagement des collecteurs de Banconi, Molobalini, Foloni, Dougouradji et Bamafalani dans le district de Bamako</w:t>
            </w:r>
            <w:r w:rsidR="0086161C" w:rsidRPr="009D54A4">
              <w:rPr>
                <w:sz w:val="18"/>
                <w:szCs w:val="18"/>
              </w:rPr>
              <w:t xml:space="preserve">. </w:t>
            </w:r>
            <w:r w:rsidRPr="009D54A4">
              <w:rPr>
                <w:sz w:val="18"/>
                <w:szCs w:val="18"/>
              </w:rPr>
              <w:t>Il prévoit le déguerpissement des occupations situées dans les emprises ainsi que l’aménagement mécanique des berges afin d’améliorer le drainage des eaux pluviales et de réduire les risques d’inondation</w:t>
            </w:r>
            <w:r w:rsidR="00657CD8" w:rsidRPr="009D54A4">
              <w:rPr>
                <w:sz w:val="18"/>
                <w:szCs w:val="18"/>
              </w:rPr>
              <w:t>.</w:t>
            </w:r>
            <w:r w:rsidRPr="009D54A4">
              <w:rPr>
                <w:sz w:val="18"/>
                <w:szCs w:val="18"/>
              </w:rPr>
              <w:t xml:space="preserve"> </w:t>
            </w:r>
          </w:p>
        </w:tc>
        <w:tc>
          <w:tcPr>
            <w:tcW w:w="2034" w:type="dxa"/>
            <w:tcBorders>
              <w:top w:val="single" w:sz="4" w:space="0" w:color="auto"/>
              <w:bottom w:val="single" w:sz="4" w:space="0" w:color="auto"/>
            </w:tcBorders>
            <w:vAlign w:val="center"/>
          </w:tcPr>
          <w:p w14:paraId="703EA899" w14:textId="2A9DDAAB" w:rsidR="00E61396" w:rsidRPr="009D54A4" w:rsidRDefault="00E61396" w:rsidP="001625F7">
            <w:pPr>
              <w:jc w:val="center"/>
              <w:rPr>
                <w:sz w:val="18"/>
                <w:szCs w:val="18"/>
              </w:rPr>
            </w:pPr>
            <w:r w:rsidRPr="009D54A4">
              <w:rPr>
                <w:rFonts w:hAnsiTheme="minorHAnsi" w:cstheme="minorHAnsi"/>
                <w:sz w:val="18"/>
                <w:szCs w:val="18"/>
              </w:rPr>
              <w:t>ND</w:t>
            </w:r>
          </w:p>
        </w:tc>
        <w:tc>
          <w:tcPr>
            <w:tcW w:w="1662" w:type="dxa"/>
            <w:tcBorders>
              <w:top w:val="single" w:sz="4" w:space="0" w:color="auto"/>
              <w:bottom w:val="single" w:sz="4" w:space="0" w:color="auto"/>
            </w:tcBorders>
            <w:vAlign w:val="center"/>
          </w:tcPr>
          <w:p w14:paraId="2ED6E886" w14:textId="56BD5DA1" w:rsidR="00E61396" w:rsidRPr="009D54A4" w:rsidRDefault="00E61396" w:rsidP="001625F7">
            <w:pPr>
              <w:jc w:val="center"/>
              <w:rPr>
                <w:sz w:val="18"/>
                <w:szCs w:val="18"/>
              </w:rPr>
            </w:pPr>
            <w:r w:rsidRPr="009D54A4">
              <w:rPr>
                <w:sz w:val="18"/>
                <w:szCs w:val="18"/>
              </w:rPr>
              <w:t>En cours</w:t>
            </w:r>
          </w:p>
        </w:tc>
      </w:tr>
      <w:tr w:rsidR="00E61396" w:rsidRPr="009D54A4" w14:paraId="52417E2C" w14:textId="77777777" w:rsidTr="001625F7">
        <w:tc>
          <w:tcPr>
            <w:tcW w:w="438" w:type="dxa"/>
            <w:tcBorders>
              <w:top w:val="single" w:sz="4" w:space="0" w:color="auto"/>
              <w:bottom w:val="single" w:sz="4" w:space="0" w:color="auto"/>
            </w:tcBorders>
            <w:vAlign w:val="center"/>
          </w:tcPr>
          <w:p w14:paraId="4A626777" w14:textId="2B8B27D6" w:rsidR="00E61396" w:rsidRPr="009D54A4" w:rsidRDefault="00E61396" w:rsidP="001625F7">
            <w:pPr>
              <w:rPr>
                <w:b/>
                <w:sz w:val="18"/>
                <w:szCs w:val="18"/>
              </w:rPr>
            </w:pPr>
            <w:r w:rsidRPr="009D54A4">
              <w:rPr>
                <w:b/>
                <w:sz w:val="18"/>
                <w:szCs w:val="18"/>
              </w:rPr>
              <w:t>3</w:t>
            </w:r>
          </w:p>
        </w:tc>
        <w:tc>
          <w:tcPr>
            <w:tcW w:w="3348" w:type="dxa"/>
            <w:tcBorders>
              <w:top w:val="single" w:sz="4" w:space="0" w:color="auto"/>
              <w:bottom w:val="single" w:sz="4" w:space="0" w:color="auto"/>
            </w:tcBorders>
            <w:vAlign w:val="center"/>
          </w:tcPr>
          <w:p w14:paraId="3C281B45" w14:textId="00FB9EED" w:rsidR="00E61396" w:rsidRPr="009D54A4" w:rsidRDefault="00E61396" w:rsidP="001625F7">
            <w:pPr>
              <w:jc w:val="both"/>
              <w:rPr>
                <w:sz w:val="18"/>
                <w:szCs w:val="18"/>
              </w:rPr>
            </w:pPr>
            <w:r w:rsidRPr="009D54A4">
              <w:rPr>
                <w:sz w:val="18"/>
                <w:szCs w:val="18"/>
              </w:rPr>
              <w:t>L'aménagement du collecteur Kotroni à Sikasso pour la protection contre les risques d'inondations</w:t>
            </w:r>
            <w:r w:rsidR="00657CD8" w:rsidRPr="009D54A4">
              <w:rPr>
                <w:sz w:val="18"/>
                <w:szCs w:val="18"/>
              </w:rPr>
              <w:t>.</w:t>
            </w:r>
            <w:r w:rsidRPr="009D54A4">
              <w:rPr>
                <w:sz w:val="18"/>
                <w:szCs w:val="18"/>
              </w:rPr>
              <w:t xml:space="preserve"> </w:t>
            </w:r>
          </w:p>
        </w:tc>
        <w:tc>
          <w:tcPr>
            <w:tcW w:w="1696" w:type="dxa"/>
            <w:tcBorders>
              <w:top w:val="single" w:sz="4" w:space="0" w:color="auto"/>
              <w:bottom w:val="single" w:sz="4" w:space="0" w:color="auto"/>
            </w:tcBorders>
            <w:vAlign w:val="center"/>
          </w:tcPr>
          <w:p w14:paraId="69AAF424" w14:textId="78108E03" w:rsidR="00E61396" w:rsidRPr="009D54A4" w:rsidRDefault="00E61396" w:rsidP="001625F7">
            <w:pPr>
              <w:jc w:val="both"/>
              <w:rPr>
                <w:sz w:val="18"/>
                <w:szCs w:val="18"/>
              </w:rPr>
            </w:pPr>
            <w:r w:rsidRPr="009D54A4">
              <w:rPr>
                <w:sz w:val="18"/>
                <w:szCs w:val="18"/>
              </w:rPr>
              <w:t>Conseil Régional</w:t>
            </w:r>
          </w:p>
        </w:tc>
        <w:tc>
          <w:tcPr>
            <w:tcW w:w="4175" w:type="dxa"/>
            <w:tcBorders>
              <w:top w:val="single" w:sz="4" w:space="0" w:color="auto"/>
              <w:bottom w:val="single" w:sz="4" w:space="0" w:color="auto"/>
            </w:tcBorders>
            <w:vAlign w:val="center"/>
          </w:tcPr>
          <w:p w14:paraId="2E24F2D1" w14:textId="77777777" w:rsidR="00E61396" w:rsidRPr="009D54A4" w:rsidRDefault="00E61396" w:rsidP="001625F7">
            <w:pPr>
              <w:jc w:val="both"/>
              <w:rPr>
                <w:b/>
                <w:sz w:val="18"/>
                <w:szCs w:val="18"/>
                <w:u w:val="single"/>
              </w:rPr>
            </w:pPr>
            <w:r w:rsidRPr="009D54A4">
              <w:rPr>
                <w:b/>
                <w:sz w:val="18"/>
                <w:szCs w:val="18"/>
                <w:u w:val="single"/>
              </w:rPr>
              <w:t>Objectif </w:t>
            </w:r>
          </w:p>
          <w:p w14:paraId="5E64ED41" w14:textId="0FC6796A" w:rsidR="00E61396" w:rsidRPr="009D54A4" w:rsidRDefault="00E61396" w:rsidP="001625F7">
            <w:pPr>
              <w:jc w:val="both"/>
              <w:rPr>
                <w:sz w:val="18"/>
                <w:szCs w:val="18"/>
              </w:rPr>
            </w:pPr>
            <w:r w:rsidRPr="009D54A4">
              <w:rPr>
                <w:sz w:val="18"/>
                <w:szCs w:val="18"/>
              </w:rPr>
              <w:t>Faciliter l’écoulement des eaux pluviales et renforcer la protection du district de Bamako contre les risques d’inondation</w:t>
            </w:r>
            <w:r w:rsidR="00657CD8" w:rsidRPr="009D54A4">
              <w:rPr>
                <w:sz w:val="18"/>
                <w:szCs w:val="18"/>
              </w:rPr>
              <w:t>.</w:t>
            </w:r>
            <w:r w:rsidRPr="009D54A4">
              <w:rPr>
                <w:sz w:val="18"/>
                <w:szCs w:val="18"/>
              </w:rPr>
              <w:t xml:space="preserve">  </w:t>
            </w:r>
          </w:p>
        </w:tc>
        <w:tc>
          <w:tcPr>
            <w:tcW w:w="2034" w:type="dxa"/>
            <w:tcBorders>
              <w:top w:val="single" w:sz="4" w:space="0" w:color="auto"/>
              <w:bottom w:val="single" w:sz="4" w:space="0" w:color="auto"/>
            </w:tcBorders>
            <w:vAlign w:val="center"/>
          </w:tcPr>
          <w:p w14:paraId="60EED132" w14:textId="53BED124" w:rsidR="00E61396" w:rsidRPr="009D54A4" w:rsidRDefault="00E61396" w:rsidP="001625F7">
            <w:pPr>
              <w:jc w:val="center"/>
              <w:rPr>
                <w:sz w:val="18"/>
                <w:szCs w:val="18"/>
              </w:rPr>
            </w:pPr>
            <w:r w:rsidRPr="009D54A4">
              <w:rPr>
                <w:rFonts w:hAnsiTheme="minorHAnsi" w:cstheme="minorHAnsi"/>
                <w:sz w:val="18"/>
                <w:szCs w:val="18"/>
              </w:rPr>
              <w:t>ND</w:t>
            </w:r>
          </w:p>
        </w:tc>
        <w:tc>
          <w:tcPr>
            <w:tcW w:w="1662" w:type="dxa"/>
            <w:tcBorders>
              <w:top w:val="single" w:sz="4" w:space="0" w:color="auto"/>
              <w:bottom w:val="single" w:sz="4" w:space="0" w:color="auto"/>
            </w:tcBorders>
            <w:vAlign w:val="center"/>
          </w:tcPr>
          <w:p w14:paraId="44DC4B4C" w14:textId="533D12E0" w:rsidR="00E61396" w:rsidRPr="009D54A4" w:rsidRDefault="00E61396" w:rsidP="001625F7">
            <w:pPr>
              <w:jc w:val="center"/>
              <w:rPr>
                <w:sz w:val="18"/>
                <w:szCs w:val="18"/>
              </w:rPr>
            </w:pPr>
            <w:r w:rsidRPr="009D54A4">
              <w:rPr>
                <w:sz w:val="18"/>
                <w:szCs w:val="18"/>
              </w:rPr>
              <w:t>En cours</w:t>
            </w:r>
          </w:p>
        </w:tc>
      </w:tr>
      <w:tr w:rsidR="00E61396" w:rsidRPr="009D54A4" w14:paraId="1CD1DEEA" w14:textId="77777777" w:rsidTr="001625F7">
        <w:tc>
          <w:tcPr>
            <w:tcW w:w="438" w:type="dxa"/>
            <w:tcBorders>
              <w:top w:val="single" w:sz="4" w:space="0" w:color="auto"/>
              <w:bottom w:val="single" w:sz="4" w:space="0" w:color="auto"/>
            </w:tcBorders>
            <w:vAlign w:val="center"/>
          </w:tcPr>
          <w:p w14:paraId="319F6912" w14:textId="148401E7" w:rsidR="00E61396" w:rsidRPr="009D54A4" w:rsidRDefault="00E61396" w:rsidP="001625F7">
            <w:pPr>
              <w:rPr>
                <w:b/>
                <w:sz w:val="18"/>
                <w:szCs w:val="18"/>
              </w:rPr>
            </w:pPr>
            <w:r w:rsidRPr="009D54A4">
              <w:rPr>
                <w:b/>
                <w:sz w:val="18"/>
                <w:szCs w:val="18"/>
              </w:rPr>
              <w:t>4</w:t>
            </w:r>
          </w:p>
        </w:tc>
        <w:tc>
          <w:tcPr>
            <w:tcW w:w="3348" w:type="dxa"/>
            <w:tcBorders>
              <w:top w:val="single" w:sz="4" w:space="0" w:color="auto"/>
              <w:bottom w:val="single" w:sz="4" w:space="0" w:color="auto"/>
            </w:tcBorders>
            <w:vAlign w:val="center"/>
          </w:tcPr>
          <w:p w14:paraId="4B8EB619" w14:textId="60F06265" w:rsidR="00E61396" w:rsidRPr="009D54A4" w:rsidRDefault="00E61396" w:rsidP="001625F7">
            <w:pPr>
              <w:jc w:val="both"/>
              <w:rPr>
                <w:sz w:val="18"/>
                <w:szCs w:val="18"/>
              </w:rPr>
            </w:pPr>
            <w:r w:rsidRPr="009D54A4">
              <w:rPr>
                <w:sz w:val="18"/>
                <w:szCs w:val="18"/>
              </w:rPr>
              <w:t>L'aménagement du collecteur Lotio à Sikasso pour la protection contre les risques d'inondations</w:t>
            </w:r>
            <w:r w:rsidR="00657CD8" w:rsidRPr="009D54A4">
              <w:rPr>
                <w:sz w:val="18"/>
                <w:szCs w:val="18"/>
              </w:rPr>
              <w:t>.</w:t>
            </w:r>
            <w:r w:rsidRPr="009D54A4">
              <w:rPr>
                <w:sz w:val="18"/>
                <w:szCs w:val="18"/>
              </w:rPr>
              <w:t xml:space="preserve"> </w:t>
            </w:r>
          </w:p>
        </w:tc>
        <w:tc>
          <w:tcPr>
            <w:tcW w:w="1696" w:type="dxa"/>
            <w:tcBorders>
              <w:top w:val="single" w:sz="4" w:space="0" w:color="auto"/>
              <w:bottom w:val="single" w:sz="4" w:space="0" w:color="auto"/>
            </w:tcBorders>
            <w:vAlign w:val="center"/>
          </w:tcPr>
          <w:p w14:paraId="3CECBFC3" w14:textId="37456380" w:rsidR="00E61396" w:rsidRPr="009D54A4" w:rsidRDefault="00E61396" w:rsidP="001625F7">
            <w:pPr>
              <w:jc w:val="both"/>
              <w:rPr>
                <w:sz w:val="18"/>
                <w:szCs w:val="18"/>
              </w:rPr>
            </w:pPr>
            <w:r w:rsidRPr="009D54A4">
              <w:rPr>
                <w:rFonts w:hAnsiTheme="minorHAnsi" w:cstheme="minorHAnsi"/>
                <w:sz w:val="18"/>
                <w:szCs w:val="18"/>
              </w:rPr>
              <w:t>ND</w:t>
            </w:r>
          </w:p>
        </w:tc>
        <w:tc>
          <w:tcPr>
            <w:tcW w:w="4175" w:type="dxa"/>
            <w:tcBorders>
              <w:top w:val="single" w:sz="4" w:space="0" w:color="auto"/>
              <w:bottom w:val="single" w:sz="4" w:space="0" w:color="auto"/>
            </w:tcBorders>
            <w:shd w:val="clear" w:color="auto" w:fill="F2F2F2" w:themeFill="background1" w:themeFillShade="F2"/>
            <w:vAlign w:val="center"/>
          </w:tcPr>
          <w:p w14:paraId="61857E25" w14:textId="73536256" w:rsidR="00E61396" w:rsidRPr="009D54A4" w:rsidRDefault="00E61396" w:rsidP="001625F7">
            <w:pPr>
              <w:jc w:val="both"/>
              <w:rPr>
                <w:sz w:val="18"/>
                <w:szCs w:val="18"/>
              </w:rPr>
            </w:pPr>
          </w:p>
        </w:tc>
        <w:tc>
          <w:tcPr>
            <w:tcW w:w="2034" w:type="dxa"/>
            <w:tcBorders>
              <w:top w:val="single" w:sz="4" w:space="0" w:color="auto"/>
              <w:bottom w:val="single" w:sz="4" w:space="0" w:color="auto"/>
            </w:tcBorders>
            <w:vAlign w:val="center"/>
          </w:tcPr>
          <w:p w14:paraId="59453745" w14:textId="3965428A" w:rsidR="00E61396" w:rsidRPr="009D54A4" w:rsidRDefault="00E61396" w:rsidP="001625F7">
            <w:pPr>
              <w:jc w:val="center"/>
              <w:rPr>
                <w:sz w:val="18"/>
                <w:szCs w:val="18"/>
              </w:rPr>
            </w:pPr>
            <w:r w:rsidRPr="009D54A4">
              <w:rPr>
                <w:rFonts w:hAnsiTheme="minorHAnsi" w:cstheme="minorHAnsi"/>
                <w:sz w:val="18"/>
                <w:szCs w:val="18"/>
              </w:rPr>
              <w:t>ND</w:t>
            </w:r>
          </w:p>
        </w:tc>
        <w:tc>
          <w:tcPr>
            <w:tcW w:w="1662" w:type="dxa"/>
            <w:tcBorders>
              <w:top w:val="single" w:sz="4" w:space="0" w:color="auto"/>
              <w:bottom w:val="single" w:sz="4" w:space="0" w:color="auto"/>
            </w:tcBorders>
            <w:vAlign w:val="center"/>
          </w:tcPr>
          <w:p w14:paraId="4F662623" w14:textId="0521C532" w:rsidR="00E61396" w:rsidRPr="009D54A4" w:rsidRDefault="00E61396" w:rsidP="001625F7">
            <w:pPr>
              <w:jc w:val="center"/>
              <w:rPr>
                <w:sz w:val="18"/>
                <w:szCs w:val="18"/>
              </w:rPr>
            </w:pPr>
            <w:r w:rsidRPr="009D54A4">
              <w:rPr>
                <w:sz w:val="18"/>
                <w:szCs w:val="18"/>
              </w:rPr>
              <w:t>Programmé</w:t>
            </w:r>
          </w:p>
        </w:tc>
      </w:tr>
      <w:tr w:rsidR="00E61396" w:rsidRPr="009D54A4" w14:paraId="01EDA21F" w14:textId="77777777" w:rsidTr="001625F7">
        <w:tc>
          <w:tcPr>
            <w:tcW w:w="438" w:type="dxa"/>
            <w:tcBorders>
              <w:top w:val="single" w:sz="4" w:space="0" w:color="auto"/>
              <w:bottom w:val="single" w:sz="4" w:space="0" w:color="auto"/>
            </w:tcBorders>
            <w:vAlign w:val="center"/>
          </w:tcPr>
          <w:p w14:paraId="1A0F02E6" w14:textId="78EE9C8B" w:rsidR="00E61396" w:rsidRPr="009D54A4" w:rsidRDefault="00E61396" w:rsidP="001625F7">
            <w:pPr>
              <w:rPr>
                <w:b/>
                <w:sz w:val="18"/>
                <w:szCs w:val="18"/>
              </w:rPr>
            </w:pPr>
            <w:r w:rsidRPr="009D54A4">
              <w:rPr>
                <w:b/>
                <w:sz w:val="18"/>
                <w:szCs w:val="18"/>
              </w:rPr>
              <w:t>5</w:t>
            </w:r>
          </w:p>
        </w:tc>
        <w:tc>
          <w:tcPr>
            <w:tcW w:w="3348" w:type="dxa"/>
            <w:tcBorders>
              <w:top w:val="single" w:sz="4" w:space="0" w:color="auto"/>
              <w:bottom w:val="single" w:sz="4" w:space="0" w:color="auto"/>
            </w:tcBorders>
            <w:vAlign w:val="center"/>
          </w:tcPr>
          <w:p w14:paraId="4CEF0480" w14:textId="5031419F" w:rsidR="00E61396" w:rsidRPr="009D54A4" w:rsidRDefault="00D64246" w:rsidP="009D54A4">
            <w:pPr>
              <w:jc w:val="both"/>
              <w:rPr>
                <w:sz w:val="18"/>
                <w:szCs w:val="18"/>
              </w:rPr>
            </w:pPr>
            <w:r w:rsidRPr="009D54A4">
              <w:rPr>
                <w:sz w:val="18"/>
                <w:szCs w:val="18"/>
              </w:rPr>
              <w:t>Projet intégré de traitement des eaux usées et de renforcement des infrastructures d’assainissement à Bamako</w:t>
            </w:r>
            <w:r w:rsidRPr="009D54A4">
              <w:rPr>
                <w:rStyle w:val="Appelnotedebasdep"/>
                <w:sz w:val="18"/>
                <w:szCs w:val="18"/>
              </w:rPr>
              <w:footnoteReference w:id="7"/>
            </w:r>
            <w:r w:rsidR="009D67EB" w:rsidRPr="009D54A4">
              <w:rPr>
                <w:sz w:val="18"/>
                <w:szCs w:val="18"/>
              </w:rPr>
              <w:t>.</w:t>
            </w:r>
          </w:p>
        </w:tc>
        <w:tc>
          <w:tcPr>
            <w:tcW w:w="1696" w:type="dxa"/>
            <w:tcBorders>
              <w:top w:val="single" w:sz="4" w:space="0" w:color="auto"/>
              <w:bottom w:val="single" w:sz="4" w:space="0" w:color="auto"/>
            </w:tcBorders>
            <w:vAlign w:val="center"/>
          </w:tcPr>
          <w:p w14:paraId="088C7F44" w14:textId="2C6991FF" w:rsidR="00E61396" w:rsidRPr="009D54A4" w:rsidRDefault="00E61396" w:rsidP="001625F7">
            <w:pPr>
              <w:jc w:val="both"/>
              <w:rPr>
                <w:sz w:val="18"/>
                <w:szCs w:val="18"/>
              </w:rPr>
            </w:pPr>
            <w:r w:rsidRPr="009D54A4">
              <w:rPr>
                <w:sz w:val="18"/>
                <w:szCs w:val="18"/>
              </w:rPr>
              <w:t>Agence de l'Environnement et du Développement Durable (AEDD)</w:t>
            </w:r>
          </w:p>
        </w:tc>
        <w:tc>
          <w:tcPr>
            <w:tcW w:w="4175" w:type="dxa"/>
            <w:tcBorders>
              <w:top w:val="single" w:sz="4" w:space="0" w:color="auto"/>
              <w:bottom w:val="single" w:sz="4" w:space="0" w:color="auto"/>
            </w:tcBorders>
            <w:vAlign w:val="center"/>
          </w:tcPr>
          <w:p w14:paraId="0B6CB831" w14:textId="77777777" w:rsidR="00E61396" w:rsidRPr="009D54A4" w:rsidRDefault="00E61396" w:rsidP="001625F7">
            <w:pPr>
              <w:jc w:val="both"/>
              <w:rPr>
                <w:b/>
                <w:sz w:val="18"/>
                <w:szCs w:val="18"/>
                <w:u w:val="single"/>
              </w:rPr>
            </w:pPr>
            <w:r w:rsidRPr="009D54A4">
              <w:rPr>
                <w:b/>
                <w:sz w:val="18"/>
                <w:szCs w:val="18"/>
                <w:u w:val="single"/>
              </w:rPr>
              <w:t>Objectif </w:t>
            </w:r>
          </w:p>
          <w:p w14:paraId="24D7FC0E" w14:textId="0C618006" w:rsidR="00E61396" w:rsidRPr="009D54A4" w:rsidRDefault="00681278" w:rsidP="001625F7">
            <w:pPr>
              <w:jc w:val="both"/>
              <w:rPr>
                <w:rFonts w:eastAsia="Times New Roman"/>
                <w:color w:val="000000"/>
                <w:sz w:val="18"/>
                <w:szCs w:val="18"/>
                <w:lang w:eastAsia="fr-FR"/>
              </w:rPr>
            </w:pPr>
            <w:r w:rsidRPr="00681278">
              <w:rPr>
                <w:rFonts w:eastAsia="Times New Roman"/>
                <w:color w:val="000000"/>
                <w:sz w:val="18"/>
                <w:szCs w:val="18"/>
                <w:lang w:eastAsia="fr-FR"/>
              </w:rPr>
              <w:t>Améliorer l’assainissement urbain à Bamako par le renforcement des infrastructures de traitement des eaux usées et la sensibilisation des populations à la protection de l’environnement, afin de réduire la pollution des ressources en eau et de préserver la santé publique.</w:t>
            </w:r>
            <w:r w:rsidR="00E61396" w:rsidRPr="009D54A4">
              <w:rPr>
                <w:rFonts w:eastAsia="Times New Roman"/>
                <w:color w:val="000000"/>
                <w:sz w:val="18"/>
                <w:szCs w:val="18"/>
                <w:lang w:eastAsia="fr-FR"/>
              </w:rPr>
              <w:t xml:space="preserve"> </w:t>
            </w:r>
          </w:p>
          <w:p w14:paraId="6E4EF9A0" w14:textId="77777777" w:rsidR="00E61396" w:rsidRPr="009D54A4" w:rsidRDefault="00E61396" w:rsidP="001625F7">
            <w:pPr>
              <w:jc w:val="both"/>
              <w:rPr>
                <w:b/>
                <w:sz w:val="18"/>
                <w:szCs w:val="18"/>
                <w:u w:val="single"/>
              </w:rPr>
            </w:pPr>
            <w:r w:rsidRPr="009D54A4">
              <w:rPr>
                <w:b/>
                <w:sz w:val="18"/>
                <w:szCs w:val="18"/>
                <w:u w:val="single"/>
              </w:rPr>
              <w:t>Description</w:t>
            </w:r>
          </w:p>
          <w:p w14:paraId="10FB023D" w14:textId="0D337C39" w:rsidR="00E61396" w:rsidRPr="009D54A4" w:rsidRDefault="00E61396" w:rsidP="001625F7">
            <w:pPr>
              <w:jc w:val="both"/>
              <w:rPr>
                <w:sz w:val="18"/>
                <w:szCs w:val="18"/>
              </w:rPr>
            </w:pPr>
            <w:r w:rsidRPr="009D54A4">
              <w:rPr>
                <w:sz w:val="18"/>
                <w:szCs w:val="18"/>
              </w:rPr>
              <w:t xml:space="preserve">Le projet vise la construction d’une station de traitement de grande envergure à Sotuba afin de prendre en charge les eaux usées domestiques et </w:t>
            </w:r>
            <w:r w:rsidRPr="009D54A4">
              <w:rPr>
                <w:sz w:val="18"/>
                <w:szCs w:val="18"/>
              </w:rPr>
              <w:lastRenderedPageBreak/>
              <w:t>ménagères déversées dans les environs de Bamako et contribuant à la pollution de l’environnement, du fleuve ainsi qu’aux nuisances affectant les populations et les animaux  Il prévoit également la réhabilitation de la station des teinturiers, le renforcement des capacités du laboratoire de l’Agence à travers l’acquisition d’équipements adaptés, ainsi que la dotation de la station en débitmètres afin d’améliorer le suivi, le contrôle et la fiabilité des données relatives aux eaux traitées</w:t>
            </w:r>
            <w:r w:rsidR="009D67EB" w:rsidRPr="009D54A4">
              <w:rPr>
                <w:sz w:val="18"/>
                <w:szCs w:val="18"/>
              </w:rPr>
              <w:t>.</w:t>
            </w:r>
            <w:r w:rsidRPr="009D54A4">
              <w:rPr>
                <w:sz w:val="18"/>
                <w:szCs w:val="18"/>
              </w:rPr>
              <w:t xml:space="preserve"> </w:t>
            </w:r>
          </w:p>
        </w:tc>
        <w:tc>
          <w:tcPr>
            <w:tcW w:w="2034" w:type="dxa"/>
            <w:tcBorders>
              <w:top w:val="single" w:sz="4" w:space="0" w:color="auto"/>
              <w:bottom w:val="single" w:sz="4" w:space="0" w:color="auto"/>
            </w:tcBorders>
            <w:vAlign w:val="center"/>
          </w:tcPr>
          <w:p w14:paraId="089189EC" w14:textId="7FB389FD" w:rsidR="00E61396" w:rsidRPr="009D54A4" w:rsidRDefault="00E61396" w:rsidP="001625F7">
            <w:pPr>
              <w:jc w:val="center"/>
              <w:rPr>
                <w:sz w:val="18"/>
                <w:szCs w:val="18"/>
              </w:rPr>
            </w:pPr>
            <w:r w:rsidRPr="009D54A4">
              <w:rPr>
                <w:rFonts w:hAnsiTheme="minorHAnsi" w:cstheme="minorHAnsi"/>
                <w:sz w:val="18"/>
                <w:szCs w:val="18"/>
              </w:rPr>
              <w:lastRenderedPageBreak/>
              <w:t>ND</w:t>
            </w:r>
          </w:p>
        </w:tc>
        <w:tc>
          <w:tcPr>
            <w:tcW w:w="1662" w:type="dxa"/>
            <w:tcBorders>
              <w:top w:val="single" w:sz="4" w:space="0" w:color="auto"/>
              <w:bottom w:val="single" w:sz="4" w:space="0" w:color="auto"/>
            </w:tcBorders>
            <w:vAlign w:val="center"/>
          </w:tcPr>
          <w:p w14:paraId="5264D935" w14:textId="06CB3BA2" w:rsidR="00E61396" w:rsidRPr="009D54A4" w:rsidRDefault="00E61396" w:rsidP="001625F7">
            <w:pPr>
              <w:jc w:val="center"/>
              <w:rPr>
                <w:sz w:val="18"/>
                <w:szCs w:val="18"/>
              </w:rPr>
            </w:pPr>
            <w:r w:rsidRPr="009D54A4">
              <w:rPr>
                <w:sz w:val="18"/>
                <w:szCs w:val="18"/>
              </w:rPr>
              <w:t>Programmé</w:t>
            </w:r>
          </w:p>
        </w:tc>
      </w:tr>
      <w:tr w:rsidR="00BD3154" w:rsidRPr="009D54A4" w14:paraId="6B60BA0E" w14:textId="77777777" w:rsidTr="001625F7">
        <w:tc>
          <w:tcPr>
            <w:tcW w:w="438" w:type="dxa"/>
            <w:tcBorders>
              <w:top w:val="single" w:sz="4" w:space="0" w:color="auto"/>
              <w:bottom w:val="single" w:sz="4" w:space="0" w:color="auto"/>
            </w:tcBorders>
            <w:vAlign w:val="center"/>
          </w:tcPr>
          <w:p w14:paraId="06A5A479" w14:textId="5503C213" w:rsidR="00BD3154" w:rsidRPr="009D54A4" w:rsidRDefault="00BD3154" w:rsidP="001625F7">
            <w:pPr>
              <w:rPr>
                <w:b/>
                <w:sz w:val="18"/>
                <w:szCs w:val="18"/>
              </w:rPr>
            </w:pPr>
            <w:r w:rsidRPr="009D54A4">
              <w:rPr>
                <w:b/>
                <w:sz w:val="18"/>
                <w:szCs w:val="18"/>
              </w:rPr>
              <w:t>6</w:t>
            </w:r>
          </w:p>
        </w:tc>
        <w:tc>
          <w:tcPr>
            <w:tcW w:w="3348" w:type="dxa"/>
            <w:tcBorders>
              <w:top w:val="single" w:sz="4" w:space="0" w:color="auto"/>
              <w:bottom w:val="single" w:sz="4" w:space="0" w:color="auto"/>
            </w:tcBorders>
            <w:vAlign w:val="center"/>
          </w:tcPr>
          <w:p w14:paraId="1BA37C8B" w14:textId="7ECA32F8" w:rsidR="00BD3154" w:rsidRPr="009D54A4" w:rsidRDefault="00BD3154" w:rsidP="001625F7">
            <w:pPr>
              <w:jc w:val="both"/>
              <w:rPr>
                <w:sz w:val="18"/>
                <w:szCs w:val="18"/>
              </w:rPr>
            </w:pPr>
            <w:r w:rsidRPr="009D54A4">
              <w:rPr>
                <w:sz w:val="18"/>
                <w:szCs w:val="18"/>
              </w:rPr>
              <w:t>Renforcement de capacités des agents de la DNACPN sur les changements climatiques et les déchets</w:t>
            </w:r>
            <w:r w:rsidR="009D67EB" w:rsidRPr="009D54A4">
              <w:rPr>
                <w:sz w:val="18"/>
                <w:szCs w:val="18"/>
              </w:rPr>
              <w:t>.</w:t>
            </w:r>
            <w:r w:rsidRPr="009D54A4">
              <w:rPr>
                <w:sz w:val="18"/>
                <w:szCs w:val="18"/>
              </w:rPr>
              <w:t xml:space="preserve"> </w:t>
            </w:r>
          </w:p>
        </w:tc>
        <w:tc>
          <w:tcPr>
            <w:tcW w:w="1696" w:type="dxa"/>
            <w:tcBorders>
              <w:top w:val="single" w:sz="4" w:space="0" w:color="auto"/>
              <w:bottom w:val="single" w:sz="4" w:space="0" w:color="auto"/>
            </w:tcBorders>
            <w:vAlign w:val="center"/>
          </w:tcPr>
          <w:p w14:paraId="69ED9804" w14:textId="0C741813" w:rsidR="00BD3154" w:rsidRPr="009D54A4" w:rsidRDefault="00BD3154" w:rsidP="001625F7">
            <w:pPr>
              <w:jc w:val="both"/>
              <w:rPr>
                <w:sz w:val="18"/>
                <w:szCs w:val="18"/>
              </w:rPr>
            </w:pPr>
            <w:r w:rsidRPr="009D54A4">
              <w:rPr>
                <w:sz w:val="18"/>
                <w:szCs w:val="18"/>
              </w:rPr>
              <w:t>Direction Nationale de l'Assainissement du Contrôle des Pollutions et des Nuisances (DNACPN)</w:t>
            </w:r>
          </w:p>
        </w:tc>
        <w:tc>
          <w:tcPr>
            <w:tcW w:w="4175" w:type="dxa"/>
            <w:tcBorders>
              <w:top w:val="single" w:sz="4" w:space="0" w:color="auto"/>
              <w:bottom w:val="single" w:sz="4" w:space="0" w:color="auto"/>
            </w:tcBorders>
            <w:vAlign w:val="center"/>
          </w:tcPr>
          <w:p w14:paraId="0992389C" w14:textId="77777777" w:rsidR="00BD3154" w:rsidRPr="009D54A4" w:rsidRDefault="00BD3154" w:rsidP="001625F7">
            <w:pPr>
              <w:jc w:val="both"/>
              <w:rPr>
                <w:b/>
                <w:sz w:val="18"/>
                <w:szCs w:val="18"/>
                <w:u w:val="single"/>
              </w:rPr>
            </w:pPr>
            <w:r w:rsidRPr="009D54A4">
              <w:rPr>
                <w:b/>
                <w:sz w:val="18"/>
                <w:szCs w:val="18"/>
                <w:u w:val="single"/>
              </w:rPr>
              <w:t>Objectif </w:t>
            </w:r>
          </w:p>
          <w:p w14:paraId="5AEDC225" w14:textId="38405470" w:rsidR="00BD3154" w:rsidRPr="009D54A4" w:rsidRDefault="00BD3154" w:rsidP="001625F7">
            <w:pPr>
              <w:jc w:val="both"/>
              <w:rPr>
                <w:sz w:val="18"/>
                <w:szCs w:val="18"/>
              </w:rPr>
            </w:pPr>
            <w:r w:rsidRPr="009D54A4">
              <w:rPr>
                <w:sz w:val="18"/>
                <w:szCs w:val="18"/>
              </w:rPr>
              <w:t>Améliorer l’expertise technique et opérationnelle des cadres de la DNACPN pour une gestion des déchets qui intègre les enjeux du dérèglement climatique</w:t>
            </w:r>
            <w:r w:rsidR="00657CD8" w:rsidRPr="009D54A4">
              <w:rPr>
                <w:sz w:val="18"/>
                <w:szCs w:val="18"/>
              </w:rPr>
              <w:t>.</w:t>
            </w:r>
            <w:r w:rsidRPr="009D54A4">
              <w:rPr>
                <w:sz w:val="18"/>
                <w:szCs w:val="18"/>
              </w:rPr>
              <w:t xml:space="preserve"> </w:t>
            </w:r>
          </w:p>
        </w:tc>
        <w:tc>
          <w:tcPr>
            <w:tcW w:w="2034" w:type="dxa"/>
            <w:tcBorders>
              <w:top w:val="single" w:sz="4" w:space="0" w:color="auto"/>
              <w:bottom w:val="single" w:sz="4" w:space="0" w:color="auto"/>
            </w:tcBorders>
            <w:vAlign w:val="center"/>
          </w:tcPr>
          <w:p w14:paraId="6E3DE679" w14:textId="65208E5F" w:rsidR="00BD3154" w:rsidRPr="009D54A4" w:rsidRDefault="00BD3154" w:rsidP="001625F7">
            <w:pPr>
              <w:jc w:val="center"/>
              <w:rPr>
                <w:sz w:val="18"/>
                <w:szCs w:val="18"/>
              </w:rPr>
            </w:pPr>
            <w:r w:rsidRPr="009D54A4">
              <w:rPr>
                <w:rFonts w:hAnsiTheme="minorHAnsi" w:cstheme="minorHAnsi"/>
                <w:sz w:val="18"/>
                <w:szCs w:val="18"/>
              </w:rPr>
              <w:t>ND</w:t>
            </w:r>
          </w:p>
        </w:tc>
        <w:tc>
          <w:tcPr>
            <w:tcW w:w="1662" w:type="dxa"/>
            <w:tcBorders>
              <w:top w:val="single" w:sz="4" w:space="0" w:color="auto"/>
              <w:bottom w:val="single" w:sz="4" w:space="0" w:color="auto"/>
            </w:tcBorders>
            <w:vAlign w:val="center"/>
          </w:tcPr>
          <w:p w14:paraId="57BF9269" w14:textId="0E692907" w:rsidR="00BD3154" w:rsidRPr="009D54A4" w:rsidRDefault="00BD3154" w:rsidP="001625F7">
            <w:pPr>
              <w:jc w:val="center"/>
              <w:rPr>
                <w:sz w:val="18"/>
                <w:szCs w:val="18"/>
              </w:rPr>
            </w:pPr>
            <w:r w:rsidRPr="009D54A4">
              <w:rPr>
                <w:sz w:val="18"/>
                <w:szCs w:val="18"/>
              </w:rPr>
              <w:t>Programmée</w:t>
            </w:r>
          </w:p>
        </w:tc>
      </w:tr>
      <w:tr w:rsidR="00BD3154" w:rsidRPr="009D54A4" w14:paraId="53B8CFAB" w14:textId="77777777" w:rsidTr="001625F7">
        <w:tc>
          <w:tcPr>
            <w:tcW w:w="438" w:type="dxa"/>
            <w:tcBorders>
              <w:top w:val="single" w:sz="4" w:space="0" w:color="auto"/>
            </w:tcBorders>
            <w:vAlign w:val="center"/>
          </w:tcPr>
          <w:p w14:paraId="20436C5C" w14:textId="0C392A1F" w:rsidR="00BD3154" w:rsidRPr="009D54A4" w:rsidRDefault="00BD3154" w:rsidP="001625F7">
            <w:pPr>
              <w:rPr>
                <w:b/>
                <w:sz w:val="18"/>
                <w:szCs w:val="18"/>
              </w:rPr>
            </w:pPr>
            <w:r w:rsidRPr="009D54A4">
              <w:rPr>
                <w:b/>
                <w:sz w:val="18"/>
                <w:szCs w:val="18"/>
              </w:rPr>
              <w:t>7</w:t>
            </w:r>
          </w:p>
        </w:tc>
        <w:tc>
          <w:tcPr>
            <w:tcW w:w="3348" w:type="dxa"/>
            <w:tcBorders>
              <w:top w:val="single" w:sz="4" w:space="0" w:color="auto"/>
            </w:tcBorders>
            <w:vAlign w:val="center"/>
          </w:tcPr>
          <w:p w14:paraId="55A0B6CC" w14:textId="4CD4122D" w:rsidR="00BD3154" w:rsidRPr="009D54A4" w:rsidRDefault="00BD3154" w:rsidP="001625F7">
            <w:pPr>
              <w:jc w:val="both"/>
              <w:rPr>
                <w:rFonts w:asciiTheme="minorHAnsi" w:hAnsiTheme="minorHAnsi" w:cstheme="minorHAnsi"/>
                <w:sz w:val="18"/>
                <w:szCs w:val="18"/>
              </w:rPr>
            </w:pPr>
            <w:r w:rsidRPr="009D54A4">
              <w:rPr>
                <w:rFonts w:asciiTheme="minorHAnsi" w:hAnsiTheme="minorHAnsi" w:cstheme="minorHAnsi"/>
                <w:sz w:val="18"/>
                <w:szCs w:val="18"/>
              </w:rPr>
              <w:t xml:space="preserve">Formation des acteurs sur le </w:t>
            </w:r>
            <w:r w:rsidRPr="009D54A4">
              <w:rPr>
                <w:rFonts w:asciiTheme="minorHAnsi" w:hAnsiTheme="minorHAnsi" w:cstheme="minorHAnsi"/>
                <w:spacing w:val="-2"/>
                <w:sz w:val="18"/>
                <w:szCs w:val="18"/>
              </w:rPr>
              <w:t xml:space="preserve">contenu </w:t>
            </w:r>
            <w:r w:rsidRPr="009D54A4">
              <w:rPr>
                <w:rFonts w:asciiTheme="minorHAnsi" w:hAnsiTheme="minorHAnsi" w:cstheme="minorHAnsi"/>
                <w:sz w:val="18"/>
                <w:szCs w:val="18"/>
              </w:rPr>
              <w:t>des</w:t>
            </w:r>
            <w:r w:rsidRPr="009D54A4">
              <w:rPr>
                <w:rFonts w:asciiTheme="minorHAnsi" w:hAnsiTheme="minorHAnsi" w:cstheme="minorHAnsi"/>
                <w:spacing w:val="-12"/>
                <w:sz w:val="18"/>
                <w:szCs w:val="18"/>
              </w:rPr>
              <w:t xml:space="preserve"> </w:t>
            </w:r>
            <w:r w:rsidRPr="009D54A4">
              <w:rPr>
                <w:rFonts w:asciiTheme="minorHAnsi" w:hAnsiTheme="minorHAnsi" w:cstheme="minorHAnsi"/>
                <w:sz w:val="18"/>
                <w:szCs w:val="18"/>
              </w:rPr>
              <w:t>textes du secteur</w:t>
            </w:r>
            <w:r w:rsidR="009D67EB" w:rsidRPr="009D54A4">
              <w:rPr>
                <w:rFonts w:asciiTheme="minorHAnsi" w:hAnsiTheme="minorHAnsi" w:cstheme="minorHAnsi"/>
                <w:sz w:val="18"/>
                <w:szCs w:val="18"/>
              </w:rPr>
              <w:t>.</w:t>
            </w:r>
          </w:p>
        </w:tc>
        <w:tc>
          <w:tcPr>
            <w:tcW w:w="1696" w:type="dxa"/>
            <w:tcBorders>
              <w:top w:val="single" w:sz="4" w:space="0" w:color="auto"/>
            </w:tcBorders>
            <w:vAlign w:val="center"/>
          </w:tcPr>
          <w:p w14:paraId="1191A4DA" w14:textId="6008EF62" w:rsidR="00BD3154" w:rsidRPr="009D54A4" w:rsidRDefault="00BD3154" w:rsidP="001625F7">
            <w:pPr>
              <w:jc w:val="both"/>
              <w:rPr>
                <w:rFonts w:eastAsia="Times New Roman"/>
                <w:sz w:val="18"/>
                <w:szCs w:val="18"/>
                <w:lang w:eastAsia="fr-FR"/>
              </w:rPr>
            </w:pPr>
            <w:r w:rsidRPr="009D54A4">
              <w:rPr>
                <w:sz w:val="18"/>
                <w:szCs w:val="18"/>
              </w:rPr>
              <w:t>Direction Nationale de l'Assainissement du Contrôle des Pollutions et des Nuisances (DNACPN)</w:t>
            </w:r>
          </w:p>
        </w:tc>
        <w:tc>
          <w:tcPr>
            <w:tcW w:w="4175" w:type="dxa"/>
            <w:tcBorders>
              <w:top w:val="single" w:sz="4" w:space="0" w:color="auto"/>
            </w:tcBorders>
            <w:vAlign w:val="center"/>
          </w:tcPr>
          <w:p w14:paraId="3E4CD769" w14:textId="77777777" w:rsidR="00BD3154" w:rsidRPr="009D54A4" w:rsidRDefault="00BD3154" w:rsidP="001625F7">
            <w:pPr>
              <w:jc w:val="both"/>
              <w:rPr>
                <w:b/>
                <w:sz w:val="18"/>
                <w:szCs w:val="18"/>
                <w:u w:val="single"/>
              </w:rPr>
            </w:pPr>
            <w:r w:rsidRPr="009D54A4">
              <w:rPr>
                <w:b/>
                <w:sz w:val="18"/>
                <w:szCs w:val="18"/>
                <w:u w:val="single"/>
              </w:rPr>
              <w:t>Objectif </w:t>
            </w:r>
          </w:p>
          <w:p w14:paraId="24F0A945" w14:textId="52D130FD" w:rsidR="00BD3154" w:rsidRPr="009D54A4" w:rsidRDefault="00BD3154" w:rsidP="001625F7">
            <w:pPr>
              <w:jc w:val="both"/>
              <w:rPr>
                <w:rFonts w:eastAsia="Times New Roman"/>
                <w:color w:val="000000"/>
                <w:sz w:val="18"/>
                <w:szCs w:val="18"/>
                <w:lang w:eastAsia="fr-FR"/>
              </w:rPr>
            </w:pPr>
            <w:r w:rsidRPr="009D54A4">
              <w:rPr>
                <w:rFonts w:eastAsia="Times New Roman"/>
                <w:color w:val="000000"/>
                <w:sz w:val="18"/>
                <w:szCs w:val="18"/>
                <w:lang w:eastAsia="fr-FR"/>
              </w:rPr>
              <w:t>Renforcer les compétences juridiques et opérationnelles des acteurs du secteur afin d’assurer une application homogène et rigoureuse des textes règlementaires en vigueur</w:t>
            </w:r>
            <w:r w:rsidR="009D67EB" w:rsidRPr="009D54A4">
              <w:rPr>
                <w:rFonts w:eastAsia="Times New Roman"/>
                <w:color w:val="000000"/>
                <w:sz w:val="18"/>
                <w:szCs w:val="18"/>
                <w:lang w:eastAsia="fr-FR"/>
              </w:rPr>
              <w:t>.</w:t>
            </w:r>
            <w:r w:rsidRPr="009D54A4">
              <w:rPr>
                <w:rFonts w:eastAsia="Times New Roman"/>
                <w:color w:val="000000"/>
                <w:sz w:val="18"/>
                <w:szCs w:val="18"/>
                <w:lang w:eastAsia="fr-FR"/>
              </w:rPr>
              <w:t xml:space="preserve"> </w:t>
            </w:r>
          </w:p>
          <w:p w14:paraId="3F9A7E01" w14:textId="77777777" w:rsidR="00BD3154" w:rsidRPr="009D54A4" w:rsidRDefault="00BD3154" w:rsidP="001625F7">
            <w:pPr>
              <w:jc w:val="both"/>
              <w:rPr>
                <w:b/>
                <w:sz w:val="18"/>
                <w:szCs w:val="18"/>
                <w:u w:val="single"/>
              </w:rPr>
            </w:pPr>
            <w:r w:rsidRPr="009D54A4">
              <w:rPr>
                <w:b/>
                <w:sz w:val="18"/>
                <w:szCs w:val="18"/>
                <w:u w:val="single"/>
              </w:rPr>
              <w:t>Description</w:t>
            </w:r>
          </w:p>
          <w:p w14:paraId="5214B88E" w14:textId="23C7DE10" w:rsidR="00BD3154" w:rsidRPr="009D54A4" w:rsidRDefault="00BD3154" w:rsidP="001625F7">
            <w:pPr>
              <w:jc w:val="both"/>
              <w:rPr>
                <w:b/>
                <w:sz w:val="18"/>
                <w:szCs w:val="18"/>
                <w:u w:val="single"/>
              </w:rPr>
            </w:pPr>
            <w:r w:rsidRPr="009D54A4">
              <w:rPr>
                <w:sz w:val="18"/>
                <w:szCs w:val="18"/>
              </w:rPr>
              <w:t>Le projet consiste en l’organisation d’une série d’ateliers de formation et de sensibilisation</w:t>
            </w:r>
            <w:r w:rsidR="003E34E2" w:rsidRPr="009D54A4">
              <w:rPr>
                <w:sz w:val="18"/>
                <w:szCs w:val="18"/>
              </w:rPr>
              <w:t>.</w:t>
            </w:r>
            <w:r w:rsidRPr="009D54A4">
              <w:rPr>
                <w:sz w:val="18"/>
                <w:szCs w:val="18"/>
              </w:rPr>
              <w:t xml:space="preserve">  Il s’agit de traduire en outils de travail concrets pour les acteurs de terrain</w:t>
            </w:r>
            <w:r w:rsidR="00A247B1" w:rsidRPr="009D54A4">
              <w:rPr>
                <w:sz w:val="18"/>
                <w:szCs w:val="18"/>
              </w:rPr>
              <w:t>.</w:t>
            </w:r>
            <w:r w:rsidRPr="009D54A4">
              <w:rPr>
                <w:sz w:val="18"/>
                <w:szCs w:val="18"/>
              </w:rPr>
              <w:t xml:space="preserve"> L’approche sera participative</w:t>
            </w:r>
            <w:r w:rsidR="009D67EB" w:rsidRPr="009D54A4">
              <w:rPr>
                <w:sz w:val="18"/>
                <w:szCs w:val="18"/>
              </w:rPr>
              <w:t>.</w:t>
            </w:r>
            <w:r w:rsidRPr="009D54A4">
              <w:rPr>
                <w:sz w:val="18"/>
                <w:szCs w:val="18"/>
              </w:rPr>
              <w:t xml:space="preserve"> </w:t>
            </w:r>
          </w:p>
        </w:tc>
        <w:tc>
          <w:tcPr>
            <w:tcW w:w="2034" w:type="dxa"/>
            <w:tcBorders>
              <w:top w:val="single" w:sz="4" w:space="0" w:color="auto"/>
            </w:tcBorders>
            <w:vAlign w:val="center"/>
          </w:tcPr>
          <w:p w14:paraId="0C77686E" w14:textId="5F77725E" w:rsidR="00BD3154" w:rsidRPr="009D54A4" w:rsidRDefault="00BD3154" w:rsidP="001625F7">
            <w:pPr>
              <w:jc w:val="center"/>
              <w:rPr>
                <w:sz w:val="18"/>
                <w:szCs w:val="18"/>
              </w:rPr>
            </w:pPr>
            <w:r w:rsidRPr="009D54A4">
              <w:rPr>
                <w:rFonts w:hAnsiTheme="minorHAnsi" w:cstheme="minorHAnsi"/>
                <w:sz w:val="18"/>
                <w:szCs w:val="18"/>
              </w:rPr>
              <w:t>ND</w:t>
            </w:r>
          </w:p>
        </w:tc>
        <w:tc>
          <w:tcPr>
            <w:tcW w:w="1662" w:type="dxa"/>
            <w:tcBorders>
              <w:top w:val="single" w:sz="4" w:space="0" w:color="auto"/>
            </w:tcBorders>
            <w:vAlign w:val="center"/>
          </w:tcPr>
          <w:p w14:paraId="5BEDFABB" w14:textId="7AB5C359" w:rsidR="00BD3154" w:rsidRPr="009D54A4" w:rsidRDefault="00BD3154" w:rsidP="001625F7">
            <w:pPr>
              <w:jc w:val="center"/>
              <w:rPr>
                <w:sz w:val="18"/>
                <w:szCs w:val="18"/>
              </w:rPr>
            </w:pPr>
            <w:r w:rsidRPr="009D54A4">
              <w:rPr>
                <w:sz w:val="18"/>
                <w:szCs w:val="18"/>
              </w:rPr>
              <w:t>Programmée</w:t>
            </w:r>
          </w:p>
        </w:tc>
      </w:tr>
    </w:tbl>
    <w:p w14:paraId="7403B6FF" w14:textId="77777777" w:rsidR="00A814FF" w:rsidRDefault="00A814FF" w:rsidP="00A814FF">
      <w:pPr>
        <w:sectPr w:rsidR="00A814FF" w:rsidSect="0010507D">
          <w:pgSz w:w="15840" w:h="12240" w:orient="landscape" w:code="1"/>
          <w:pgMar w:top="1411" w:right="1411" w:bottom="1411" w:left="1411" w:header="706" w:footer="706" w:gutter="0"/>
          <w:cols w:space="708"/>
          <w:docGrid w:linePitch="360"/>
        </w:sectPr>
      </w:pPr>
    </w:p>
    <w:p w14:paraId="4D9059B5" w14:textId="77777777" w:rsidR="00A814FF" w:rsidRDefault="00A814FF" w:rsidP="002C3767">
      <w:pPr>
        <w:pStyle w:val="Titre3"/>
        <w:numPr>
          <w:ilvl w:val="2"/>
          <w:numId w:val="21"/>
        </w:numPr>
      </w:pPr>
      <w:bookmarkStart w:id="103" w:name="_Toc234853895"/>
      <w:r w:rsidRPr="00332D2B">
        <w:lastRenderedPageBreak/>
        <w:t>Besoins de financement et conditionnalité</w:t>
      </w:r>
      <w:bookmarkEnd w:id="103"/>
      <w:r w:rsidRPr="00332D2B">
        <w:t xml:space="preserve"> </w:t>
      </w:r>
    </w:p>
    <w:p w14:paraId="35CE655F" w14:textId="18E7DFC0" w:rsidR="00A814FF" w:rsidRDefault="007F14D7" w:rsidP="00A814FF">
      <w:pPr>
        <w:spacing w:after="120" w:line="320" w:lineRule="atLeast"/>
        <w:jc w:val="both"/>
      </w:pPr>
      <w:r w:rsidRPr="007F14D7">
        <w:t>Les projets identifiés dans le secteur des déchets représentent, pour les projets dont les coûts sont actuellement renseignés, un montant total estimé à environ 4,05 milliards de FCFA</w:t>
      </w:r>
      <w:r w:rsidR="00925DAB">
        <w:t xml:space="preserve"> </w:t>
      </w:r>
      <w:r w:rsidRPr="007F14D7">
        <w:t xml:space="preserve"> Ce montant comprend notamment 3,52 milliards de FCFA pour l’aménagement des collecteurs de Banconi, Molobalini, Foloni, Dougouradji et Bamafalani dans le district de Bamako, 126,7 millions de FCFA pour l’aménagement du collecteur Kotroni à Sikasso, ainsi que 400 millions de FCFA pour la formation des acteurs sur le contenu des textes du secteur</w:t>
      </w:r>
      <w:r w:rsidR="00925DAB">
        <w:t xml:space="preserve"> </w:t>
      </w:r>
      <w:r w:rsidRPr="007F14D7">
        <w:t xml:space="preserve"> Toutefois, pour plusieurs projets, les coûts détaillés, les sources de financement et les modalités de conditionnalité restent à préciser</w:t>
      </w:r>
      <w:r w:rsidR="00925DAB">
        <w:t xml:space="preserve"> </w:t>
      </w:r>
      <w:r w:rsidRPr="007F14D7">
        <w:t xml:space="preserve"> À ce stade, la majorité des projets ne disposent pas de financement assuré et leur mise en œuvre demeure conditionnelle à la mobilisation effective des ressources nécessaires</w:t>
      </w:r>
      <w:r w:rsidR="00925DAB">
        <w:t xml:space="preserve"> </w:t>
      </w:r>
    </w:p>
    <w:p w14:paraId="4A13C793" w14:textId="78BEB9C8" w:rsidR="00A814FF" w:rsidRPr="00A04700" w:rsidRDefault="00A814FF" w:rsidP="00A814FF">
      <w:pPr>
        <w:pStyle w:val="Lgende"/>
        <w:keepNext/>
        <w:spacing w:after="0"/>
        <w:rPr>
          <w:sz w:val="22"/>
          <w:szCs w:val="22"/>
        </w:rPr>
      </w:pPr>
      <w:bookmarkStart w:id="104" w:name="_Toc234853963"/>
      <w:r w:rsidRPr="00BB7517">
        <w:rPr>
          <w:sz w:val="22"/>
          <w:szCs w:val="22"/>
        </w:rPr>
        <w:t xml:space="preserve">Tableau </w:t>
      </w:r>
      <w:r w:rsidRPr="00BB7517">
        <w:rPr>
          <w:sz w:val="22"/>
          <w:szCs w:val="22"/>
        </w:rPr>
        <w:fldChar w:fldCharType="begin"/>
      </w:r>
      <w:r w:rsidRPr="00BB7517">
        <w:rPr>
          <w:sz w:val="22"/>
          <w:szCs w:val="22"/>
        </w:rPr>
        <w:instrText xml:space="preserve"> SEQ Tableau \* ARABIC </w:instrText>
      </w:r>
      <w:r w:rsidRPr="00BB7517">
        <w:rPr>
          <w:sz w:val="22"/>
          <w:szCs w:val="22"/>
        </w:rPr>
        <w:fldChar w:fldCharType="separate"/>
      </w:r>
      <w:r w:rsidR="0018772E">
        <w:rPr>
          <w:noProof/>
          <w:sz w:val="22"/>
          <w:szCs w:val="22"/>
        </w:rPr>
        <w:t>39</w:t>
      </w:r>
      <w:r w:rsidRPr="00BB7517">
        <w:rPr>
          <w:sz w:val="22"/>
          <w:szCs w:val="22"/>
        </w:rPr>
        <w:fldChar w:fldCharType="end"/>
      </w:r>
      <w:r w:rsidRPr="00BB7517">
        <w:rPr>
          <w:sz w:val="22"/>
          <w:szCs w:val="22"/>
        </w:rPr>
        <w:t> :</w:t>
      </w:r>
      <w:r w:rsidRPr="00783E23">
        <w:t xml:space="preserve"> </w:t>
      </w:r>
      <w:r>
        <w:rPr>
          <w:sz w:val="22"/>
          <w:szCs w:val="22"/>
        </w:rPr>
        <w:t>Financement des projets d’adaptation</w:t>
      </w:r>
      <w:r w:rsidRPr="00783E23">
        <w:rPr>
          <w:sz w:val="22"/>
          <w:szCs w:val="22"/>
        </w:rPr>
        <w:t xml:space="preserve"> </w:t>
      </w:r>
      <w:r>
        <w:rPr>
          <w:sz w:val="22"/>
          <w:szCs w:val="22"/>
        </w:rPr>
        <w:t xml:space="preserve">du secteur </w:t>
      </w:r>
      <w:r w:rsidR="004832C9">
        <w:rPr>
          <w:sz w:val="22"/>
          <w:szCs w:val="22"/>
        </w:rPr>
        <w:t>des déchets</w:t>
      </w:r>
      <w:r w:rsidRPr="00783E23">
        <w:rPr>
          <w:sz w:val="22"/>
          <w:szCs w:val="22"/>
        </w:rPr>
        <w:t xml:space="preserve"> dans le cadre de la CDN 3</w:t>
      </w:r>
      <w:r w:rsidR="00925DAB">
        <w:rPr>
          <w:sz w:val="22"/>
          <w:szCs w:val="22"/>
        </w:rPr>
        <w:t xml:space="preserve"> </w:t>
      </w:r>
      <w:r w:rsidRPr="00783E23">
        <w:rPr>
          <w:sz w:val="22"/>
          <w:szCs w:val="22"/>
        </w:rPr>
        <w:t>0</w:t>
      </w:r>
      <w:bookmarkEnd w:id="104"/>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3953"/>
        <w:gridCol w:w="1701"/>
        <w:gridCol w:w="1400"/>
        <w:gridCol w:w="1877"/>
      </w:tblGrid>
      <w:tr w:rsidR="00BE17FF" w:rsidRPr="009D54A4" w14:paraId="34BAE080" w14:textId="77777777" w:rsidTr="00E65B54">
        <w:trPr>
          <w:trHeight w:val="680"/>
        </w:trPr>
        <w:tc>
          <w:tcPr>
            <w:tcW w:w="4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73DC38FA" w14:textId="77777777" w:rsidR="00BE17FF" w:rsidRPr="009D54A4" w:rsidRDefault="00BE17FF" w:rsidP="00BE17FF">
            <w:pPr>
              <w:jc w:val="center"/>
              <w:rPr>
                <w:b/>
                <w:color w:val="FFFFFF" w:themeColor="background1"/>
                <w:sz w:val="20"/>
                <w:szCs w:val="20"/>
              </w:rPr>
            </w:pPr>
            <w:r w:rsidRPr="009D54A4">
              <w:rPr>
                <w:b/>
                <w:color w:val="FFFFFF" w:themeColor="background1"/>
                <w:sz w:val="20"/>
                <w:szCs w:val="20"/>
              </w:rPr>
              <w:t>N°</w:t>
            </w:r>
          </w:p>
        </w:tc>
        <w:tc>
          <w:tcPr>
            <w:tcW w:w="39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282C235" w14:textId="77777777" w:rsidR="00BE17FF" w:rsidRPr="009D54A4" w:rsidRDefault="00BE17FF" w:rsidP="00BE17FF">
            <w:pPr>
              <w:jc w:val="center"/>
              <w:rPr>
                <w:b/>
                <w:color w:val="FFFFFF" w:themeColor="background1"/>
                <w:sz w:val="20"/>
                <w:szCs w:val="20"/>
              </w:rPr>
            </w:pPr>
            <w:r w:rsidRPr="009D54A4">
              <w:rPr>
                <w:b/>
                <w:color w:val="FFFFFF" w:themeColor="background1"/>
                <w:sz w:val="20"/>
                <w:szCs w:val="20"/>
              </w:rPr>
              <w:t>Projets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4D6160F7" w14:textId="6903E2D0" w:rsidR="00BE17FF" w:rsidRPr="009D54A4" w:rsidRDefault="00BE17FF" w:rsidP="00BE17FF">
            <w:pPr>
              <w:jc w:val="center"/>
              <w:rPr>
                <w:b/>
                <w:color w:val="FFFFFF" w:themeColor="background1"/>
                <w:sz w:val="20"/>
                <w:szCs w:val="20"/>
              </w:rPr>
            </w:pPr>
            <w:r w:rsidRPr="009D54A4">
              <w:rPr>
                <w:b/>
                <w:color w:val="FFFFFF" w:themeColor="background1"/>
                <w:sz w:val="20"/>
                <w:szCs w:val="20"/>
              </w:rPr>
              <w:t>Coût</w:t>
            </w:r>
          </w:p>
        </w:tc>
        <w:tc>
          <w:tcPr>
            <w:tcW w:w="14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2BD1CB48" w14:textId="7647FB59" w:rsidR="00BE17FF" w:rsidRPr="009D54A4" w:rsidRDefault="00BE17FF" w:rsidP="00BE17FF">
            <w:pPr>
              <w:jc w:val="center"/>
              <w:rPr>
                <w:b/>
                <w:color w:val="FFFFFF" w:themeColor="background1"/>
                <w:sz w:val="20"/>
                <w:szCs w:val="20"/>
              </w:rPr>
            </w:pPr>
            <w:r w:rsidRPr="009D54A4">
              <w:rPr>
                <w:b/>
                <w:color w:val="FFFFFF" w:themeColor="background1"/>
                <w:sz w:val="20"/>
                <w:szCs w:val="20"/>
              </w:rPr>
              <w:t>Source de financement</w:t>
            </w:r>
          </w:p>
        </w:tc>
        <w:tc>
          <w:tcPr>
            <w:tcW w:w="18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2A70640C" w14:textId="77777777" w:rsidR="00BE17FF" w:rsidRPr="009D54A4" w:rsidRDefault="00BE17FF" w:rsidP="00BE17FF">
            <w:pPr>
              <w:jc w:val="center"/>
              <w:rPr>
                <w:b/>
                <w:color w:val="FFFFFF" w:themeColor="background1"/>
                <w:sz w:val="20"/>
                <w:szCs w:val="20"/>
              </w:rPr>
            </w:pPr>
            <w:r w:rsidRPr="009D54A4">
              <w:rPr>
                <w:b/>
                <w:color w:val="FFFFFF" w:themeColor="background1"/>
                <w:sz w:val="20"/>
                <w:szCs w:val="20"/>
              </w:rPr>
              <w:t>Conditionnalité</w:t>
            </w:r>
          </w:p>
        </w:tc>
      </w:tr>
      <w:tr w:rsidR="00BD3154" w:rsidRPr="009D54A4" w14:paraId="29DFDD42" w14:textId="77777777" w:rsidTr="00E65B54">
        <w:tc>
          <w:tcPr>
            <w:tcW w:w="437" w:type="dxa"/>
            <w:tcBorders>
              <w:top w:val="single" w:sz="4" w:space="0" w:color="FFFFFF" w:themeColor="background1"/>
            </w:tcBorders>
            <w:vAlign w:val="center"/>
          </w:tcPr>
          <w:p w14:paraId="00435490" w14:textId="7A3A3AB8" w:rsidR="00BD3154" w:rsidRPr="009D54A4" w:rsidRDefault="00BD3154" w:rsidP="00E65B54">
            <w:pPr>
              <w:jc w:val="center"/>
              <w:rPr>
                <w:b/>
                <w:sz w:val="20"/>
                <w:szCs w:val="20"/>
              </w:rPr>
            </w:pPr>
            <w:r w:rsidRPr="009D54A4">
              <w:rPr>
                <w:b/>
                <w:sz w:val="20"/>
                <w:szCs w:val="20"/>
              </w:rPr>
              <w:t>1</w:t>
            </w:r>
          </w:p>
        </w:tc>
        <w:tc>
          <w:tcPr>
            <w:tcW w:w="3953" w:type="dxa"/>
            <w:tcBorders>
              <w:top w:val="single" w:sz="4" w:space="0" w:color="FFFFFF" w:themeColor="background1"/>
            </w:tcBorders>
          </w:tcPr>
          <w:p w14:paraId="320FC56C" w14:textId="6F7924FC" w:rsidR="00BD3154" w:rsidRPr="009D54A4" w:rsidRDefault="00BD3154" w:rsidP="00BD3154">
            <w:pPr>
              <w:jc w:val="both"/>
              <w:rPr>
                <w:sz w:val="20"/>
                <w:szCs w:val="20"/>
              </w:rPr>
            </w:pPr>
            <w:r w:rsidRPr="009D54A4">
              <w:rPr>
                <w:sz w:val="20"/>
                <w:szCs w:val="20"/>
              </w:rPr>
              <w:t>L'Épuration des eaux usées et leur réutilisation pour des besoins notamment pour l'irrigation</w:t>
            </w:r>
            <w:r w:rsidR="009D67EB" w:rsidRPr="009D54A4">
              <w:rPr>
                <w:sz w:val="20"/>
                <w:szCs w:val="20"/>
              </w:rPr>
              <w:t>.</w:t>
            </w:r>
            <w:r w:rsidRPr="009D54A4">
              <w:rPr>
                <w:sz w:val="20"/>
                <w:szCs w:val="20"/>
              </w:rPr>
              <w:t xml:space="preserve"> </w:t>
            </w:r>
          </w:p>
        </w:tc>
        <w:tc>
          <w:tcPr>
            <w:tcW w:w="1701" w:type="dxa"/>
            <w:tcBorders>
              <w:top w:val="single" w:sz="4" w:space="0" w:color="FFFFFF" w:themeColor="background1"/>
            </w:tcBorders>
            <w:vAlign w:val="center"/>
          </w:tcPr>
          <w:p w14:paraId="2215810D" w14:textId="05DEDEED" w:rsidR="00BD3154" w:rsidRPr="009D54A4" w:rsidRDefault="00BD3154" w:rsidP="00E65B54">
            <w:pPr>
              <w:jc w:val="center"/>
              <w:rPr>
                <w:sz w:val="20"/>
                <w:szCs w:val="20"/>
              </w:rPr>
            </w:pPr>
            <w:r w:rsidRPr="009D54A4">
              <w:rPr>
                <w:rFonts w:hAnsiTheme="minorHAnsi" w:cstheme="minorHAnsi"/>
                <w:sz w:val="20"/>
                <w:szCs w:val="20"/>
              </w:rPr>
              <w:t>ND</w:t>
            </w:r>
          </w:p>
        </w:tc>
        <w:tc>
          <w:tcPr>
            <w:tcW w:w="1400" w:type="dxa"/>
            <w:tcBorders>
              <w:top w:val="single" w:sz="4" w:space="0" w:color="FFFFFF" w:themeColor="background1"/>
            </w:tcBorders>
            <w:vAlign w:val="center"/>
          </w:tcPr>
          <w:p w14:paraId="2E049628" w14:textId="09ADD0E1" w:rsidR="00BD3154" w:rsidRPr="009D54A4" w:rsidRDefault="00BD3154" w:rsidP="00E65B54">
            <w:pPr>
              <w:jc w:val="center"/>
              <w:rPr>
                <w:sz w:val="20"/>
                <w:szCs w:val="20"/>
                <w:highlight w:val="yellow"/>
              </w:rPr>
            </w:pPr>
            <w:r w:rsidRPr="009D54A4">
              <w:rPr>
                <w:rFonts w:hAnsiTheme="minorHAnsi" w:cstheme="minorHAnsi"/>
                <w:sz w:val="20"/>
                <w:szCs w:val="20"/>
              </w:rPr>
              <w:t>ND</w:t>
            </w:r>
          </w:p>
        </w:tc>
        <w:tc>
          <w:tcPr>
            <w:tcW w:w="1877" w:type="dxa"/>
            <w:tcBorders>
              <w:top w:val="single" w:sz="4" w:space="0" w:color="FFFFFF" w:themeColor="background1"/>
            </w:tcBorders>
            <w:vAlign w:val="center"/>
          </w:tcPr>
          <w:p w14:paraId="01014C7C" w14:textId="47BDC294" w:rsidR="00BD3154" w:rsidRPr="009D54A4" w:rsidRDefault="00BD3154" w:rsidP="00E65B54">
            <w:pPr>
              <w:jc w:val="center"/>
              <w:rPr>
                <w:sz w:val="20"/>
                <w:szCs w:val="20"/>
                <w:highlight w:val="yellow"/>
              </w:rPr>
            </w:pPr>
            <w:r w:rsidRPr="009D54A4">
              <w:rPr>
                <w:sz w:val="20"/>
                <w:szCs w:val="20"/>
              </w:rPr>
              <w:t>Inconditionnel</w:t>
            </w:r>
          </w:p>
        </w:tc>
      </w:tr>
      <w:tr w:rsidR="00204BCC" w:rsidRPr="009D54A4" w14:paraId="3BB2C270" w14:textId="77777777" w:rsidTr="00E65B54">
        <w:tc>
          <w:tcPr>
            <w:tcW w:w="437" w:type="dxa"/>
            <w:vAlign w:val="center"/>
          </w:tcPr>
          <w:p w14:paraId="0C37E6E7" w14:textId="15406F20" w:rsidR="00204BCC" w:rsidRPr="009D54A4" w:rsidRDefault="00204BCC" w:rsidP="00E65B54">
            <w:pPr>
              <w:jc w:val="center"/>
              <w:rPr>
                <w:b/>
                <w:sz w:val="20"/>
                <w:szCs w:val="20"/>
              </w:rPr>
            </w:pPr>
            <w:r w:rsidRPr="009D54A4">
              <w:rPr>
                <w:b/>
                <w:sz w:val="20"/>
                <w:szCs w:val="20"/>
              </w:rPr>
              <w:t>2</w:t>
            </w:r>
          </w:p>
        </w:tc>
        <w:tc>
          <w:tcPr>
            <w:tcW w:w="3953" w:type="dxa"/>
          </w:tcPr>
          <w:p w14:paraId="57A1D431" w14:textId="01387F52" w:rsidR="00204BCC" w:rsidRPr="009D54A4" w:rsidRDefault="00204BCC" w:rsidP="00204BCC">
            <w:pPr>
              <w:jc w:val="both"/>
              <w:rPr>
                <w:sz w:val="20"/>
                <w:szCs w:val="20"/>
              </w:rPr>
            </w:pPr>
            <w:r w:rsidRPr="009D54A4">
              <w:rPr>
                <w:sz w:val="20"/>
                <w:szCs w:val="20"/>
              </w:rPr>
              <w:t>L'aménagement des collecteurs Banconi, Molobalini, Foloni, Dougouradji et Bamafalani dans le district de Bamako pour la protection contre les risques d'inondations</w:t>
            </w:r>
            <w:r w:rsidR="009D67EB" w:rsidRPr="009D54A4">
              <w:rPr>
                <w:sz w:val="20"/>
                <w:szCs w:val="20"/>
              </w:rPr>
              <w:t>.</w:t>
            </w:r>
            <w:r w:rsidR="00925DAB" w:rsidRPr="009D54A4">
              <w:rPr>
                <w:sz w:val="20"/>
                <w:szCs w:val="20"/>
              </w:rPr>
              <w:t xml:space="preserve"> </w:t>
            </w:r>
          </w:p>
        </w:tc>
        <w:tc>
          <w:tcPr>
            <w:tcW w:w="1701" w:type="dxa"/>
            <w:vAlign w:val="center"/>
          </w:tcPr>
          <w:p w14:paraId="76563AB2" w14:textId="381216E4" w:rsidR="00204BCC" w:rsidRPr="009D54A4" w:rsidRDefault="00361AF7" w:rsidP="00E65B54">
            <w:pPr>
              <w:jc w:val="center"/>
              <w:rPr>
                <w:b/>
                <w:sz w:val="20"/>
                <w:szCs w:val="20"/>
              </w:rPr>
            </w:pPr>
            <w:r w:rsidRPr="009D54A4">
              <w:rPr>
                <w:b/>
                <w:sz w:val="20"/>
                <w:szCs w:val="20"/>
              </w:rPr>
              <w:t>3,52 milliards de FCFA</w:t>
            </w:r>
          </w:p>
        </w:tc>
        <w:tc>
          <w:tcPr>
            <w:tcW w:w="1400" w:type="dxa"/>
            <w:vAlign w:val="center"/>
          </w:tcPr>
          <w:p w14:paraId="6516AD8E" w14:textId="03750CCB" w:rsidR="00204BCC" w:rsidRPr="009D54A4" w:rsidRDefault="00BD3154" w:rsidP="00E65B54">
            <w:pPr>
              <w:jc w:val="center"/>
              <w:rPr>
                <w:sz w:val="20"/>
                <w:szCs w:val="20"/>
                <w:highlight w:val="yellow"/>
              </w:rPr>
            </w:pPr>
            <w:r w:rsidRPr="009D54A4">
              <w:rPr>
                <w:rFonts w:hAnsiTheme="minorHAnsi" w:cstheme="minorHAnsi"/>
                <w:sz w:val="20"/>
                <w:szCs w:val="20"/>
              </w:rPr>
              <w:t>ND</w:t>
            </w:r>
          </w:p>
        </w:tc>
        <w:tc>
          <w:tcPr>
            <w:tcW w:w="1877" w:type="dxa"/>
            <w:vAlign w:val="center"/>
          </w:tcPr>
          <w:p w14:paraId="320D1A32" w14:textId="0D404BFA" w:rsidR="00204BCC" w:rsidRPr="009D54A4" w:rsidRDefault="00C776F6" w:rsidP="00E65B54">
            <w:pPr>
              <w:jc w:val="center"/>
              <w:rPr>
                <w:sz w:val="20"/>
                <w:szCs w:val="20"/>
                <w:highlight w:val="yellow"/>
              </w:rPr>
            </w:pPr>
            <w:r w:rsidRPr="009D54A4">
              <w:rPr>
                <w:sz w:val="20"/>
                <w:szCs w:val="20"/>
              </w:rPr>
              <w:t>Inconditionnel</w:t>
            </w:r>
          </w:p>
        </w:tc>
      </w:tr>
      <w:tr w:rsidR="00204BCC" w:rsidRPr="009D54A4" w14:paraId="1B0BA015" w14:textId="77777777" w:rsidTr="00E65B54">
        <w:tc>
          <w:tcPr>
            <w:tcW w:w="437" w:type="dxa"/>
            <w:vAlign w:val="center"/>
          </w:tcPr>
          <w:p w14:paraId="1FE4B4F9" w14:textId="2CF7BD60" w:rsidR="00204BCC" w:rsidRPr="009D54A4" w:rsidRDefault="00204BCC" w:rsidP="00E65B54">
            <w:pPr>
              <w:jc w:val="center"/>
              <w:rPr>
                <w:b/>
                <w:sz w:val="20"/>
                <w:szCs w:val="20"/>
              </w:rPr>
            </w:pPr>
            <w:r w:rsidRPr="009D54A4">
              <w:rPr>
                <w:b/>
                <w:sz w:val="20"/>
                <w:szCs w:val="20"/>
              </w:rPr>
              <w:t>3</w:t>
            </w:r>
          </w:p>
        </w:tc>
        <w:tc>
          <w:tcPr>
            <w:tcW w:w="3953" w:type="dxa"/>
          </w:tcPr>
          <w:p w14:paraId="23FF7C17" w14:textId="14079053" w:rsidR="00204BCC" w:rsidRPr="009D54A4" w:rsidRDefault="00204BCC" w:rsidP="00204BCC">
            <w:pPr>
              <w:jc w:val="both"/>
              <w:rPr>
                <w:sz w:val="20"/>
                <w:szCs w:val="20"/>
              </w:rPr>
            </w:pPr>
            <w:r w:rsidRPr="009D54A4">
              <w:rPr>
                <w:sz w:val="20"/>
                <w:szCs w:val="20"/>
              </w:rPr>
              <w:t>L'aménagement du collecteur Kotroni à Sikasso pour la protection contre les risques d'inondations</w:t>
            </w:r>
            <w:r w:rsidR="009D67EB" w:rsidRPr="009D54A4">
              <w:rPr>
                <w:sz w:val="20"/>
                <w:szCs w:val="20"/>
              </w:rPr>
              <w:t>.</w:t>
            </w:r>
            <w:r w:rsidR="00925DAB" w:rsidRPr="009D54A4">
              <w:rPr>
                <w:sz w:val="20"/>
                <w:szCs w:val="20"/>
              </w:rPr>
              <w:t xml:space="preserve"> </w:t>
            </w:r>
          </w:p>
        </w:tc>
        <w:tc>
          <w:tcPr>
            <w:tcW w:w="1701" w:type="dxa"/>
            <w:vAlign w:val="center"/>
          </w:tcPr>
          <w:p w14:paraId="1B484AB6" w14:textId="397171DF" w:rsidR="00204BCC" w:rsidRPr="009D54A4" w:rsidRDefault="00132441" w:rsidP="00E65B54">
            <w:pPr>
              <w:jc w:val="center"/>
              <w:rPr>
                <w:rFonts w:eastAsia="Times New Roman"/>
                <w:b/>
                <w:color w:val="000000"/>
                <w:sz w:val="20"/>
                <w:szCs w:val="20"/>
                <w:lang w:eastAsia="fr-FR"/>
              </w:rPr>
            </w:pPr>
            <w:r w:rsidRPr="009D54A4">
              <w:rPr>
                <w:rFonts w:eastAsia="Times New Roman"/>
                <w:b/>
                <w:color w:val="000000"/>
                <w:sz w:val="20"/>
                <w:szCs w:val="20"/>
                <w:lang w:eastAsia="fr-FR"/>
              </w:rPr>
              <w:t>126,7 millions de FCFA</w:t>
            </w:r>
          </w:p>
        </w:tc>
        <w:tc>
          <w:tcPr>
            <w:tcW w:w="1400" w:type="dxa"/>
            <w:vAlign w:val="center"/>
          </w:tcPr>
          <w:p w14:paraId="3F66DF1D" w14:textId="34501644" w:rsidR="00204BCC" w:rsidRPr="009D54A4" w:rsidRDefault="00167E5B" w:rsidP="00E65B54">
            <w:pPr>
              <w:jc w:val="center"/>
              <w:rPr>
                <w:sz w:val="20"/>
                <w:szCs w:val="20"/>
              </w:rPr>
            </w:pPr>
            <w:r w:rsidRPr="009D54A4">
              <w:rPr>
                <w:sz w:val="20"/>
                <w:szCs w:val="20"/>
              </w:rPr>
              <w:t>International</w:t>
            </w:r>
          </w:p>
        </w:tc>
        <w:tc>
          <w:tcPr>
            <w:tcW w:w="1877" w:type="dxa"/>
            <w:vAlign w:val="center"/>
          </w:tcPr>
          <w:p w14:paraId="688A41CF" w14:textId="04A40176" w:rsidR="00204BCC" w:rsidRPr="009D54A4" w:rsidRDefault="00167E5B" w:rsidP="00E65B54">
            <w:pPr>
              <w:jc w:val="center"/>
              <w:rPr>
                <w:sz w:val="20"/>
                <w:szCs w:val="20"/>
              </w:rPr>
            </w:pPr>
            <w:r w:rsidRPr="009D54A4">
              <w:rPr>
                <w:sz w:val="20"/>
                <w:szCs w:val="20"/>
              </w:rPr>
              <w:t>Inconditionnel</w:t>
            </w:r>
          </w:p>
        </w:tc>
      </w:tr>
      <w:tr w:rsidR="00BD3154" w:rsidRPr="009D54A4" w14:paraId="0CE99567" w14:textId="77777777" w:rsidTr="00E65B54">
        <w:tc>
          <w:tcPr>
            <w:tcW w:w="437" w:type="dxa"/>
            <w:vAlign w:val="center"/>
          </w:tcPr>
          <w:p w14:paraId="3E2FB968" w14:textId="3712AE61" w:rsidR="00BD3154" w:rsidRPr="009D54A4" w:rsidRDefault="00BD3154" w:rsidP="00E65B54">
            <w:pPr>
              <w:jc w:val="center"/>
              <w:rPr>
                <w:b/>
                <w:sz w:val="20"/>
                <w:szCs w:val="20"/>
              </w:rPr>
            </w:pPr>
            <w:r w:rsidRPr="009D54A4">
              <w:rPr>
                <w:b/>
                <w:sz w:val="20"/>
                <w:szCs w:val="20"/>
              </w:rPr>
              <w:t>4</w:t>
            </w:r>
          </w:p>
        </w:tc>
        <w:tc>
          <w:tcPr>
            <w:tcW w:w="3953" w:type="dxa"/>
          </w:tcPr>
          <w:p w14:paraId="47E8A871" w14:textId="60FE3A18" w:rsidR="00BD3154" w:rsidRPr="009D54A4" w:rsidRDefault="00BD3154" w:rsidP="00BD3154">
            <w:pPr>
              <w:jc w:val="both"/>
              <w:rPr>
                <w:sz w:val="20"/>
                <w:szCs w:val="20"/>
              </w:rPr>
            </w:pPr>
            <w:r w:rsidRPr="009D54A4">
              <w:rPr>
                <w:sz w:val="20"/>
                <w:szCs w:val="20"/>
              </w:rPr>
              <w:t>L'aménagement du collecteur Lotio à Sikasso pour la protection contre les risques d'inondations</w:t>
            </w:r>
            <w:r w:rsidR="009D67EB" w:rsidRPr="009D54A4">
              <w:rPr>
                <w:sz w:val="20"/>
                <w:szCs w:val="20"/>
              </w:rPr>
              <w:t>.</w:t>
            </w:r>
            <w:r w:rsidRPr="009D54A4">
              <w:rPr>
                <w:sz w:val="20"/>
                <w:szCs w:val="20"/>
              </w:rPr>
              <w:t xml:space="preserve"> </w:t>
            </w:r>
          </w:p>
        </w:tc>
        <w:tc>
          <w:tcPr>
            <w:tcW w:w="1701" w:type="dxa"/>
            <w:vAlign w:val="center"/>
          </w:tcPr>
          <w:p w14:paraId="4392D2D7" w14:textId="45EE076D" w:rsidR="00BD3154" w:rsidRPr="009D54A4" w:rsidRDefault="00BD3154" w:rsidP="00E65B54">
            <w:pPr>
              <w:jc w:val="center"/>
              <w:rPr>
                <w:rFonts w:eastAsia="Times New Roman"/>
                <w:b/>
                <w:color w:val="000000"/>
                <w:sz w:val="20"/>
                <w:szCs w:val="20"/>
                <w:lang w:eastAsia="fr-FR"/>
              </w:rPr>
            </w:pPr>
            <w:r w:rsidRPr="009D54A4">
              <w:rPr>
                <w:rFonts w:hAnsiTheme="minorHAnsi" w:cstheme="minorHAnsi"/>
                <w:sz w:val="20"/>
                <w:szCs w:val="20"/>
              </w:rPr>
              <w:t>ND</w:t>
            </w:r>
          </w:p>
        </w:tc>
        <w:tc>
          <w:tcPr>
            <w:tcW w:w="1400" w:type="dxa"/>
            <w:vAlign w:val="center"/>
          </w:tcPr>
          <w:p w14:paraId="72AF4922" w14:textId="256FAFFB" w:rsidR="00BD3154" w:rsidRPr="009D54A4" w:rsidRDefault="00BD3154" w:rsidP="00E65B54">
            <w:pPr>
              <w:jc w:val="center"/>
              <w:rPr>
                <w:sz w:val="20"/>
                <w:szCs w:val="20"/>
                <w:highlight w:val="yellow"/>
              </w:rPr>
            </w:pPr>
            <w:r w:rsidRPr="009D54A4">
              <w:rPr>
                <w:rFonts w:hAnsiTheme="minorHAnsi" w:cstheme="minorHAnsi"/>
                <w:sz w:val="20"/>
                <w:szCs w:val="20"/>
              </w:rPr>
              <w:t>ND</w:t>
            </w:r>
          </w:p>
        </w:tc>
        <w:tc>
          <w:tcPr>
            <w:tcW w:w="1877" w:type="dxa"/>
            <w:vAlign w:val="center"/>
          </w:tcPr>
          <w:p w14:paraId="4995A50C" w14:textId="63EA9A1C" w:rsidR="00BD3154" w:rsidRPr="009D54A4" w:rsidRDefault="00BD3154" w:rsidP="00E65B54">
            <w:pPr>
              <w:jc w:val="center"/>
              <w:rPr>
                <w:sz w:val="20"/>
                <w:szCs w:val="20"/>
                <w:highlight w:val="yellow"/>
              </w:rPr>
            </w:pPr>
            <w:r w:rsidRPr="009D54A4">
              <w:rPr>
                <w:rFonts w:hAnsiTheme="minorHAnsi" w:cstheme="minorHAnsi"/>
                <w:sz w:val="20"/>
                <w:szCs w:val="20"/>
              </w:rPr>
              <w:t>ND</w:t>
            </w:r>
          </w:p>
        </w:tc>
      </w:tr>
      <w:tr w:rsidR="00204BCC" w:rsidRPr="009D54A4" w14:paraId="71108CE7" w14:textId="77777777" w:rsidTr="00E65B54">
        <w:tc>
          <w:tcPr>
            <w:tcW w:w="437" w:type="dxa"/>
            <w:vAlign w:val="center"/>
          </w:tcPr>
          <w:p w14:paraId="645588B8" w14:textId="5B0F9164" w:rsidR="00204BCC" w:rsidRPr="009D54A4" w:rsidRDefault="00204BCC" w:rsidP="00E65B54">
            <w:pPr>
              <w:jc w:val="center"/>
              <w:rPr>
                <w:b/>
                <w:sz w:val="20"/>
                <w:szCs w:val="20"/>
              </w:rPr>
            </w:pPr>
            <w:r w:rsidRPr="009D54A4">
              <w:rPr>
                <w:b/>
                <w:sz w:val="20"/>
                <w:szCs w:val="20"/>
              </w:rPr>
              <w:t>5</w:t>
            </w:r>
          </w:p>
        </w:tc>
        <w:tc>
          <w:tcPr>
            <w:tcW w:w="3953" w:type="dxa"/>
          </w:tcPr>
          <w:p w14:paraId="406AF2CE" w14:textId="05CE9386" w:rsidR="00204BCC" w:rsidRPr="009D54A4" w:rsidRDefault="0086161C" w:rsidP="001A5233">
            <w:pPr>
              <w:jc w:val="both"/>
              <w:rPr>
                <w:sz w:val="20"/>
                <w:szCs w:val="20"/>
              </w:rPr>
            </w:pPr>
            <w:r w:rsidRPr="009D54A4">
              <w:rPr>
                <w:sz w:val="20"/>
                <w:szCs w:val="20"/>
              </w:rPr>
              <w:t>Projet intégré de traitement des eaux usées et de renforcement des infrastructures d’assainissement à Bamako</w:t>
            </w:r>
            <w:r w:rsidR="009D67EB" w:rsidRPr="009D54A4">
              <w:rPr>
                <w:sz w:val="20"/>
                <w:szCs w:val="20"/>
              </w:rPr>
              <w:t>.</w:t>
            </w:r>
          </w:p>
        </w:tc>
        <w:tc>
          <w:tcPr>
            <w:tcW w:w="1701" w:type="dxa"/>
            <w:vAlign w:val="center"/>
          </w:tcPr>
          <w:p w14:paraId="61F19B41" w14:textId="7927F20C" w:rsidR="00204BCC" w:rsidRPr="009D54A4" w:rsidRDefault="00BD3154" w:rsidP="00E65B54">
            <w:pPr>
              <w:jc w:val="center"/>
              <w:rPr>
                <w:rFonts w:eastAsia="Times New Roman"/>
                <w:b/>
                <w:color w:val="000000"/>
                <w:sz w:val="20"/>
                <w:szCs w:val="20"/>
                <w:lang w:eastAsia="fr-FR"/>
              </w:rPr>
            </w:pPr>
            <w:r w:rsidRPr="009D54A4">
              <w:rPr>
                <w:rFonts w:hAnsiTheme="minorHAnsi" w:cstheme="minorHAnsi"/>
                <w:sz w:val="20"/>
                <w:szCs w:val="20"/>
              </w:rPr>
              <w:t>ND</w:t>
            </w:r>
          </w:p>
        </w:tc>
        <w:tc>
          <w:tcPr>
            <w:tcW w:w="1400" w:type="dxa"/>
            <w:vAlign w:val="center"/>
          </w:tcPr>
          <w:p w14:paraId="0CDE0554" w14:textId="34D0381B" w:rsidR="00204BCC" w:rsidRPr="009D54A4" w:rsidRDefault="004D145E" w:rsidP="00E65B54">
            <w:pPr>
              <w:jc w:val="center"/>
              <w:rPr>
                <w:sz w:val="20"/>
                <w:szCs w:val="20"/>
              </w:rPr>
            </w:pPr>
            <w:r w:rsidRPr="009D54A4">
              <w:rPr>
                <w:sz w:val="20"/>
                <w:szCs w:val="20"/>
              </w:rPr>
              <w:t>Public + privé</w:t>
            </w:r>
          </w:p>
        </w:tc>
        <w:tc>
          <w:tcPr>
            <w:tcW w:w="1877" w:type="dxa"/>
            <w:vAlign w:val="center"/>
          </w:tcPr>
          <w:p w14:paraId="3C7F0C88" w14:textId="3D335654" w:rsidR="00204BCC" w:rsidRPr="009D54A4" w:rsidRDefault="004D145E" w:rsidP="00E65B54">
            <w:pPr>
              <w:jc w:val="center"/>
              <w:rPr>
                <w:sz w:val="20"/>
                <w:szCs w:val="20"/>
              </w:rPr>
            </w:pPr>
            <w:r w:rsidRPr="009D54A4">
              <w:rPr>
                <w:sz w:val="20"/>
                <w:szCs w:val="20"/>
              </w:rPr>
              <w:t>Conditionnel</w:t>
            </w:r>
          </w:p>
        </w:tc>
      </w:tr>
      <w:tr w:rsidR="00BD3154" w:rsidRPr="009D54A4" w14:paraId="6DDD1DE7" w14:textId="77777777" w:rsidTr="00E65B54">
        <w:tc>
          <w:tcPr>
            <w:tcW w:w="437" w:type="dxa"/>
            <w:vAlign w:val="center"/>
          </w:tcPr>
          <w:p w14:paraId="7C6D3C03" w14:textId="3862074D" w:rsidR="00BD3154" w:rsidRPr="009D54A4" w:rsidRDefault="00BD3154" w:rsidP="00E65B54">
            <w:pPr>
              <w:jc w:val="center"/>
              <w:rPr>
                <w:b/>
                <w:sz w:val="20"/>
                <w:szCs w:val="20"/>
              </w:rPr>
            </w:pPr>
            <w:r w:rsidRPr="009D54A4">
              <w:rPr>
                <w:b/>
                <w:sz w:val="20"/>
                <w:szCs w:val="20"/>
              </w:rPr>
              <w:t>6</w:t>
            </w:r>
          </w:p>
        </w:tc>
        <w:tc>
          <w:tcPr>
            <w:tcW w:w="3953" w:type="dxa"/>
          </w:tcPr>
          <w:p w14:paraId="05A42F69" w14:textId="0B66E792" w:rsidR="00BD3154" w:rsidRPr="009D54A4" w:rsidRDefault="00BD3154" w:rsidP="00BD3154">
            <w:pPr>
              <w:jc w:val="both"/>
              <w:rPr>
                <w:sz w:val="20"/>
                <w:szCs w:val="20"/>
              </w:rPr>
            </w:pPr>
            <w:r w:rsidRPr="009D54A4">
              <w:rPr>
                <w:sz w:val="20"/>
                <w:szCs w:val="20"/>
              </w:rPr>
              <w:t>Renforcement de capacités des agents de la DNACPN sur les changements climatiques et les déchets</w:t>
            </w:r>
            <w:r w:rsidR="009D67EB" w:rsidRPr="009D54A4">
              <w:rPr>
                <w:sz w:val="20"/>
                <w:szCs w:val="20"/>
              </w:rPr>
              <w:t>.</w:t>
            </w:r>
            <w:r w:rsidRPr="009D54A4">
              <w:rPr>
                <w:sz w:val="20"/>
                <w:szCs w:val="20"/>
              </w:rPr>
              <w:t xml:space="preserve"> </w:t>
            </w:r>
          </w:p>
        </w:tc>
        <w:tc>
          <w:tcPr>
            <w:tcW w:w="1701" w:type="dxa"/>
            <w:vAlign w:val="center"/>
          </w:tcPr>
          <w:p w14:paraId="06BB8D6A" w14:textId="4DE4AD6D" w:rsidR="00BD3154" w:rsidRPr="009D54A4" w:rsidRDefault="00BD3154" w:rsidP="00E65B54">
            <w:pPr>
              <w:jc w:val="center"/>
              <w:rPr>
                <w:rFonts w:eastAsia="Times New Roman"/>
                <w:b/>
                <w:color w:val="000000"/>
                <w:sz w:val="20"/>
                <w:szCs w:val="20"/>
                <w:lang w:eastAsia="fr-FR"/>
              </w:rPr>
            </w:pPr>
            <w:r w:rsidRPr="009D54A4">
              <w:rPr>
                <w:rFonts w:hAnsiTheme="minorHAnsi" w:cstheme="minorHAnsi"/>
                <w:sz w:val="20"/>
                <w:szCs w:val="20"/>
              </w:rPr>
              <w:t>ND</w:t>
            </w:r>
          </w:p>
        </w:tc>
        <w:tc>
          <w:tcPr>
            <w:tcW w:w="1400" w:type="dxa"/>
            <w:vAlign w:val="center"/>
          </w:tcPr>
          <w:p w14:paraId="642CCCCF" w14:textId="5B778585" w:rsidR="00BD3154" w:rsidRPr="009D54A4" w:rsidRDefault="00BD3154" w:rsidP="00E65B54">
            <w:pPr>
              <w:jc w:val="center"/>
              <w:rPr>
                <w:sz w:val="20"/>
                <w:szCs w:val="20"/>
                <w:highlight w:val="yellow"/>
              </w:rPr>
            </w:pPr>
            <w:r w:rsidRPr="009D54A4">
              <w:rPr>
                <w:rFonts w:hAnsiTheme="minorHAnsi" w:cstheme="minorHAnsi"/>
                <w:sz w:val="20"/>
                <w:szCs w:val="20"/>
              </w:rPr>
              <w:t>ND</w:t>
            </w:r>
          </w:p>
        </w:tc>
        <w:tc>
          <w:tcPr>
            <w:tcW w:w="1877" w:type="dxa"/>
            <w:vAlign w:val="center"/>
          </w:tcPr>
          <w:p w14:paraId="25BA0EF9" w14:textId="1CE4C302" w:rsidR="00BD3154" w:rsidRPr="009D54A4" w:rsidRDefault="00BD3154" w:rsidP="00E65B54">
            <w:pPr>
              <w:jc w:val="center"/>
              <w:rPr>
                <w:sz w:val="20"/>
                <w:szCs w:val="20"/>
                <w:highlight w:val="yellow"/>
              </w:rPr>
            </w:pPr>
            <w:r w:rsidRPr="009D54A4">
              <w:rPr>
                <w:rFonts w:hAnsiTheme="minorHAnsi" w:cstheme="minorHAnsi"/>
                <w:sz w:val="20"/>
                <w:szCs w:val="20"/>
              </w:rPr>
              <w:t>ND</w:t>
            </w:r>
          </w:p>
        </w:tc>
      </w:tr>
      <w:tr w:rsidR="00204BCC" w:rsidRPr="009D54A4" w14:paraId="1607528B" w14:textId="77777777" w:rsidTr="00E65B54">
        <w:tc>
          <w:tcPr>
            <w:tcW w:w="437" w:type="dxa"/>
            <w:vAlign w:val="center"/>
          </w:tcPr>
          <w:p w14:paraId="7A974002" w14:textId="6F552DCD" w:rsidR="00204BCC" w:rsidRPr="009D54A4" w:rsidRDefault="00204BCC" w:rsidP="00E65B54">
            <w:pPr>
              <w:jc w:val="center"/>
              <w:rPr>
                <w:b/>
                <w:sz w:val="20"/>
                <w:szCs w:val="20"/>
              </w:rPr>
            </w:pPr>
            <w:r w:rsidRPr="009D54A4">
              <w:rPr>
                <w:b/>
                <w:sz w:val="20"/>
                <w:szCs w:val="20"/>
              </w:rPr>
              <w:t>7</w:t>
            </w:r>
          </w:p>
        </w:tc>
        <w:tc>
          <w:tcPr>
            <w:tcW w:w="3953" w:type="dxa"/>
          </w:tcPr>
          <w:p w14:paraId="177F88BC" w14:textId="481C9402" w:rsidR="00204BCC" w:rsidRPr="009D54A4" w:rsidRDefault="00204BCC" w:rsidP="00204BCC">
            <w:pPr>
              <w:jc w:val="both"/>
              <w:rPr>
                <w:rFonts w:asciiTheme="minorHAnsi" w:hAnsiTheme="minorHAnsi" w:cstheme="minorHAnsi"/>
                <w:sz w:val="20"/>
                <w:szCs w:val="20"/>
              </w:rPr>
            </w:pPr>
            <w:r w:rsidRPr="009D54A4">
              <w:rPr>
                <w:rFonts w:asciiTheme="minorHAnsi" w:hAnsiTheme="minorHAnsi" w:cstheme="minorHAnsi"/>
                <w:sz w:val="20"/>
                <w:szCs w:val="20"/>
              </w:rPr>
              <w:t xml:space="preserve">Formation des acteurs sur le </w:t>
            </w:r>
            <w:r w:rsidRPr="009D54A4">
              <w:rPr>
                <w:rFonts w:asciiTheme="minorHAnsi" w:hAnsiTheme="minorHAnsi" w:cstheme="minorHAnsi"/>
                <w:spacing w:val="-2"/>
                <w:sz w:val="20"/>
                <w:szCs w:val="20"/>
              </w:rPr>
              <w:t xml:space="preserve">contenu </w:t>
            </w:r>
            <w:r w:rsidRPr="009D54A4">
              <w:rPr>
                <w:rFonts w:asciiTheme="minorHAnsi" w:hAnsiTheme="minorHAnsi" w:cstheme="minorHAnsi"/>
                <w:sz w:val="20"/>
                <w:szCs w:val="20"/>
              </w:rPr>
              <w:t>des</w:t>
            </w:r>
            <w:r w:rsidRPr="009D54A4">
              <w:rPr>
                <w:rFonts w:asciiTheme="minorHAnsi" w:hAnsiTheme="minorHAnsi" w:cstheme="minorHAnsi"/>
                <w:spacing w:val="-12"/>
                <w:sz w:val="20"/>
                <w:szCs w:val="20"/>
              </w:rPr>
              <w:t xml:space="preserve"> </w:t>
            </w:r>
            <w:r w:rsidRPr="009D54A4">
              <w:rPr>
                <w:rFonts w:asciiTheme="minorHAnsi" w:hAnsiTheme="minorHAnsi" w:cstheme="minorHAnsi"/>
                <w:sz w:val="20"/>
                <w:szCs w:val="20"/>
              </w:rPr>
              <w:t>textes du secteur</w:t>
            </w:r>
            <w:r w:rsidR="009D67EB" w:rsidRPr="009D54A4">
              <w:rPr>
                <w:rFonts w:asciiTheme="minorHAnsi" w:hAnsiTheme="minorHAnsi" w:cstheme="minorHAnsi"/>
                <w:sz w:val="20"/>
                <w:szCs w:val="20"/>
              </w:rPr>
              <w:t>.</w:t>
            </w:r>
          </w:p>
        </w:tc>
        <w:tc>
          <w:tcPr>
            <w:tcW w:w="1701" w:type="dxa"/>
            <w:vAlign w:val="center"/>
          </w:tcPr>
          <w:p w14:paraId="12AD5F74" w14:textId="4A2FFD08" w:rsidR="00204BCC" w:rsidRPr="009D54A4" w:rsidRDefault="007A768B" w:rsidP="00E65B54">
            <w:pPr>
              <w:jc w:val="center"/>
              <w:rPr>
                <w:rFonts w:eastAsia="Times New Roman"/>
                <w:b/>
                <w:color w:val="000000"/>
                <w:sz w:val="20"/>
                <w:szCs w:val="20"/>
                <w:lang w:eastAsia="fr-FR"/>
              </w:rPr>
            </w:pPr>
            <w:r w:rsidRPr="009D54A4">
              <w:rPr>
                <w:rFonts w:eastAsia="Times New Roman"/>
                <w:b/>
                <w:color w:val="000000"/>
                <w:sz w:val="20"/>
                <w:szCs w:val="20"/>
                <w:lang w:eastAsia="fr-FR"/>
              </w:rPr>
              <w:t>400 millions de F CFA</w:t>
            </w:r>
          </w:p>
        </w:tc>
        <w:tc>
          <w:tcPr>
            <w:tcW w:w="1400" w:type="dxa"/>
            <w:vAlign w:val="center"/>
          </w:tcPr>
          <w:p w14:paraId="20339FBD" w14:textId="067349BB" w:rsidR="00204BCC" w:rsidRPr="009D54A4" w:rsidRDefault="003E34E2" w:rsidP="00E65B54">
            <w:pPr>
              <w:jc w:val="center"/>
              <w:rPr>
                <w:sz w:val="20"/>
                <w:szCs w:val="20"/>
                <w:highlight w:val="yellow"/>
              </w:rPr>
            </w:pPr>
            <w:r w:rsidRPr="009D54A4">
              <w:rPr>
                <w:rFonts w:hAnsiTheme="minorHAnsi" w:cstheme="minorHAnsi"/>
                <w:sz w:val="20"/>
                <w:szCs w:val="20"/>
              </w:rPr>
              <w:t>ND</w:t>
            </w:r>
          </w:p>
        </w:tc>
        <w:tc>
          <w:tcPr>
            <w:tcW w:w="1877" w:type="dxa"/>
            <w:vAlign w:val="center"/>
          </w:tcPr>
          <w:p w14:paraId="7783CAC8" w14:textId="4E8D04AE" w:rsidR="00204BCC" w:rsidRPr="009D54A4" w:rsidRDefault="007A768B" w:rsidP="00E65B54">
            <w:pPr>
              <w:jc w:val="center"/>
              <w:rPr>
                <w:sz w:val="20"/>
                <w:szCs w:val="20"/>
                <w:highlight w:val="yellow"/>
              </w:rPr>
            </w:pPr>
            <w:r w:rsidRPr="009D54A4">
              <w:rPr>
                <w:sz w:val="20"/>
                <w:szCs w:val="20"/>
              </w:rPr>
              <w:t>Conditionnel</w:t>
            </w:r>
          </w:p>
        </w:tc>
      </w:tr>
    </w:tbl>
    <w:p w14:paraId="6E4F1DB3" w14:textId="77777777" w:rsidR="00A814FF" w:rsidRDefault="00A814FF" w:rsidP="003210F0">
      <w:pPr>
        <w:pStyle w:val="Titre3"/>
        <w:numPr>
          <w:ilvl w:val="2"/>
          <w:numId w:val="21"/>
        </w:numPr>
        <w:spacing w:before="240"/>
      </w:pPr>
      <w:bookmarkStart w:id="105" w:name="_Toc234853896"/>
      <w:r w:rsidRPr="00332D2B">
        <w:t>Risques climatiques ciblés</w:t>
      </w:r>
      <w:bookmarkEnd w:id="105"/>
      <w:r w:rsidRPr="00332D2B">
        <w:t xml:space="preserve"> </w:t>
      </w:r>
    </w:p>
    <w:p w14:paraId="6C335123" w14:textId="33C6FDFE" w:rsidR="00A814FF" w:rsidRPr="00B743B9" w:rsidRDefault="002A3945" w:rsidP="00A814FF">
      <w:pPr>
        <w:spacing w:after="120" w:line="300" w:lineRule="atLeast"/>
        <w:jc w:val="both"/>
      </w:pPr>
      <w:r w:rsidRPr="002A3945">
        <w:t>Les projets identifiés dans le secteur des déchets contribuent à la réduction de plusieurs risques climatiques et hydrométéorologiques auxquels le Mali est confronté</w:t>
      </w:r>
      <w:r w:rsidR="00925DAB">
        <w:t xml:space="preserve"> </w:t>
      </w:r>
      <w:r w:rsidRPr="002A3945">
        <w:t xml:space="preserve"> Les projets d'aménagement des collecteurs de Banconi, Molobalini, Foloni, Dougouradji et Bamafalani à Bamako, ainsi que des collecteurs Kotroni et Lotio à Sikasso, visent directement la réduction des risques d'inondation en milieu urbain, à travers l'amélioration du drainage des eaux pluviales</w:t>
      </w:r>
      <w:r w:rsidR="00925DAB">
        <w:t xml:space="preserve"> </w:t>
      </w:r>
      <w:r w:rsidRPr="002A3945">
        <w:t xml:space="preserve"> Le projet d'épuration des eaux usées et de leur réutilisation pour l'irrigation contribue quant à lui à la réduction des risques de sécheresse en mobilisant une ressource alternative pour les activités agricoles</w:t>
      </w:r>
      <w:r w:rsidR="00925DAB">
        <w:t xml:space="preserve"> </w:t>
      </w:r>
      <w:r w:rsidRPr="002A3945">
        <w:t xml:space="preserve"> Le projet</w:t>
      </w:r>
      <w:r w:rsidR="00817BEB" w:rsidRPr="00817BEB">
        <w:t xml:space="preserve"> intégré de traitement des eaux usées et de renforcement des infrastructures d’assainissement à Bamako </w:t>
      </w:r>
      <w:r w:rsidRPr="002A3945">
        <w:t xml:space="preserve">participe également à la réduction des risques d'inondation urbaine en limitant l'accumulation d'effluents non traités dans les systèmes de </w:t>
      </w:r>
      <w:r w:rsidRPr="002A3945">
        <w:lastRenderedPageBreak/>
        <w:t>drainage</w:t>
      </w:r>
      <w:r w:rsidR="00925DAB">
        <w:t xml:space="preserve"> </w:t>
      </w:r>
      <w:r w:rsidRPr="002A3945">
        <w:t xml:space="preserve"> Enfin, les projets de renforcement des capacités des agents de la DNACPN et de formation des acteurs sur les textes du secteur, sans cibler un risque spécifique, renforcent les capacités institutionnelles d'anticipation et de gestion des risques climatiques liés à l'environnement et aux déchets</w:t>
      </w:r>
      <w:r w:rsidR="00925DAB">
        <w:t xml:space="preserve"> </w:t>
      </w:r>
    </w:p>
    <w:tbl>
      <w:tblPr>
        <w:tblStyle w:val="Grilledutableau"/>
        <w:tblW w:w="0" w:type="auto"/>
        <w:tblBorders>
          <w:insideH w:val="single" w:sz="12" w:space="0" w:color="2F5496" w:themeColor="accent5" w:themeShade="BF"/>
        </w:tblBorders>
        <w:shd w:val="clear" w:color="auto" w:fill="EDF1F9"/>
        <w:tblLook w:val="04A0" w:firstRow="1" w:lastRow="0" w:firstColumn="1" w:lastColumn="0" w:noHBand="0" w:noVBand="1"/>
      </w:tblPr>
      <w:tblGrid>
        <w:gridCol w:w="329"/>
        <w:gridCol w:w="5116"/>
        <w:gridCol w:w="3971"/>
      </w:tblGrid>
      <w:tr w:rsidR="001A5233" w:rsidRPr="00B743B9" w14:paraId="09209E19" w14:textId="77777777" w:rsidTr="001A5233">
        <w:trPr>
          <w:trHeight w:val="488"/>
        </w:trPr>
        <w:tc>
          <w:tcPr>
            <w:tcW w:w="329" w:type="dxa"/>
            <w:vMerge w:val="restart"/>
            <w:shd w:val="clear" w:color="auto" w:fill="EDF1F9"/>
            <w:vAlign w:val="center"/>
          </w:tcPr>
          <w:p w14:paraId="07BCA853" w14:textId="77777777" w:rsidR="001A5233" w:rsidRPr="00B743B9" w:rsidRDefault="001A5233">
            <w:pPr>
              <w:jc w:val="center"/>
              <w:rPr>
                <w:b/>
                <w:bCs/>
              </w:rPr>
            </w:pPr>
            <w:r w:rsidRPr="00B743B9">
              <w:rPr>
                <w:b/>
                <w:bCs/>
              </w:rPr>
              <w:t>1</w:t>
            </w:r>
          </w:p>
        </w:tc>
        <w:tc>
          <w:tcPr>
            <w:tcW w:w="5116" w:type="dxa"/>
            <w:vMerge w:val="restart"/>
            <w:shd w:val="clear" w:color="auto" w:fill="EDF1F9"/>
          </w:tcPr>
          <w:p w14:paraId="6B922E53" w14:textId="77777777" w:rsidR="001A5233" w:rsidRDefault="001A5233">
            <w:pPr>
              <w:jc w:val="both"/>
            </w:pPr>
          </w:p>
          <w:p w14:paraId="69D48F7F" w14:textId="2A0E8D3D" w:rsidR="001A5233" w:rsidRPr="001A5233" w:rsidRDefault="001A5233" w:rsidP="001A5233">
            <w:pPr>
              <w:jc w:val="both"/>
            </w:pPr>
            <w:r w:rsidRPr="00EC3FD5">
              <w:t>L'Épuration des eaux usées et leur réutilisation pour des besoins notamment pour l'irrigation</w:t>
            </w:r>
            <w:r w:rsidR="009D67EB">
              <w:t>.</w:t>
            </w:r>
            <w:r w:rsidR="00925DAB">
              <w:t xml:space="preserve"> </w:t>
            </w:r>
          </w:p>
        </w:tc>
        <w:tc>
          <w:tcPr>
            <w:tcW w:w="3971" w:type="dxa"/>
            <w:tcBorders>
              <w:top w:val="nil"/>
              <w:bottom w:val="nil"/>
            </w:tcBorders>
            <w:shd w:val="clear" w:color="auto" w:fill="EDF1F9"/>
            <w:vAlign w:val="center"/>
          </w:tcPr>
          <w:p w14:paraId="6A02D134" w14:textId="2D1C4383" w:rsidR="001A5233" w:rsidRPr="00B743B9" w:rsidRDefault="001A5233" w:rsidP="001A5233">
            <w:pPr>
              <w:jc w:val="center"/>
              <w:rPr>
                <w:b/>
                <w:bCs/>
              </w:rPr>
            </w:pPr>
            <w:r>
              <w:rPr>
                <w:b/>
                <w:bCs/>
              </w:rPr>
              <w:t>Sécheresse</w:t>
            </w:r>
          </w:p>
        </w:tc>
      </w:tr>
      <w:tr w:rsidR="001A5233" w:rsidRPr="00B743B9" w14:paraId="6D8B5E3A" w14:textId="77777777" w:rsidTr="001A5233">
        <w:trPr>
          <w:trHeight w:val="718"/>
        </w:trPr>
        <w:tc>
          <w:tcPr>
            <w:tcW w:w="329" w:type="dxa"/>
            <w:vMerge/>
            <w:shd w:val="clear" w:color="auto" w:fill="EDF1F9"/>
            <w:vAlign w:val="center"/>
          </w:tcPr>
          <w:p w14:paraId="435DCF44" w14:textId="77777777" w:rsidR="001A5233" w:rsidRPr="00B743B9" w:rsidRDefault="001A5233">
            <w:pPr>
              <w:jc w:val="center"/>
              <w:rPr>
                <w:b/>
                <w:bCs/>
              </w:rPr>
            </w:pPr>
          </w:p>
        </w:tc>
        <w:tc>
          <w:tcPr>
            <w:tcW w:w="5116" w:type="dxa"/>
            <w:vMerge/>
            <w:shd w:val="clear" w:color="auto" w:fill="EDF1F9"/>
          </w:tcPr>
          <w:p w14:paraId="00E547A9" w14:textId="77777777" w:rsidR="001A5233" w:rsidRPr="00172D4A" w:rsidRDefault="001A5233">
            <w:pPr>
              <w:jc w:val="both"/>
            </w:pPr>
          </w:p>
        </w:tc>
        <w:tc>
          <w:tcPr>
            <w:tcW w:w="3971" w:type="dxa"/>
            <w:tcBorders>
              <w:top w:val="nil"/>
              <w:bottom w:val="nil"/>
            </w:tcBorders>
            <w:shd w:val="clear" w:color="auto" w:fill="EDF1F9"/>
          </w:tcPr>
          <w:p w14:paraId="11185541" w14:textId="75146B8E" w:rsidR="001A5233" w:rsidRPr="007969E0" w:rsidRDefault="001A5233">
            <w:r w:rsidRPr="007969E0">
              <w:rPr>
                <w:noProof/>
              </w:rPr>
              <w:drawing>
                <wp:anchor distT="0" distB="0" distL="114300" distR="114300" simplePos="0" relativeHeight="251658256" behindDoc="0" locked="0" layoutInCell="1" allowOverlap="1" wp14:anchorId="31FC07B2" wp14:editId="7D662BBA">
                  <wp:simplePos x="0" y="0"/>
                  <wp:positionH relativeFrom="column">
                    <wp:posOffset>1015486</wp:posOffset>
                  </wp:positionH>
                  <wp:positionV relativeFrom="paragraph">
                    <wp:posOffset>40093</wp:posOffset>
                  </wp:positionV>
                  <wp:extent cx="340344" cy="340344"/>
                  <wp:effectExtent l="0" t="0" r="3175" b="3175"/>
                  <wp:wrapNone/>
                  <wp:docPr id="458916569" name="Image 7">
                    <a:extLst xmlns:a="http://schemas.openxmlformats.org/drawingml/2006/main">
                      <a:ext uri="{FF2B5EF4-FFF2-40B4-BE49-F238E27FC236}">
                        <a16:creationId xmlns:a16="http://schemas.microsoft.com/office/drawing/2014/main" id="{69138AEB-6BCC-DE84-AF67-39169FCDFC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69138AEB-6BCC-DE84-AF67-39169FCDFC18}"/>
                              </a:ext>
                            </a:extLst>
                          </pic:cNvPr>
                          <pic:cNvPicPr>
                            <a:picLocks noChangeAspect="1"/>
                          </pic:cNvPicPr>
                        </pic:nvPicPr>
                        <pic:blipFill>
                          <a:blip r:embed="rId30">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40344" cy="340344"/>
                          </a:xfrm>
                          <a:prstGeom prst="rect">
                            <a:avLst/>
                          </a:prstGeom>
                        </pic:spPr>
                      </pic:pic>
                    </a:graphicData>
                  </a:graphic>
                  <wp14:sizeRelH relativeFrom="margin">
                    <wp14:pctWidth>0</wp14:pctWidth>
                  </wp14:sizeRelH>
                  <wp14:sizeRelV relativeFrom="margin">
                    <wp14:pctHeight>0</wp14:pctHeight>
                  </wp14:sizeRelV>
                </wp:anchor>
              </w:drawing>
            </w:r>
          </w:p>
        </w:tc>
      </w:tr>
      <w:tr w:rsidR="001A5233" w:rsidRPr="00B743B9" w14:paraId="6E355583" w14:textId="77777777" w:rsidTr="001A5233">
        <w:trPr>
          <w:trHeight w:val="1194"/>
        </w:trPr>
        <w:tc>
          <w:tcPr>
            <w:tcW w:w="329" w:type="dxa"/>
            <w:shd w:val="clear" w:color="auto" w:fill="EDF1F9"/>
            <w:vAlign w:val="center"/>
          </w:tcPr>
          <w:p w14:paraId="16AAB914" w14:textId="77777777" w:rsidR="001A5233" w:rsidRPr="00B743B9" w:rsidRDefault="001A5233">
            <w:pPr>
              <w:jc w:val="center"/>
              <w:rPr>
                <w:b/>
                <w:bCs/>
              </w:rPr>
            </w:pPr>
            <w:r w:rsidRPr="00B743B9">
              <w:rPr>
                <w:b/>
                <w:bCs/>
              </w:rPr>
              <w:t>2</w:t>
            </w:r>
          </w:p>
        </w:tc>
        <w:tc>
          <w:tcPr>
            <w:tcW w:w="5116" w:type="dxa"/>
            <w:shd w:val="clear" w:color="auto" w:fill="EDF1F9"/>
          </w:tcPr>
          <w:p w14:paraId="2E8AFE39" w14:textId="1CCD6D10" w:rsidR="001A5233" w:rsidRPr="00B743B9" w:rsidRDefault="001A5233">
            <w:pPr>
              <w:spacing w:before="120"/>
              <w:jc w:val="both"/>
              <w:rPr>
                <w:b/>
                <w:bCs/>
              </w:rPr>
            </w:pPr>
            <w:r w:rsidRPr="00EC3FD5">
              <w:t>L'aménagement des collecteurs Banconi, Molobalini, Foloni, Dougouradji et Bamafalani dans le district de Bamako pour la protection contre les risques d'inondations</w:t>
            </w:r>
            <w:r w:rsidR="009D67EB">
              <w:t>.</w:t>
            </w:r>
            <w:r w:rsidR="00925DAB">
              <w:t xml:space="preserve"> </w:t>
            </w:r>
          </w:p>
        </w:tc>
        <w:tc>
          <w:tcPr>
            <w:tcW w:w="3971" w:type="dxa"/>
            <w:tcBorders>
              <w:top w:val="nil"/>
              <w:bottom w:val="nil"/>
            </w:tcBorders>
            <w:shd w:val="clear" w:color="auto" w:fill="EDF1F9"/>
          </w:tcPr>
          <w:p w14:paraId="2B28613A" w14:textId="77777777" w:rsidR="001A5233" w:rsidRDefault="001A5233" w:rsidP="001A5233">
            <w:pPr>
              <w:jc w:val="center"/>
              <w:rPr>
                <w:b/>
                <w:bCs/>
              </w:rPr>
            </w:pPr>
          </w:p>
          <w:p w14:paraId="30AB828D" w14:textId="77777777" w:rsidR="001A5233" w:rsidRDefault="001A5233" w:rsidP="001A5233">
            <w:pPr>
              <w:jc w:val="center"/>
              <w:rPr>
                <w:b/>
                <w:bCs/>
              </w:rPr>
            </w:pPr>
          </w:p>
          <w:p w14:paraId="0AF2601D" w14:textId="77777777" w:rsidR="001A5233" w:rsidRDefault="001A5233" w:rsidP="001A5233">
            <w:pPr>
              <w:jc w:val="center"/>
              <w:rPr>
                <w:b/>
                <w:bCs/>
              </w:rPr>
            </w:pPr>
          </w:p>
          <w:p w14:paraId="0AF82F25" w14:textId="2CC48A17" w:rsidR="001A5233" w:rsidRPr="00B743B9" w:rsidRDefault="001A5233" w:rsidP="001A5233">
            <w:pPr>
              <w:jc w:val="center"/>
              <w:rPr>
                <w:b/>
                <w:bCs/>
              </w:rPr>
            </w:pPr>
            <w:r>
              <w:rPr>
                <w:b/>
                <w:bCs/>
              </w:rPr>
              <w:t>Inondation</w:t>
            </w:r>
          </w:p>
        </w:tc>
      </w:tr>
      <w:tr w:rsidR="001A5233" w:rsidRPr="00B743B9" w14:paraId="5472DEEF" w14:textId="77777777" w:rsidTr="001A5233">
        <w:trPr>
          <w:trHeight w:val="283"/>
        </w:trPr>
        <w:tc>
          <w:tcPr>
            <w:tcW w:w="329" w:type="dxa"/>
            <w:shd w:val="clear" w:color="auto" w:fill="EDF1F9"/>
            <w:vAlign w:val="center"/>
          </w:tcPr>
          <w:p w14:paraId="588E8CC0" w14:textId="1983CD0F" w:rsidR="001A5233" w:rsidRPr="00B743B9" w:rsidRDefault="001A5233">
            <w:pPr>
              <w:jc w:val="center"/>
              <w:rPr>
                <w:b/>
                <w:bCs/>
              </w:rPr>
            </w:pPr>
            <w:r>
              <w:rPr>
                <w:b/>
                <w:bCs/>
              </w:rPr>
              <w:t>3</w:t>
            </w:r>
          </w:p>
        </w:tc>
        <w:tc>
          <w:tcPr>
            <w:tcW w:w="5116" w:type="dxa"/>
            <w:shd w:val="clear" w:color="auto" w:fill="EDF1F9"/>
          </w:tcPr>
          <w:p w14:paraId="6FBA8C12" w14:textId="0FDDB1D8" w:rsidR="001A5233" w:rsidRPr="00A0394D" w:rsidRDefault="001A5233">
            <w:pPr>
              <w:spacing w:before="120"/>
              <w:jc w:val="both"/>
            </w:pPr>
            <w:r w:rsidRPr="00EC3FD5">
              <w:t>L'aménagement du collecteur Kotroni à Sikasso pour la protection contre les risques d'inondations</w:t>
            </w:r>
            <w:r w:rsidR="009D67EB">
              <w:t>.</w:t>
            </w:r>
            <w:r w:rsidR="00925DAB">
              <w:t xml:space="preserve"> </w:t>
            </w:r>
          </w:p>
        </w:tc>
        <w:tc>
          <w:tcPr>
            <w:tcW w:w="3971" w:type="dxa"/>
            <w:vMerge w:val="restart"/>
            <w:tcBorders>
              <w:top w:val="nil"/>
              <w:bottom w:val="nil"/>
            </w:tcBorders>
            <w:shd w:val="clear" w:color="auto" w:fill="EDF1F9"/>
          </w:tcPr>
          <w:p w14:paraId="7C6F49E5" w14:textId="7271EDD9" w:rsidR="001A5233" w:rsidRDefault="001A5233">
            <w:pPr>
              <w:rPr>
                <w:b/>
                <w:bCs/>
                <w:noProof/>
              </w:rPr>
            </w:pPr>
            <w:r w:rsidRPr="007969E0">
              <w:rPr>
                <w:noProof/>
              </w:rPr>
              <w:drawing>
                <wp:anchor distT="0" distB="0" distL="114300" distR="114300" simplePos="0" relativeHeight="251658250" behindDoc="0" locked="0" layoutInCell="1" allowOverlap="1" wp14:anchorId="614C608C" wp14:editId="50D10F5D">
                  <wp:simplePos x="0" y="0"/>
                  <wp:positionH relativeFrom="column">
                    <wp:posOffset>1016635</wp:posOffset>
                  </wp:positionH>
                  <wp:positionV relativeFrom="paragraph">
                    <wp:posOffset>301762</wp:posOffset>
                  </wp:positionV>
                  <wp:extent cx="409173" cy="409173"/>
                  <wp:effectExtent l="0" t="0" r="0" b="0"/>
                  <wp:wrapNone/>
                  <wp:docPr id="79478859" name="Image 8">
                    <a:extLst xmlns:a="http://schemas.openxmlformats.org/drawingml/2006/main">
                      <a:ext uri="{FF2B5EF4-FFF2-40B4-BE49-F238E27FC236}">
                        <a16:creationId xmlns:a16="http://schemas.microsoft.com/office/drawing/2014/main" id="{4CEAFBD5-751E-C7CB-C0C5-021262199B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4CEAFBD5-751E-C7CB-C0C5-021262199BB1}"/>
                              </a:ext>
                            </a:extLst>
                          </pic:cNvPr>
                          <pic:cNvPicPr>
                            <a:picLocks noChangeAspect="1"/>
                          </pic:cNvPicPr>
                        </pic:nvPicPr>
                        <pic:blipFill>
                          <a:blip r:embed="rId31">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409173" cy="409173"/>
                          </a:xfrm>
                          <a:prstGeom prst="rect">
                            <a:avLst/>
                          </a:prstGeom>
                        </pic:spPr>
                      </pic:pic>
                    </a:graphicData>
                  </a:graphic>
                  <wp14:sizeRelH relativeFrom="margin">
                    <wp14:pctWidth>0</wp14:pctWidth>
                  </wp14:sizeRelH>
                  <wp14:sizeRelV relativeFrom="margin">
                    <wp14:pctHeight>0</wp14:pctHeight>
                  </wp14:sizeRelV>
                </wp:anchor>
              </w:drawing>
            </w:r>
          </w:p>
        </w:tc>
      </w:tr>
      <w:tr w:rsidR="001A5233" w:rsidRPr="00B743B9" w14:paraId="21B561AB" w14:textId="77777777" w:rsidTr="001A5233">
        <w:trPr>
          <w:trHeight w:val="283"/>
        </w:trPr>
        <w:tc>
          <w:tcPr>
            <w:tcW w:w="329" w:type="dxa"/>
            <w:shd w:val="clear" w:color="auto" w:fill="EDF1F9"/>
            <w:vAlign w:val="center"/>
          </w:tcPr>
          <w:p w14:paraId="1D9F4684" w14:textId="705E7C55" w:rsidR="001A5233" w:rsidRPr="00B743B9" w:rsidRDefault="001A5233">
            <w:pPr>
              <w:jc w:val="center"/>
              <w:rPr>
                <w:b/>
                <w:bCs/>
              </w:rPr>
            </w:pPr>
            <w:r>
              <w:rPr>
                <w:b/>
                <w:bCs/>
              </w:rPr>
              <w:t>4</w:t>
            </w:r>
          </w:p>
        </w:tc>
        <w:tc>
          <w:tcPr>
            <w:tcW w:w="5116" w:type="dxa"/>
            <w:shd w:val="clear" w:color="auto" w:fill="EDF1F9"/>
          </w:tcPr>
          <w:p w14:paraId="0261004A" w14:textId="46FC5355" w:rsidR="001A5233" w:rsidRPr="00A0394D" w:rsidRDefault="001A5233">
            <w:pPr>
              <w:spacing w:before="120"/>
              <w:jc w:val="both"/>
            </w:pPr>
            <w:r w:rsidRPr="00E3025A">
              <w:t>L'aménagement du collecteur Lotio à Sikasso pour la protection contre les risques d'inondations</w:t>
            </w:r>
            <w:r w:rsidR="009D67EB">
              <w:t>.</w:t>
            </w:r>
            <w:r w:rsidR="00925DAB">
              <w:t xml:space="preserve"> </w:t>
            </w:r>
          </w:p>
        </w:tc>
        <w:tc>
          <w:tcPr>
            <w:tcW w:w="3971" w:type="dxa"/>
            <w:vMerge/>
            <w:tcBorders>
              <w:top w:val="nil"/>
              <w:bottom w:val="nil"/>
            </w:tcBorders>
            <w:shd w:val="clear" w:color="auto" w:fill="EDF1F9"/>
          </w:tcPr>
          <w:p w14:paraId="52765C07" w14:textId="77777777" w:rsidR="001A5233" w:rsidRDefault="001A5233">
            <w:pPr>
              <w:rPr>
                <w:b/>
                <w:bCs/>
                <w:noProof/>
              </w:rPr>
            </w:pPr>
          </w:p>
        </w:tc>
      </w:tr>
      <w:tr w:rsidR="001A5233" w:rsidRPr="00B743B9" w14:paraId="535AAE3D" w14:textId="77777777" w:rsidTr="001A5233">
        <w:trPr>
          <w:trHeight w:val="283"/>
        </w:trPr>
        <w:tc>
          <w:tcPr>
            <w:tcW w:w="329" w:type="dxa"/>
            <w:shd w:val="clear" w:color="auto" w:fill="EDF1F9"/>
            <w:vAlign w:val="center"/>
          </w:tcPr>
          <w:p w14:paraId="42EAD353" w14:textId="73D4B872" w:rsidR="001A5233" w:rsidRPr="00B743B9" w:rsidRDefault="001A5233">
            <w:pPr>
              <w:jc w:val="center"/>
              <w:rPr>
                <w:b/>
                <w:bCs/>
              </w:rPr>
            </w:pPr>
            <w:r>
              <w:rPr>
                <w:b/>
                <w:bCs/>
              </w:rPr>
              <w:t>5</w:t>
            </w:r>
          </w:p>
        </w:tc>
        <w:tc>
          <w:tcPr>
            <w:tcW w:w="5116" w:type="dxa"/>
            <w:shd w:val="clear" w:color="auto" w:fill="EDF1F9"/>
          </w:tcPr>
          <w:p w14:paraId="45B9F9C2" w14:textId="5915AFA1" w:rsidR="001A5233" w:rsidRPr="00A0394D" w:rsidRDefault="0086161C">
            <w:pPr>
              <w:spacing w:before="120"/>
              <w:jc w:val="both"/>
            </w:pPr>
            <w:r w:rsidRPr="0086161C">
              <w:t>Projet intégré de traitement des eaux usées et de renforcement des infrastructures d’assainissement à Bamako</w:t>
            </w:r>
            <w:r w:rsidR="009D67EB">
              <w:t>.</w:t>
            </w:r>
          </w:p>
        </w:tc>
        <w:tc>
          <w:tcPr>
            <w:tcW w:w="3971" w:type="dxa"/>
            <w:vMerge/>
            <w:tcBorders>
              <w:top w:val="nil"/>
              <w:bottom w:val="nil"/>
            </w:tcBorders>
            <w:shd w:val="clear" w:color="auto" w:fill="EDF1F9"/>
          </w:tcPr>
          <w:p w14:paraId="0250084A" w14:textId="77777777" w:rsidR="001A5233" w:rsidRDefault="001A5233">
            <w:pPr>
              <w:rPr>
                <w:b/>
                <w:bCs/>
                <w:noProof/>
              </w:rPr>
            </w:pPr>
          </w:p>
        </w:tc>
      </w:tr>
    </w:tbl>
    <w:p w14:paraId="5F360501" w14:textId="3665D3D9" w:rsidR="00C8081F" w:rsidRDefault="00C8081F" w:rsidP="00C8081F">
      <w:pPr>
        <w:pStyle w:val="Titre2"/>
      </w:pPr>
      <w:bookmarkStart w:id="106" w:name="_Toc234853897"/>
      <w:r>
        <w:t>Eau</w:t>
      </w:r>
      <w:bookmarkEnd w:id="106"/>
    </w:p>
    <w:p w14:paraId="30E156B2" w14:textId="3DBBFC06" w:rsidR="00740D98" w:rsidRDefault="00E914BA" w:rsidP="002C3767">
      <w:pPr>
        <w:pStyle w:val="Titre3"/>
        <w:numPr>
          <w:ilvl w:val="2"/>
          <w:numId w:val="21"/>
        </w:numPr>
      </w:pPr>
      <w:bookmarkStart w:id="107" w:name="_Toc234853898"/>
      <w:r>
        <w:t xml:space="preserve">Projets </w:t>
      </w:r>
      <w:r w:rsidRPr="00332D2B">
        <w:t>d’adaptation prioritaires retenus dans le cadre de la CDN 3</w:t>
      </w:r>
      <w:r w:rsidR="00925DAB">
        <w:t xml:space="preserve"> </w:t>
      </w:r>
      <w:r w:rsidRPr="00332D2B">
        <w:t>0</w:t>
      </w:r>
      <w:bookmarkEnd w:id="107"/>
      <w:r w:rsidRPr="00332D2B">
        <w:t xml:space="preserve"> </w:t>
      </w:r>
    </w:p>
    <w:p w14:paraId="3F8D9D9F" w14:textId="32EDB298" w:rsidR="00740D98" w:rsidRPr="00740D98" w:rsidRDefault="00740D98" w:rsidP="00740D98">
      <w:pPr>
        <w:spacing w:after="120" w:line="300" w:lineRule="atLeast"/>
        <w:jc w:val="both"/>
      </w:pPr>
      <w:r>
        <w:t>Dans la CDN 2</w:t>
      </w:r>
      <w:r w:rsidR="00925DAB">
        <w:t xml:space="preserve"> </w:t>
      </w:r>
      <w:r>
        <w:t>0, le secteur de l’eau avait été considéré comme un secteur transversal et n’avait pas bénéficié d’un portefeuille de projets spécifique</w:t>
      </w:r>
      <w:r w:rsidR="00BE0D23">
        <w:t>.</w:t>
      </w:r>
      <w:r>
        <w:t xml:space="preserve"> Compte tenu de son importance stratégique pour l’adaptation aux changements climatiques et de son rôle central dans la résilience des populations et des secteurs productifs, </w:t>
      </w:r>
      <w:r w:rsidR="00BE0D23">
        <w:t>nous proposons de l’intégrer</w:t>
      </w:r>
      <w:r>
        <w:t xml:space="preserve"> dans la CDN 3</w:t>
      </w:r>
      <w:r w:rsidR="00925DAB">
        <w:t xml:space="preserve"> </w:t>
      </w:r>
      <w:r>
        <w:t>0 comme un secteur distinct</w:t>
      </w:r>
      <w:r w:rsidR="00BE0D23">
        <w:t>.</w:t>
      </w:r>
      <w:r>
        <w:t xml:space="preserve"> Les projets d’adaptation identifiés dans ce cadre sont au nombre de deux et ont été définis à la suite de consultations bilatérales menées avec la Direction Nationale de l’Hydraulique, sur la base des fiches de projets transmises par cette dernière</w:t>
      </w:r>
      <w:r w:rsidR="00BB05DE">
        <w:t>.</w:t>
      </w:r>
      <w:r w:rsidR="00925DAB">
        <w:t xml:space="preserve"> </w:t>
      </w:r>
    </w:p>
    <w:p w14:paraId="05DE6C3A" w14:textId="18669ED0" w:rsidR="00061EB0" w:rsidRDefault="00061EB0" w:rsidP="001625F7">
      <w:pPr>
        <w:sectPr w:rsidR="00061EB0" w:rsidSect="00C42595">
          <w:pgSz w:w="12240" w:h="15840" w:code="1"/>
          <w:pgMar w:top="1412" w:right="1412" w:bottom="1412" w:left="1412" w:header="709" w:footer="709" w:gutter="0"/>
          <w:cols w:space="708"/>
          <w:docGrid w:linePitch="360"/>
        </w:sectPr>
      </w:pPr>
    </w:p>
    <w:p w14:paraId="592CFCF0" w14:textId="16318980" w:rsidR="00061EB0" w:rsidRPr="008C1B8A" w:rsidRDefault="00061EB0" w:rsidP="00061EB0">
      <w:pPr>
        <w:pStyle w:val="Lgende"/>
        <w:keepNext/>
        <w:spacing w:after="0"/>
        <w:rPr>
          <w:sz w:val="22"/>
          <w:szCs w:val="22"/>
        </w:rPr>
      </w:pPr>
      <w:bookmarkStart w:id="108" w:name="_Toc234853964"/>
      <w:r w:rsidRPr="00BB7517">
        <w:rPr>
          <w:sz w:val="22"/>
          <w:szCs w:val="22"/>
        </w:rPr>
        <w:lastRenderedPageBreak/>
        <w:t xml:space="preserve">Tableau </w:t>
      </w:r>
      <w:r w:rsidRPr="00BB7517">
        <w:rPr>
          <w:sz w:val="22"/>
          <w:szCs w:val="22"/>
        </w:rPr>
        <w:fldChar w:fldCharType="begin"/>
      </w:r>
      <w:r w:rsidRPr="00BB7517">
        <w:rPr>
          <w:sz w:val="22"/>
          <w:szCs w:val="22"/>
        </w:rPr>
        <w:instrText xml:space="preserve"> SEQ Tableau \* ARABIC </w:instrText>
      </w:r>
      <w:r w:rsidRPr="00BB7517">
        <w:rPr>
          <w:sz w:val="22"/>
          <w:szCs w:val="22"/>
        </w:rPr>
        <w:fldChar w:fldCharType="separate"/>
      </w:r>
      <w:r w:rsidR="0018772E">
        <w:rPr>
          <w:noProof/>
          <w:sz w:val="22"/>
          <w:szCs w:val="22"/>
        </w:rPr>
        <w:t>40</w:t>
      </w:r>
      <w:r w:rsidRPr="00BB7517">
        <w:rPr>
          <w:sz w:val="22"/>
          <w:szCs w:val="22"/>
        </w:rPr>
        <w:fldChar w:fldCharType="end"/>
      </w:r>
      <w:r w:rsidRPr="00BB7517">
        <w:rPr>
          <w:sz w:val="22"/>
          <w:szCs w:val="22"/>
        </w:rPr>
        <w:t> :</w:t>
      </w:r>
      <w:r w:rsidRPr="00783E23">
        <w:t xml:space="preserve"> </w:t>
      </w:r>
      <w:r>
        <w:rPr>
          <w:sz w:val="22"/>
          <w:szCs w:val="22"/>
        </w:rPr>
        <w:t>Projets d’adaptation</w:t>
      </w:r>
      <w:r w:rsidRPr="00783E23">
        <w:rPr>
          <w:sz w:val="22"/>
          <w:szCs w:val="22"/>
        </w:rPr>
        <w:t xml:space="preserve"> identifiés pour le</w:t>
      </w:r>
      <w:r>
        <w:rPr>
          <w:sz w:val="22"/>
          <w:szCs w:val="22"/>
        </w:rPr>
        <w:t xml:space="preserve"> secteur de l’eau</w:t>
      </w:r>
      <w:r w:rsidRPr="00783E23">
        <w:rPr>
          <w:sz w:val="22"/>
          <w:szCs w:val="22"/>
        </w:rPr>
        <w:t xml:space="preserve"> dans le cadre de la CDN 3</w:t>
      </w:r>
      <w:r w:rsidR="00925DAB">
        <w:rPr>
          <w:sz w:val="22"/>
          <w:szCs w:val="22"/>
        </w:rPr>
        <w:t xml:space="preserve"> </w:t>
      </w:r>
      <w:r w:rsidRPr="00783E23">
        <w:rPr>
          <w:sz w:val="22"/>
          <w:szCs w:val="22"/>
        </w:rPr>
        <w:t>0</w:t>
      </w:r>
      <w:bookmarkEnd w:id="108"/>
    </w:p>
    <w:tbl>
      <w:tblPr>
        <w:tblStyle w:val="Grilledutableau"/>
        <w:tblW w:w="13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2535"/>
        <w:gridCol w:w="1701"/>
        <w:gridCol w:w="5812"/>
        <w:gridCol w:w="1701"/>
        <w:gridCol w:w="1167"/>
      </w:tblGrid>
      <w:tr w:rsidR="007906BC" w:rsidRPr="003210F0" w14:paraId="414913A6" w14:textId="77777777" w:rsidTr="007E346E">
        <w:trPr>
          <w:trHeight w:val="562"/>
          <w:tblHeader/>
        </w:trPr>
        <w:tc>
          <w:tcPr>
            <w:tcW w:w="43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2DF0747B" w14:textId="77777777" w:rsidR="007906BC" w:rsidRPr="003210F0" w:rsidRDefault="007906BC" w:rsidP="00311AD4">
            <w:pPr>
              <w:jc w:val="center"/>
              <w:rPr>
                <w:b/>
                <w:color w:val="FFFFFF" w:themeColor="background1"/>
                <w:sz w:val="18"/>
                <w:szCs w:val="18"/>
              </w:rPr>
            </w:pPr>
            <w:r w:rsidRPr="003210F0">
              <w:rPr>
                <w:b/>
                <w:color w:val="FFFFFF" w:themeColor="background1"/>
                <w:sz w:val="18"/>
                <w:szCs w:val="18"/>
              </w:rPr>
              <w:t>N°</w:t>
            </w:r>
          </w:p>
        </w:tc>
        <w:tc>
          <w:tcPr>
            <w:tcW w:w="253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7CB15EBC" w14:textId="77777777" w:rsidR="007906BC" w:rsidRPr="003210F0" w:rsidRDefault="007906BC" w:rsidP="00311AD4">
            <w:pPr>
              <w:jc w:val="center"/>
              <w:rPr>
                <w:b/>
                <w:color w:val="FFFFFF" w:themeColor="background1"/>
                <w:sz w:val="18"/>
                <w:szCs w:val="18"/>
              </w:rPr>
            </w:pPr>
            <w:r w:rsidRPr="003210F0">
              <w:rPr>
                <w:b/>
                <w:color w:val="FFFFFF" w:themeColor="background1"/>
                <w:sz w:val="18"/>
                <w:szCs w:val="18"/>
              </w:rPr>
              <w:t>Projets</w:t>
            </w:r>
          </w:p>
        </w:tc>
        <w:tc>
          <w:tcPr>
            <w:tcW w:w="170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3B8C3A26" w14:textId="77777777" w:rsidR="007906BC" w:rsidRPr="003210F0" w:rsidRDefault="007906BC" w:rsidP="00311AD4">
            <w:pPr>
              <w:jc w:val="center"/>
              <w:rPr>
                <w:b/>
                <w:color w:val="FFFFFF" w:themeColor="background1"/>
                <w:sz w:val="18"/>
                <w:szCs w:val="18"/>
              </w:rPr>
            </w:pPr>
            <w:r w:rsidRPr="003210F0">
              <w:rPr>
                <w:b/>
                <w:color w:val="FFFFFF" w:themeColor="background1"/>
                <w:sz w:val="18"/>
                <w:szCs w:val="18"/>
              </w:rPr>
              <w:t>Porteur</w:t>
            </w:r>
          </w:p>
        </w:tc>
        <w:tc>
          <w:tcPr>
            <w:tcW w:w="581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3E0B24A6" w14:textId="77777777" w:rsidR="007906BC" w:rsidRPr="003210F0" w:rsidRDefault="007906BC" w:rsidP="00311AD4">
            <w:pPr>
              <w:jc w:val="center"/>
              <w:rPr>
                <w:b/>
                <w:color w:val="FFFFFF" w:themeColor="background1"/>
                <w:sz w:val="18"/>
                <w:szCs w:val="18"/>
              </w:rPr>
            </w:pPr>
            <w:r w:rsidRPr="003210F0">
              <w:rPr>
                <w:b/>
                <w:color w:val="FFFFFF" w:themeColor="background1"/>
                <w:sz w:val="18"/>
                <w:szCs w:val="18"/>
              </w:rPr>
              <w:t>Objectif et description</w:t>
            </w:r>
          </w:p>
        </w:tc>
        <w:tc>
          <w:tcPr>
            <w:tcW w:w="170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4C89D9FB" w14:textId="77777777" w:rsidR="007906BC" w:rsidRPr="003210F0" w:rsidRDefault="007906BC" w:rsidP="00311AD4">
            <w:pPr>
              <w:jc w:val="center"/>
              <w:rPr>
                <w:b/>
                <w:color w:val="FFFFFF" w:themeColor="background1"/>
                <w:sz w:val="18"/>
                <w:szCs w:val="18"/>
              </w:rPr>
            </w:pPr>
            <w:r w:rsidRPr="003210F0">
              <w:rPr>
                <w:b/>
                <w:color w:val="FFFFFF" w:themeColor="background1"/>
                <w:sz w:val="18"/>
                <w:szCs w:val="18"/>
              </w:rPr>
              <w:t>Période de mise en œuvre</w:t>
            </w:r>
          </w:p>
        </w:tc>
        <w:tc>
          <w:tcPr>
            <w:tcW w:w="116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5F7C5EAE" w14:textId="77777777" w:rsidR="007906BC" w:rsidRPr="003210F0" w:rsidRDefault="007906BC" w:rsidP="00311AD4">
            <w:pPr>
              <w:jc w:val="center"/>
              <w:rPr>
                <w:b/>
                <w:color w:val="FFFFFF" w:themeColor="background1"/>
                <w:sz w:val="18"/>
                <w:szCs w:val="18"/>
              </w:rPr>
            </w:pPr>
            <w:r w:rsidRPr="003210F0">
              <w:rPr>
                <w:b/>
                <w:color w:val="FFFFFF" w:themeColor="background1"/>
                <w:sz w:val="18"/>
                <w:szCs w:val="18"/>
              </w:rPr>
              <w:t>Statut</w:t>
            </w:r>
          </w:p>
        </w:tc>
      </w:tr>
      <w:tr w:rsidR="007906BC" w:rsidRPr="003210F0" w14:paraId="1A81C5DB" w14:textId="77777777" w:rsidTr="007E346E">
        <w:tc>
          <w:tcPr>
            <w:tcW w:w="437" w:type="dxa"/>
            <w:tcBorders>
              <w:top w:val="single" w:sz="4" w:space="0" w:color="auto"/>
              <w:bottom w:val="single" w:sz="4" w:space="0" w:color="auto"/>
            </w:tcBorders>
            <w:vAlign w:val="center"/>
          </w:tcPr>
          <w:p w14:paraId="2B83AA5D" w14:textId="46FD9733" w:rsidR="007906BC" w:rsidRPr="003210F0" w:rsidRDefault="007906BC" w:rsidP="00311AD4">
            <w:pPr>
              <w:rPr>
                <w:b/>
                <w:sz w:val="18"/>
                <w:szCs w:val="18"/>
              </w:rPr>
            </w:pPr>
            <w:r w:rsidRPr="003210F0">
              <w:rPr>
                <w:b/>
                <w:sz w:val="18"/>
                <w:szCs w:val="18"/>
              </w:rPr>
              <w:t>1</w:t>
            </w:r>
          </w:p>
        </w:tc>
        <w:tc>
          <w:tcPr>
            <w:tcW w:w="2535" w:type="dxa"/>
            <w:tcBorders>
              <w:top w:val="single" w:sz="4" w:space="0" w:color="auto"/>
              <w:bottom w:val="single" w:sz="4" w:space="0" w:color="auto"/>
            </w:tcBorders>
            <w:vAlign w:val="center"/>
          </w:tcPr>
          <w:p w14:paraId="752B6A34" w14:textId="0ECEAEA4" w:rsidR="007906BC" w:rsidRPr="003210F0" w:rsidRDefault="007906BC" w:rsidP="00311AD4">
            <w:pPr>
              <w:jc w:val="both"/>
              <w:rPr>
                <w:sz w:val="18"/>
                <w:szCs w:val="18"/>
              </w:rPr>
            </w:pPr>
            <w:r w:rsidRPr="003210F0">
              <w:rPr>
                <w:sz w:val="18"/>
                <w:szCs w:val="18"/>
              </w:rPr>
              <w:t>Programme d’aménagement hydraulique à usages multiples du bassin du Bagoe</w:t>
            </w:r>
            <w:r w:rsidR="000E6FB3" w:rsidRPr="003210F0">
              <w:rPr>
                <w:sz w:val="18"/>
                <w:szCs w:val="18"/>
              </w:rPr>
              <w:t>-</w:t>
            </w:r>
            <w:r w:rsidRPr="003210F0">
              <w:rPr>
                <w:sz w:val="18"/>
                <w:szCs w:val="18"/>
              </w:rPr>
              <w:t>Bani en appui à la sécurité hydrique, agricole et énergétique</w:t>
            </w:r>
            <w:r w:rsidR="009D67EB" w:rsidRPr="003210F0">
              <w:rPr>
                <w:sz w:val="18"/>
                <w:szCs w:val="18"/>
              </w:rPr>
              <w:t>.</w:t>
            </w:r>
            <w:r w:rsidR="00925DAB" w:rsidRPr="003210F0">
              <w:rPr>
                <w:sz w:val="18"/>
                <w:szCs w:val="18"/>
              </w:rPr>
              <w:t xml:space="preserve"> </w:t>
            </w:r>
          </w:p>
        </w:tc>
        <w:tc>
          <w:tcPr>
            <w:tcW w:w="1701" w:type="dxa"/>
            <w:tcBorders>
              <w:top w:val="single" w:sz="4" w:space="0" w:color="auto"/>
              <w:bottom w:val="single" w:sz="4" w:space="0" w:color="auto"/>
            </w:tcBorders>
            <w:vAlign w:val="center"/>
          </w:tcPr>
          <w:p w14:paraId="1D96447B" w14:textId="2EF61E81" w:rsidR="007906BC" w:rsidRPr="003210F0" w:rsidRDefault="007906BC" w:rsidP="00311AD4">
            <w:pPr>
              <w:jc w:val="both"/>
              <w:rPr>
                <w:sz w:val="18"/>
                <w:szCs w:val="18"/>
              </w:rPr>
            </w:pPr>
            <w:r w:rsidRPr="003210F0">
              <w:rPr>
                <w:rFonts w:eastAsia="Times New Roman"/>
                <w:sz w:val="18"/>
                <w:szCs w:val="18"/>
                <w:lang w:eastAsia="fr-FR"/>
              </w:rPr>
              <w:t>Ministère de l’Energie et l’Eau</w:t>
            </w:r>
          </w:p>
        </w:tc>
        <w:tc>
          <w:tcPr>
            <w:tcW w:w="5812" w:type="dxa"/>
            <w:tcBorders>
              <w:top w:val="single" w:sz="4" w:space="0" w:color="auto"/>
              <w:bottom w:val="single" w:sz="4" w:space="0" w:color="auto"/>
            </w:tcBorders>
            <w:vAlign w:val="center"/>
          </w:tcPr>
          <w:p w14:paraId="34D03BFE" w14:textId="77777777" w:rsidR="007906BC" w:rsidRPr="003210F0" w:rsidRDefault="007906BC" w:rsidP="00311AD4">
            <w:pPr>
              <w:jc w:val="both"/>
              <w:rPr>
                <w:b/>
                <w:sz w:val="18"/>
                <w:szCs w:val="18"/>
                <w:u w:val="single"/>
              </w:rPr>
            </w:pPr>
            <w:r w:rsidRPr="003210F0">
              <w:rPr>
                <w:b/>
                <w:sz w:val="18"/>
                <w:szCs w:val="18"/>
                <w:u w:val="single"/>
              </w:rPr>
              <w:t>Objectif </w:t>
            </w:r>
          </w:p>
          <w:p w14:paraId="440037B5" w14:textId="34BDBE2C" w:rsidR="007906BC" w:rsidRPr="003210F0" w:rsidRDefault="00522B13" w:rsidP="00311AD4">
            <w:pPr>
              <w:jc w:val="both"/>
              <w:rPr>
                <w:sz w:val="18"/>
                <w:szCs w:val="18"/>
              </w:rPr>
            </w:pPr>
            <w:r w:rsidRPr="003210F0">
              <w:rPr>
                <w:sz w:val="18"/>
                <w:szCs w:val="18"/>
              </w:rPr>
              <w:t>Contribuer durablement à la sécurité hydrique, alimentaire et énergétique dans le bassin du Bagoé</w:t>
            </w:r>
            <w:r w:rsidR="000E6FB3" w:rsidRPr="003210F0">
              <w:rPr>
                <w:sz w:val="18"/>
                <w:szCs w:val="18"/>
              </w:rPr>
              <w:t>-</w:t>
            </w:r>
            <w:r w:rsidRPr="003210F0">
              <w:rPr>
                <w:sz w:val="18"/>
                <w:szCs w:val="18"/>
              </w:rPr>
              <w:t>Bani, par le développement d’aménagements hydrauliques intégrés et multifonctionnels, permettant une mobilisation, régulation et valorisation des ressources en eau, tout en renforçant la résilience climatique, la cohésion territoriale et le développement socio-économique local</w:t>
            </w:r>
            <w:r w:rsidR="009D67EB" w:rsidRPr="003210F0">
              <w:rPr>
                <w:sz w:val="18"/>
                <w:szCs w:val="18"/>
              </w:rPr>
              <w:t>.</w:t>
            </w:r>
            <w:r w:rsidR="00925DAB" w:rsidRPr="003210F0">
              <w:rPr>
                <w:sz w:val="18"/>
                <w:szCs w:val="18"/>
              </w:rPr>
              <w:t xml:space="preserve"> </w:t>
            </w:r>
            <w:r w:rsidRPr="003210F0">
              <w:rPr>
                <w:sz w:val="18"/>
                <w:szCs w:val="18"/>
              </w:rPr>
              <w:t xml:space="preserve"> </w:t>
            </w:r>
          </w:p>
          <w:p w14:paraId="5F32D9B8" w14:textId="77777777" w:rsidR="007906BC" w:rsidRPr="003210F0" w:rsidRDefault="007906BC" w:rsidP="00311AD4">
            <w:pPr>
              <w:jc w:val="both"/>
              <w:rPr>
                <w:b/>
                <w:sz w:val="18"/>
                <w:szCs w:val="18"/>
                <w:u w:val="single"/>
              </w:rPr>
            </w:pPr>
            <w:r w:rsidRPr="003210F0">
              <w:rPr>
                <w:b/>
                <w:sz w:val="18"/>
                <w:szCs w:val="18"/>
                <w:u w:val="single"/>
              </w:rPr>
              <w:t>Description</w:t>
            </w:r>
          </w:p>
          <w:p w14:paraId="7B083B4A" w14:textId="6CBFA29F" w:rsidR="007906BC" w:rsidRPr="003210F0" w:rsidRDefault="007906BC" w:rsidP="00311AD4">
            <w:pPr>
              <w:jc w:val="both"/>
              <w:rPr>
                <w:sz w:val="18"/>
                <w:szCs w:val="18"/>
              </w:rPr>
            </w:pPr>
            <w:r w:rsidRPr="003210F0">
              <w:rPr>
                <w:sz w:val="18"/>
                <w:szCs w:val="18"/>
              </w:rPr>
              <w:t>Le projet intervient dans le bassin du Bani, principal sous-bassin du fleuve Niger au Mali, confronté depuis plusieurs décennies à une dégradation progressive de son régime hydrologique sous l’effet de la variabilité climatique et de la pression croissante sur les ressources en eau</w:t>
            </w:r>
            <w:r w:rsidR="00925DAB" w:rsidRPr="003210F0">
              <w:rPr>
                <w:sz w:val="18"/>
                <w:szCs w:val="18"/>
              </w:rPr>
              <w:t xml:space="preserve"> </w:t>
            </w:r>
            <w:r w:rsidRPr="003210F0">
              <w:rPr>
                <w:sz w:val="18"/>
                <w:szCs w:val="18"/>
              </w:rPr>
              <w:t xml:space="preserve"> Cette situation entraîne une baisse des débits, une fragilisation des écosystèmes ainsi qu’une vulnérabilité accrue des activités agricoles, pastorales et halieutiques</w:t>
            </w:r>
            <w:r w:rsidR="00925DAB" w:rsidRPr="003210F0">
              <w:rPr>
                <w:sz w:val="18"/>
                <w:szCs w:val="18"/>
              </w:rPr>
              <w:t xml:space="preserve"> </w:t>
            </w:r>
            <w:r w:rsidRPr="003210F0">
              <w:rPr>
                <w:sz w:val="18"/>
                <w:szCs w:val="18"/>
              </w:rPr>
              <w:t xml:space="preserve"> Le projet prévoit la réalisation d’ouvrages hydrauliques multi-usages, le développement d’aménagements hydro-agricoles et énergétiques, la prévention des risques liés aux sécheresses et aux inondations, ainsi que la restauration des écosystèmes aquatiques et riverains</w:t>
            </w:r>
            <w:r w:rsidR="00925DAB" w:rsidRPr="003210F0">
              <w:rPr>
                <w:sz w:val="18"/>
                <w:szCs w:val="18"/>
              </w:rPr>
              <w:t xml:space="preserve"> </w:t>
            </w:r>
            <w:r w:rsidRPr="003210F0">
              <w:rPr>
                <w:sz w:val="18"/>
                <w:szCs w:val="18"/>
              </w:rPr>
              <w:t xml:space="preserve"> Il contribuera également au renforcement de la sécurité alimentaire, à la création d’emplois locaux, au désenclavement des zones d’intervention et à l’amélioration des conditions de vie des populations riveraines</w:t>
            </w:r>
            <w:r w:rsidR="009D67EB" w:rsidRPr="003210F0">
              <w:rPr>
                <w:sz w:val="18"/>
                <w:szCs w:val="18"/>
              </w:rPr>
              <w:t>.</w:t>
            </w:r>
            <w:r w:rsidR="00925DAB" w:rsidRPr="003210F0">
              <w:rPr>
                <w:sz w:val="18"/>
                <w:szCs w:val="18"/>
              </w:rPr>
              <w:t xml:space="preserve"> </w:t>
            </w:r>
          </w:p>
        </w:tc>
        <w:tc>
          <w:tcPr>
            <w:tcW w:w="1701" w:type="dxa"/>
            <w:tcBorders>
              <w:top w:val="single" w:sz="4" w:space="0" w:color="auto"/>
              <w:bottom w:val="single" w:sz="4" w:space="0" w:color="auto"/>
            </w:tcBorders>
            <w:vAlign w:val="center"/>
          </w:tcPr>
          <w:p w14:paraId="5A8CF16D" w14:textId="77777777" w:rsidR="007906BC" w:rsidRPr="003210F0" w:rsidRDefault="00522B13" w:rsidP="00EA56AC">
            <w:pPr>
              <w:jc w:val="center"/>
              <w:rPr>
                <w:sz w:val="18"/>
                <w:szCs w:val="18"/>
              </w:rPr>
            </w:pPr>
            <w:r w:rsidRPr="003210F0">
              <w:rPr>
                <w:sz w:val="18"/>
                <w:szCs w:val="18"/>
              </w:rPr>
              <w:t>10 ans</w:t>
            </w:r>
          </w:p>
          <w:p w14:paraId="05D775C1" w14:textId="6EAAED51" w:rsidR="00522B13" w:rsidRPr="003210F0" w:rsidRDefault="00522B13" w:rsidP="00EA56AC">
            <w:pPr>
              <w:jc w:val="center"/>
              <w:rPr>
                <w:sz w:val="18"/>
                <w:szCs w:val="18"/>
              </w:rPr>
            </w:pPr>
            <w:r w:rsidRPr="003210F0">
              <w:rPr>
                <w:sz w:val="18"/>
                <w:szCs w:val="18"/>
              </w:rPr>
              <w:t xml:space="preserve">(Début </w:t>
            </w:r>
            <w:r w:rsidR="000E6FB3" w:rsidRPr="003210F0">
              <w:rPr>
                <w:sz w:val="18"/>
                <w:szCs w:val="18"/>
              </w:rPr>
              <w:t>-</w:t>
            </w:r>
            <w:r w:rsidRPr="003210F0">
              <w:rPr>
                <w:sz w:val="18"/>
                <w:szCs w:val="18"/>
              </w:rPr>
              <w:t xml:space="preserve"> fin à identifier)</w:t>
            </w:r>
          </w:p>
        </w:tc>
        <w:tc>
          <w:tcPr>
            <w:tcW w:w="1167" w:type="dxa"/>
            <w:tcBorders>
              <w:top w:val="single" w:sz="4" w:space="0" w:color="auto"/>
              <w:bottom w:val="single" w:sz="4" w:space="0" w:color="auto"/>
            </w:tcBorders>
            <w:vAlign w:val="center"/>
          </w:tcPr>
          <w:p w14:paraId="35CD27EF" w14:textId="665C3895" w:rsidR="007906BC" w:rsidRPr="003210F0" w:rsidRDefault="00D1333B" w:rsidP="00EA56AC">
            <w:pPr>
              <w:jc w:val="center"/>
              <w:rPr>
                <w:sz w:val="18"/>
                <w:szCs w:val="18"/>
              </w:rPr>
            </w:pPr>
            <w:r w:rsidRPr="003210F0">
              <w:rPr>
                <w:sz w:val="18"/>
                <w:szCs w:val="18"/>
              </w:rPr>
              <w:t>Programmé</w:t>
            </w:r>
          </w:p>
        </w:tc>
      </w:tr>
      <w:tr w:rsidR="00D1333B" w:rsidRPr="003210F0" w14:paraId="6B5FEBA7" w14:textId="77777777" w:rsidTr="007E346E">
        <w:tc>
          <w:tcPr>
            <w:tcW w:w="437" w:type="dxa"/>
            <w:tcBorders>
              <w:top w:val="single" w:sz="4" w:space="0" w:color="auto"/>
            </w:tcBorders>
            <w:vAlign w:val="center"/>
          </w:tcPr>
          <w:p w14:paraId="5ECCA02F" w14:textId="60CCCF72" w:rsidR="00D1333B" w:rsidRPr="003210F0" w:rsidRDefault="00D1333B" w:rsidP="00311AD4">
            <w:pPr>
              <w:rPr>
                <w:b/>
                <w:sz w:val="18"/>
                <w:szCs w:val="18"/>
              </w:rPr>
            </w:pPr>
            <w:r w:rsidRPr="003210F0">
              <w:rPr>
                <w:b/>
                <w:sz w:val="18"/>
                <w:szCs w:val="18"/>
              </w:rPr>
              <w:t>2</w:t>
            </w:r>
          </w:p>
        </w:tc>
        <w:tc>
          <w:tcPr>
            <w:tcW w:w="2535" w:type="dxa"/>
            <w:tcBorders>
              <w:top w:val="single" w:sz="4" w:space="0" w:color="auto"/>
            </w:tcBorders>
            <w:vAlign w:val="center"/>
          </w:tcPr>
          <w:p w14:paraId="6B2A25F4" w14:textId="2358B7D1" w:rsidR="00D1333B" w:rsidRPr="003210F0" w:rsidRDefault="00A0394D" w:rsidP="00311AD4">
            <w:pPr>
              <w:jc w:val="both"/>
              <w:rPr>
                <w:sz w:val="18"/>
                <w:szCs w:val="18"/>
              </w:rPr>
            </w:pPr>
            <w:r w:rsidRPr="003210F0">
              <w:rPr>
                <w:sz w:val="18"/>
                <w:szCs w:val="18"/>
              </w:rPr>
              <w:t>Projet de dérivation contrôlée et de valorisation des eaux de crue pour la restauration des lacs, mares et zones humides dans le Delta intérieur du Niger et construction d’un ouvrage de dérivation à Tondifarma</w:t>
            </w:r>
            <w:r w:rsidR="00942825" w:rsidRPr="003210F0">
              <w:rPr>
                <w:sz w:val="18"/>
                <w:szCs w:val="18"/>
              </w:rPr>
              <w:t>.</w:t>
            </w:r>
            <w:r w:rsidR="00925DAB" w:rsidRPr="003210F0">
              <w:rPr>
                <w:sz w:val="18"/>
                <w:szCs w:val="18"/>
              </w:rPr>
              <w:t xml:space="preserve"> </w:t>
            </w:r>
          </w:p>
        </w:tc>
        <w:tc>
          <w:tcPr>
            <w:tcW w:w="1701" w:type="dxa"/>
            <w:tcBorders>
              <w:top w:val="single" w:sz="4" w:space="0" w:color="auto"/>
            </w:tcBorders>
            <w:vAlign w:val="center"/>
          </w:tcPr>
          <w:p w14:paraId="4AFEFDA6" w14:textId="45725BCA" w:rsidR="00D1333B" w:rsidRPr="003210F0" w:rsidRDefault="00A03E80" w:rsidP="00311AD4">
            <w:pPr>
              <w:jc w:val="both"/>
              <w:rPr>
                <w:rFonts w:eastAsia="Times New Roman"/>
                <w:sz w:val="18"/>
                <w:szCs w:val="18"/>
                <w:lang w:eastAsia="fr-FR"/>
              </w:rPr>
            </w:pPr>
            <w:r w:rsidRPr="003210F0">
              <w:rPr>
                <w:rFonts w:eastAsia="Times New Roman"/>
                <w:sz w:val="18"/>
                <w:szCs w:val="18"/>
                <w:lang w:eastAsia="fr-FR"/>
              </w:rPr>
              <w:t>Ministère de l’Energie et l’Eau</w:t>
            </w:r>
          </w:p>
        </w:tc>
        <w:tc>
          <w:tcPr>
            <w:tcW w:w="5812" w:type="dxa"/>
            <w:tcBorders>
              <w:top w:val="single" w:sz="4" w:space="0" w:color="auto"/>
            </w:tcBorders>
            <w:vAlign w:val="center"/>
          </w:tcPr>
          <w:p w14:paraId="6B4F41D9" w14:textId="77777777" w:rsidR="00A03E80" w:rsidRPr="003210F0" w:rsidRDefault="00A03E80" w:rsidP="00311AD4">
            <w:pPr>
              <w:jc w:val="both"/>
              <w:rPr>
                <w:b/>
                <w:sz w:val="18"/>
                <w:szCs w:val="18"/>
                <w:u w:val="single"/>
              </w:rPr>
            </w:pPr>
            <w:r w:rsidRPr="003210F0">
              <w:rPr>
                <w:b/>
                <w:sz w:val="18"/>
                <w:szCs w:val="18"/>
                <w:u w:val="single"/>
              </w:rPr>
              <w:t>Objectif </w:t>
            </w:r>
          </w:p>
          <w:p w14:paraId="5A9E0CD4" w14:textId="4E1A08A2" w:rsidR="00A03E80" w:rsidRPr="003210F0" w:rsidRDefault="00197755" w:rsidP="00311AD4">
            <w:pPr>
              <w:jc w:val="both"/>
              <w:rPr>
                <w:sz w:val="18"/>
                <w:szCs w:val="18"/>
              </w:rPr>
            </w:pPr>
            <w:r w:rsidRPr="003210F0">
              <w:rPr>
                <w:sz w:val="18"/>
                <w:szCs w:val="18"/>
              </w:rPr>
              <w:t>Renforcer la résilience climatique des populations et des écosystèmes du Delta Intérieur du Niger par la gestion durable et contrôlée des eaux de crue, tout en réduisant les risques d’inondation et en soutenant le développement socioéconomique local</w:t>
            </w:r>
            <w:r w:rsidR="009D67EB" w:rsidRPr="003210F0">
              <w:rPr>
                <w:sz w:val="18"/>
                <w:szCs w:val="18"/>
              </w:rPr>
              <w:t>.</w:t>
            </w:r>
          </w:p>
          <w:p w14:paraId="7C5F098A" w14:textId="77777777" w:rsidR="00A03E80" w:rsidRPr="003210F0" w:rsidRDefault="00A03E80" w:rsidP="00311AD4">
            <w:pPr>
              <w:jc w:val="both"/>
              <w:rPr>
                <w:b/>
                <w:sz w:val="18"/>
                <w:szCs w:val="18"/>
                <w:u w:val="single"/>
              </w:rPr>
            </w:pPr>
            <w:r w:rsidRPr="003210F0">
              <w:rPr>
                <w:b/>
                <w:sz w:val="18"/>
                <w:szCs w:val="18"/>
                <w:u w:val="single"/>
              </w:rPr>
              <w:t>Description</w:t>
            </w:r>
          </w:p>
          <w:p w14:paraId="33559475" w14:textId="2EFE330A" w:rsidR="00D1333B" w:rsidRPr="003210F0" w:rsidRDefault="007C70AA" w:rsidP="00311AD4">
            <w:pPr>
              <w:jc w:val="both"/>
              <w:rPr>
                <w:b/>
                <w:sz w:val="18"/>
                <w:szCs w:val="18"/>
                <w:u w:val="single"/>
              </w:rPr>
            </w:pPr>
            <w:r w:rsidRPr="003210F0">
              <w:rPr>
                <w:sz w:val="18"/>
                <w:szCs w:val="18"/>
              </w:rPr>
              <w:t>Le projet vise la gestion durable et valorisée des eaux de crue du fleuve Niger dans le Delta intérieur du Niger afin de réduire les risques d’inondation, restaurer les écosystèmes aquatiques et renforcer les moyens de subsistance des populations riveraines</w:t>
            </w:r>
            <w:r w:rsidR="00925DAB" w:rsidRPr="003210F0">
              <w:rPr>
                <w:sz w:val="18"/>
                <w:szCs w:val="18"/>
              </w:rPr>
              <w:t xml:space="preserve"> </w:t>
            </w:r>
            <w:r w:rsidRPr="003210F0">
              <w:rPr>
                <w:sz w:val="18"/>
                <w:szCs w:val="18"/>
              </w:rPr>
              <w:t xml:space="preserve"> Il prévoit notamment la construction d’un ouvrage de dérivation à Tondifarma, la restauration des chenaux naturels et des systèmes lacustres, la réhabilitation des bras morts ainsi que l’aménagement de zones de stockage naturel des eaux</w:t>
            </w:r>
            <w:r w:rsidR="00925DAB" w:rsidRPr="003210F0">
              <w:rPr>
                <w:sz w:val="18"/>
                <w:szCs w:val="18"/>
              </w:rPr>
              <w:t xml:space="preserve"> </w:t>
            </w:r>
            <w:r w:rsidRPr="003210F0">
              <w:rPr>
                <w:sz w:val="18"/>
                <w:szCs w:val="18"/>
              </w:rPr>
              <w:t xml:space="preserve"> Le projet contribuera au renforcement de la résilience climatique, à la sécurisation des activités agricoles, pastorales et halieutiques ainsi qu’à l’amélioration durable de la disponibilité en eau dans le Delta intérieur du Niger</w:t>
            </w:r>
            <w:r w:rsidR="009D67EB" w:rsidRPr="003210F0">
              <w:rPr>
                <w:sz w:val="18"/>
                <w:szCs w:val="18"/>
              </w:rPr>
              <w:t>.</w:t>
            </w:r>
            <w:r w:rsidR="00925DAB" w:rsidRPr="003210F0">
              <w:rPr>
                <w:sz w:val="18"/>
                <w:szCs w:val="18"/>
              </w:rPr>
              <w:t xml:space="preserve"> </w:t>
            </w:r>
          </w:p>
        </w:tc>
        <w:tc>
          <w:tcPr>
            <w:tcW w:w="1701" w:type="dxa"/>
            <w:tcBorders>
              <w:top w:val="single" w:sz="4" w:space="0" w:color="auto"/>
            </w:tcBorders>
            <w:vAlign w:val="center"/>
          </w:tcPr>
          <w:p w14:paraId="1C3331BF" w14:textId="77777777" w:rsidR="004E0DAB" w:rsidRPr="003210F0" w:rsidRDefault="004E0DAB" w:rsidP="00EA56AC">
            <w:pPr>
              <w:jc w:val="center"/>
              <w:rPr>
                <w:sz w:val="18"/>
                <w:szCs w:val="18"/>
              </w:rPr>
            </w:pPr>
            <w:r w:rsidRPr="003210F0">
              <w:rPr>
                <w:sz w:val="18"/>
                <w:szCs w:val="18"/>
              </w:rPr>
              <w:t>10 ans</w:t>
            </w:r>
          </w:p>
          <w:p w14:paraId="752D2D75" w14:textId="1222323A" w:rsidR="00D1333B" w:rsidRPr="003210F0" w:rsidRDefault="004E0DAB" w:rsidP="00EA56AC">
            <w:pPr>
              <w:jc w:val="center"/>
              <w:rPr>
                <w:sz w:val="18"/>
                <w:szCs w:val="18"/>
              </w:rPr>
            </w:pPr>
            <w:r w:rsidRPr="003210F0">
              <w:rPr>
                <w:sz w:val="18"/>
                <w:szCs w:val="18"/>
              </w:rPr>
              <w:t xml:space="preserve">(Début </w:t>
            </w:r>
            <w:r w:rsidR="000E6FB3" w:rsidRPr="003210F0">
              <w:rPr>
                <w:sz w:val="18"/>
                <w:szCs w:val="18"/>
              </w:rPr>
              <w:t>-</w:t>
            </w:r>
            <w:r w:rsidRPr="003210F0">
              <w:rPr>
                <w:sz w:val="18"/>
                <w:szCs w:val="18"/>
              </w:rPr>
              <w:t xml:space="preserve"> fin à identifier)</w:t>
            </w:r>
          </w:p>
        </w:tc>
        <w:tc>
          <w:tcPr>
            <w:tcW w:w="1167" w:type="dxa"/>
            <w:tcBorders>
              <w:top w:val="single" w:sz="4" w:space="0" w:color="auto"/>
            </w:tcBorders>
            <w:vAlign w:val="center"/>
          </w:tcPr>
          <w:p w14:paraId="6135E35A" w14:textId="7F3FB597" w:rsidR="00D1333B" w:rsidRPr="003210F0" w:rsidRDefault="007C70AA" w:rsidP="00EA56AC">
            <w:pPr>
              <w:jc w:val="center"/>
              <w:rPr>
                <w:sz w:val="18"/>
                <w:szCs w:val="18"/>
              </w:rPr>
            </w:pPr>
            <w:r w:rsidRPr="003210F0">
              <w:rPr>
                <w:sz w:val="18"/>
                <w:szCs w:val="18"/>
              </w:rPr>
              <w:t>Programmé</w:t>
            </w:r>
          </w:p>
        </w:tc>
      </w:tr>
    </w:tbl>
    <w:p w14:paraId="73DAD7F0" w14:textId="77777777" w:rsidR="00061EB0" w:rsidRDefault="00061EB0" w:rsidP="00061EB0">
      <w:pPr>
        <w:sectPr w:rsidR="00061EB0" w:rsidSect="001625F7">
          <w:pgSz w:w="15840" w:h="12240" w:orient="landscape" w:code="1"/>
          <w:pgMar w:top="1411" w:right="1411" w:bottom="1411" w:left="1411" w:header="706" w:footer="706" w:gutter="0"/>
          <w:cols w:space="708"/>
          <w:docGrid w:linePitch="360"/>
        </w:sectPr>
      </w:pPr>
    </w:p>
    <w:p w14:paraId="40046EB8" w14:textId="77777777" w:rsidR="00C8081F" w:rsidRDefault="00C8081F" w:rsidP="002C3767">
      <w:pPr>
        <w:pStyle w:val="Titre3"/>
        <w:numPr>
          <w:ilvl w:val="2"/>
          <w:numId w:val="21"/>
        </w:numPr>
      </w:pPr>
      <w:bookmarkStart w:id="109" w:name="_Toc234853899"/>
      <w:r w:rsidRPr="00332D2B">
        <w:lastRenderedPageBreak/>
        <w:t>Besoins de financement et conditionnalité</w:t>
      </w:r>
      <w:bookmarkEnd w:id="109"/>
      <w:r w:rsidRPr="00332D2B">
        <w:t xml:space="preserve"> </w:t>
      </w:r>
    </w:p>
    <w:p w14:paraId="305F9EF5" w14:textId="05C62BF4" w:rsidR="006B4F07" w:rsidRDefault="006B4F07" w:rsidP="006B4F07">
      <w:pPr>
        <w:spacing w:after="120" w:line="320" w:lineRule="atLeast"/>
        <w:jc w:val="both"/>
      </w:pPr>
      <w:r>
        <w:t xml:space="preserve">Les deux projets identifiés dans le secteur de l’eau représentent un coût total estimé à </w:t>
      </w:r>
      <w:r w:rsidRPr="00AA7521">
        <w:rPr>
          <w:b/>
          <w:bCs/>
        </w:rPr>
        <w:t>274 milliards de francs CFA</w:t>
      </w:r>
      <w:r>
        <w:t>, soit 175,5 milliards FCFA pour le Programme d’aménagement hydraulique à usages multiples du bassin du Bagoé</w:t>
      </w:r>
      <w:r w:rsidR="000E6FB3">
        <w:t>-</w:t>
      </w:r>
      <w:r>
        <w:t>Bani et 98,5 milliards FCFA pour le Projet de dérivation contrôlée et de valorisation des eaux de crue dans le Delta intérieur du Niger</w:t>
      </w:r>
      <w:r w:rsidR="00925DAB">
        <w:t xml:space="preserve"> </w:t>
      </w:r>
      <w:r>
        <w:t xml:space="preserve"> À ce stade, les sources de financement ainsi que les modalités de conditionnalité de mise en œuvre restent à identifier pour l’ensemble des projets proposés</w:t>
      </w:r>
      <w:r w:rsidR="00925DAB">
        <w:t xml:space="preserve"> </w:t>
      </w:r>
    </w:p>
    <w:p w14:paraId="1F452519" w14:textId="42F66392" w:rsidR="00BF35C4" w:rsidRPr="00A04700" w:rsidRDefault="00A04700" w:rsidP="00A04700">
      <w:pPr>
        <w:pStyle w:val="Lgende"/>
        <w:keepNext/>
        <w:spacing w:after="0"/>
        <w:rPr>
          <w:sz w:val="22"/>
          <w:szCs w:val="22"/>
        </w:rPr>
      </w:pPr>
      <w:bookmarkStart w:id="110" w:name="_Toc234853965"/>
      <w:r w:rsidRPr="00BB7517">
        <w:rPr>
          <w:sz w:val="22"/>
          <w:szCs w:val="22"/>
        </w:rPr>
        <w:t xml:space="preserve">Tableau </w:t>
      </w:r>
      <w:r w:rsidRPr="00BB7517">
        <w:rPr>
          <w:sz w:val="22"/>
          <w:szCs w:val="22"/>
        </w:rPr>
        <w:fldChar w:fldCharType="begin"/>
      </w:r>
      <w:r w:rsidRPr="00BB7517">
        <w:rPr>
          <w:sz w:val="22"/>
          <w:szCs w:val="22"/>
        </w:rPr>
        <w:instrText xml:space="preserve"> SEQ Tableau \* ARABIC </w:instrText>
      </w:r>
      <w:r w:rsidRPr="00BB7517">
        <w:rPr>
          <w:sz w:val="22"/>
          <w:szCs w:val="22"/>
        </w:rPr>
        <w:fldChar w:fldCharType="separate"/>
      </w:r>
      <w:r w:rsidR="0018772E">
        <w:rPr>
          <w:noProof/>
          <w:sz w:val="22"/>
          <w:szCs w:val="22"/>
        </w:rPr>
        <w:t>41</w:t>
      </w:r>
      <w:r w:rsidRPr="00BB7517">
        <w:rPr>
          <w:sz w:val="22"/>
          <w:szCs w:val="22"/>
        </w:rPr>
        <w:fldChar w:fldCharType="end"/>
      </w:r>
      <w:r w:rsidRPr="00BB7517">
        <w:rPr>
          <w:sz w:val="22"/>
          <w:szCs w:val="22"/>
        </w:rPr>
        <w:t> :</w:t>
      </w:r>
      <w:r w:rsidRPr="00783E23">
        <w:t xml:space="preserve"> </w:t>
      </w:r>
      <w:r>
        <w:rPr>
          <w:sz w:val="22"/>
          <w:szCs w:val="22"/>
        </w:rPr>
        <w:t>Financement des projets d’adaptation</w:t>
      </w:r>
      <w:r w:rsidRPr="00783E23">
        <w:rPr>
          <w:sz w:val="22"/>
          <w:szCs w:val="22"/>
        </w:rPr>
        <w:t xml:space="preserve"> </w:t>
      </w:r>
      <w:r>
        <w:rPr>
          <w:sz w:val="22"/>
          <w:szCs w:val="22"/>
        </w:rPr>
        <w:t>du secteur de l’eau</w:t>
      </w:r>
      <w:r w:rsidRPr="00783E23">
        <w:rPr>
          <w:sz w:val="22"/>
          <w:szCs w:val="22"/>
        </w:rPr>
        <w:t xml:space="preserve"> dans le cadre de la CDN 3</w:t>
      </w:r>
      <w:r w:rsidR="00925DAB">
        <w:rPr>
          <w:sz w:val="22"/>
          <w:szCs w:val="22"/>
        </w:rPr>
        <w:t xml:space="preserve"> </w:t>
      </w:r>
      <w:r w:rsidRPr="00783E23">
        <w:rPr>
          <w:sz w:val="22"/>
          <w:szCs w:val="22"/>
        </w:rPr>
        <w:t>0</w:t>
      </w:r>
      <w:bookmarkEnd w:id="110"/>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3311"/>
        <w:gridCol w:w="2026"/>
        <w:gridCol w:w="1717"/>
        <w:gridCol w:w="1877"/>
        <w:gridCol w:w="38"/>
      </w:tblGrid>
      <w:tr w:rsidR="00B4738A" w:rsidRPr="00E746F1" w14:paraId="214D01A8" w14:textId="77777777" w:rsidTr="00E746F1">
        <w:trPr>
          <w:trHeight w:val="680"/>
        </w:trPr>
        <w:tc>
          <w:tcPr>
            <w:tcW w:w="4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73FF3638" w14:textId="50A6579B" w:rsidR="00A04700" w:rsidRPr="00E746F1" w:rsidRDefault="00A04700" w:rsidP="0093022E">
            <w:pPr>
              <w:jc w:val="center"/>
              <w:rPr>
                <w:b/>
                <w:color w:val="FFFFFF" w:themeColor="background1"/>
                <w:sz w:val="20"/>
                <w:szCs w:val="20"/>
              </w:rPr>
            </w:pPr>
            <w:r w:rsidRPr="00E746F1">
              <w:rPr>
                <w:b/>
                <w:color w:val="FFFFFF" w:themeColor="background1"/>
                <w:sz w:val="20"/>
                <w:szCs w:val="20"/>
              </w:rPr>
              <w:t>N°</w:t>
            </w:r>
          </w:p>
        </w:tc>
        <w:tc>
          <w:tcPr>
            <w:tcW w:w="33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20CFFAAE" w14:textId="51D6C196" w:rsidR="00A04700" w:rsidRPr="00E746F1" w:rsidRDefault="00A04700" w:rsidP="0093022E">
            <w:pPr>
              <w:jc w:val="center"/>
              <w:rPr>
                <w:b/>
                <w:color w:val="FFFFFF" w:themeColor="background1"/>
                <w:sz w:val="20"/>
                <w:szCs w:val="20"/>
              </w:rPr>
            </w:pPr>
            <w:r w:rsidRPr="00E746F1">
              <w:rPr>
                <w:b/>
                <w:color w:val="FFFFFF" w:themeColor="background1"/>
                <w:sz w:val="20"/>
                <w:szCs w:val="20"/>
              </w:rPr>
              <w:t>Projets</w:t>
            </w:r>
          </w:p>
        </w:tc>
        <w:tc>
          <w:tcPr>
            <w:tcW w:w="20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5D0B442" w14:textId="4BE9328A" w:rsidR="00A04700" w:rsidRPr="00E746F1" w:rsidRDefault="00A04700" w:rsidP="0093022E">
            <w:pPr>
              <w:jc w:val="center"/>
              <w:rPr>
                <w:b/>
                <w:color w:val="FFFFFF" w:themeColor="background1"/>
                <w:sz w:val="20"/>
                <w:szCs w:val="20"/>
              </w:rPr>
            </w:pPr>
            <w:r w:rsidRPr="00E746F1">
              <w:rPr>
                <w:b/>
                <w:color w:val="FFFFFF" w:themeColor="background1"/>
                <w:sz w:val="20"/>
                <w:szCs w:val="20"/>
              </w:rPr>
              <w:t>Coût</w:t>
            </w:r>
          </w:p>
        </w:tc>
        <w:tc>
          <w:tcPr>
            <w:tcW w:w="17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12A03A05" w14:textId="7618BBC2" w:rsidR="00A04700" w:rsidRPr="00E746F1" w:rsidRDefault="00A04700" w:rsidP="0093022E">
            <w:pPr>
              <w:jc w:val="center"/>
              <w:rPr>
                <w:b/>
                <w:color w:val="FFFFFF" w:themeColor="background1"/>
                <w:sz w:val="20"/>
                <w:szCs w:val="20"/>
              </w:rPr>
            </w:pPr>
            <w:r w:rsidRPr="00E746F1">
              <w:rPr>
                <w:b/>
                <w:color w:val="FFFFFF" w:themeColor="background1"/>
                <w:sz w:val="20"/>
                <w:szCs w:val="20"/>
              </w:rPr>
              <w:t>Source de financement</w:t>
            </w:r>
          </w:p>
        </w:tc>
        <w:tc>
          <w:tcPr>
            <w:tcW w:w="191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27DE96D4" w14:textId="2220FC3B" w:rsidR="00A04700" w:rsidRPr="00E746F1" w:rsidRDefault="00A04700" w:rsidP="0093022E">
            <w:pPr>
              <w:jc w:val="center"/>
              <w:rPr>
                <w:b/>
                <w:color w:val="FFFFFF" w:themeColor="background1"/>
                <w:sz w:val="20"/>
                <w:szCs w:val="20"/>
              </w:rPr>
            </w:pPr>
            <w:r w:rsidRPr="00E746F1">
              <w:rPr>
                <w:b/>
                <w:color w:val="FFFFFF" w:themeColor="background1"/>
                <w:sz w:val="20"/>
                <w:szCs w:val="20"/>
              </w:rPr>
              <w:t>Conditionnalité</w:t>
            </w:r>
          </w:p>
        </w:tc>
      </w:tr>
      <w:tr w:rsidR="00BD3154" w:rsidRPr="00E746F1" w14:paraId="0F275192" w14:textId="77777777" w:rsidTr="007B0FDC">
        <w:tc>
          <w:tcPr>
            <w:tcW w:w="437" w:type="dxa"/>
            <w:tcBorders>
              <w:top w:val="single" w:sz="4" w:space="0" w:color="FFFFFF" w:themeColor="background1"/>
            </w:tcBorders>
          </w:tcPr>
          <w:p w14:paraId="22455E2E" w14:textId="187BB36C" w:rsidR="00BD3154" w:rsidRPr="00E746F1" w:rsidRDefault="00BD3154" w:rsidP="00BD3154">
            <w:pPr>
              <w:rPr>
                <w:b/>
                <w:sz w:val="20"/>
                <w:szCs w:val="20"/>
              </w:rPr>
            </w:pPr>
            <w:r w:rsidRPr="00E746F1">
              <w:rPr>
                <w:b/>
                <w:sz w:val="20"/>
                <w:szCs w:val="20"/>
              </w:rPr>
              <w:t>1</w:t>
            </w:r>
          </w:p>
        </w:tc>
        <w:tc>
          <w:tcPr>
            <w:tcW w:w="3311" w:type="dxa"/>
            <w:tcBorders>
              <w:top w:val="single" w:sz="4" w:space="0" w:color="FFFFFF" w:themeColor="background1"/>
            </w:tcBorders>
          </w:tcPr>
          <w:p w14:paraId="5A3ABD83" w14:textId="6D77ADF0" w:rsidR="00BD3154" w:rsidRPr="00E746F1" w:rsidRDefault="00BD3154" w:rsidP="00BD3154">
            <w:pPr>
              <w:jc w:val="both"/>
              <w:rPr>
                <w:sz w:val="20"/>
                <w:szCs w:val="20"/>
              </w:rPr>
            </w:pPr>
            <w:r w:rsidRPr="00E746F1">
              <w:rPr>
                <w:sz w:val="20"/>
                <w:szCs w:val="20"/>
              </w:rPr>
              <w:t>Programme d’aménagement hydraulique à usages multiples du bassin du Bagoe-Bani en appui à la sécurité hydrique, agricole et énergétique</w:t>
            </w:r>
            <w:r w:rsidR="00942825" w:rsidRPr="00E746F1">
              <w:rPr>
                <w:sz w:val="20"/>
                <w:szCs w:val="20"/>
              </w:rPr>
              <w:t>.</w:t>
            </w:r>
            <w:r w:rsidRPr="00E746F1">
              <w:rPr>
                <w:sz w:val="20"/>
                <w:szCs w:val="20"/>
              </w:rPr>
              <w:t xml:space="preserve"> </w:t>
            </w:r>
          </w:p>
        </w:tc>
        <w:tc>
          <w:tcPr>
            <w:tcW w:w="2026" w:type="dxa"/>
            <w:tcBorders>
              <w:top w:val="single" w:sz="4" w:space="0" w:color="FFFFFF" w:themeColor="background1"/>
            </w:tcBorders>
            <w:vAlign w:val="center"/>
          </w:tcPr>
          <w:p w14:paraId="1A852A47" w14:textId="5456A019" w:rsidR="00BD3154" w:rsidRPr="00E746F1" w:rsidRDefault="00BD3154" w:rsidP="007B0FDC">
            <w:pPr>
              <w:jc w:val="center"/>
              <w:rPr>
                <w:sz w:val="20"/>
                <w:szCs w:val="20"/>
              </w:rPr>
            </w:pPr>
            <w:r w:rsidRPr="00E746F1">
              <w:rPr>
                <w:rFonts w:eastAsia="Times New Roman"/>
                <w:b/>
                <w:sz w:val="20"/>
                <w:szCs w:val="20"/>
                <w:lang w:eastAsia="fr-FR"/>
              </w:rPr>
              <w:t xml:space="preserve">175 5 </w:t>
            </w:r>
            <w:r w:rsidRPr="00E746F1">
              <w:rPr>
                <w:rFonts w:eastAsia="Times New Roman"/>
                <w:b/>
                <w:bCs/>
                <w:color w:val="000000"/>
                <w:sz w:val="20"/>
                <w:szCs w:val="20"/>
                <w:lang w:eastAsia="fr-FR"/>
              </w:rPr>
              <w:t>Milliards F CFA</w:t>
            </w:r>
          </w:p>
        </w:tc>
        <w:tc>
          <w:tcPr>
            <w:tcW w:w="1717" w:type="dxa"/>
            <w:tcBorders>
              <w:top w:val="single" w:sz="4" w:space="0" w:color="FFFFFF" w:themeColor="background1"/>
            </w:tcBorders>
            <w:vAlign w:val="center"/>
          </w:tcPr>
          <w:p w14:paraId="01B3978D" w14:textId="77FDBDDF" w:rsidR="00BD3154" w:rsidRPr="00E746F1" w:rsidRDefault="00BD3154" w:rsidP="007B0FDC">
            <w:pPr>
              <w:jc w:val="center"/>
              <w:rPr>
                <w:sz w:val="20"/>
                <w:szCs w:val="20"/>
                <w:highlight w:val="yellow"/>
              </w:rPr>
            </w:pPr>
            <w:r w:rsidRPr="00E746F1">
              <w:rPr>
                <w:rFonts w:hAnsiTheme="minorHAnsi" w:cstheme="minorHAnsi"/>
                <w:sz w:val="20"/>
                <w:szCs w:val="20"/>
              </w:rPr>
              <w:t>ND</w:t>
            </w:r>
          </w:p>
        </w:tc>
        <w:tc>
          <w:tcPr>
            <w:tcW w:w="1915" w:type="dxa"/>
            <w:gridSpan w:val="2"/>
            <w:tcBorders>
              <w:top w:val="single" w:sz="4" w:space="0" w:color="FFFFFF" w:themeColor="background1"/>
            </w:tcBorders>
            <w:vAlign w:val="center"/>
          </w:tcPr>
          <w:p w14:paraId="61C9A0B6" w14:textId="1EB3724F" w:rsidR="00BD3154" w:rsidRPr="00E746F1" w:rsidRDefault="00BD3154" w:rsidP="007B0FDC">
            <w:pPr>
              <w:jc w:val="center"/>
              <w:rPr>
                <w:sz w:val="20"/>
                <w:szCs w:val="20"/>
                <w:highlight w:val="yellow"/>
              </w:rPr>
            </w:pPr>
            <w:r w:rsidRPr="00E746F1">
              <w:rPr>
                <w:rFonts w:hAnsiTheme="minorHAnsi" w:cstheme="minorHAnsi"/>
                <w:sz w:val="20"/>
                <w:szCs w:val="20"/>
              </w:rPr>
              <w:t>ND</w:t>
            </w:r>
          </w:p>
        </w:tc>
      </w:tr>
      <w:tr w:rsidR="00BD3154" w:rsidRPr="00E746F1" w14:paraId="4129B1D7" w14:textId="77777777" w:rsidTr="007B0FDC">
        <w:trPr>
          <w:gridAfter w:val="1"/>
          <w:wAfter w:w="38" w:type="dxa"/>
        </w:trPr>
        <w:tc>
          <w:tcPr>
            <w:tcW w:w="437" w:type="dxa"/>
          </w:tcPr>
          <w:p w14:paraId="72710449" w14:textId="5C9EEF1B" w:rsidR="00BD3154" w:rsidRPr="00E746F1" w:rsidRDefault="00BD3154" w:rsidP="00BD3154">
            <w:pPr>
              <w:rPr>
                <w:b/>
                <w:sz w:val="20"/>
                <w:szCs w:val="20"/>
              </w:rPr>
            </w:pPr>
            <w:r w:rsidRPr="00E746F1">
              <w:rPr>
                <w:b/>
                <w:sz w:val="20"/>
                <w:szCs w:val="20"/>
              </w:rPr>
              <w:t>2</w:t>
            </w:r>
          </w:p>
        </w:tc>
        <w:tc>
          <w:tcPr>
            <w:tcW w:w="3311" w:type="dxa"/>
          </w:tcPr>
          <w:p w14:paraId="74BE51D6" w14:textId="5D505271" w:rsidR="00BD3154" w:rsidRPr="00E746F1" w:rsidRDefault="00BD3154" w:rsidP="00BD3154">
            <w:pPr>
              <w:jc w:val="both"/>
              <w:rPr>
                <w:sz w:val="20"/>
                <w:szCs w:val="20"/>
              </w:rPr>
            </w:pPr>
            <w:r w:rsidRPr="00E746F1">
              <w:rPr>
                <w:sz w:val="20"/>
                <w:szCs w:val="20"/>
              </w:rPr>
              <w:t>Projet de dérivation contrôlée et de valorisation des eaux de crue pour la restauration des lacs, mares et zones humides dans le Delta intérieur du Niger et construction d’un ouvrage de dérivation à Tondifarma</w:t>
            </w:r>
            <w:r w:rsidR="00942825" w:rsidRPr="00E746F1">
              <w:rPr>
                <w:sz w:val="20"/>
                <w:szCs w:val="20"/>
              </w:rPr>
              <w:t>.</w:t>
            </w:r>
            <w:r w:rsidRPr="00E746F1">
              <w:rPr>
                <w:sz w:val="20"/>
                <w:szCs w:val="20"/>
              </w:rPr>
              <w:t xml:space="preserve"> </w:t>
            </w:r>
          </w:p>
        </w:tc>
        <w:tc>
          <w:tcPr>
            <w:tcW w:w="2026" w:type="dxa"/>
            <w:vAlign w:val="center"/>
          </w:tcPr>
          <w:p w14:paraId="44567F8B" w14:textId="220E745A" w:rsidR="00BD3154" w:rsidRPr="00E746F1" w:rsidRDefault="00BD3154" w:rsidP="007B0FDC">
            <w:pPr>
              <w:jc w:val="center"/>
              <w:rPr>
                <w:sz w:val="20"/>
                <w:szCs w:val="20"/>
              </w:rPr>
            </w:pPr>
            <w:r w:rsidRPr="00E746F1">
              <w:rPr>
                <w:rFonts w:eastAsia="Times New Roman"/>
                <w:b/>
                <w:color w:val="000000"/>
                <w:sz w:val="20"/>
                <w:szCs w:val="20"/>
                <w:lang w:eastAsia="fr-FR"/>
              </w:rPr>
              <w:t>98,5 Milliards F CFA</w:t>
            </w:r>
          </w:p>
        </w:tc>
        <w:tc>
          <w:tcPr>
            <w:tcW w:w="1717" w:type="dxa"/>
            <w:vAlign w:val="center"/>
          </w:tcPr>
          <w:p w14:paraId="4567DAA0" w14:textId="69EA3281" w:rsidR="00BD3154" w:rsidRPr="00E746F1" w:rsidRDefault="00BD3154" w:rsidP="007B0FDC">
            <w:pPr>
              <w:jc w:val="center"/>
              <w:rPr>
                <w:sz w:val="20"/>
                <w:szCs w:val="20"/>
                <w:highlight w:val="yellow"/>
              </w:rPr>
            </w:pPr>
            <w:r w:rsidRPr="00E746F1">
              <w:rPr>
                <w:rFonts w:hAnsiTheme="minorHAnsi" w:cstheme="minorHAnsi"/>
                <w:sz w:val="20"/>
                <w:szCs w:val="20"/>
              </w:rPr>
              <w:t>ND</w:t>
            </w:r>
          </w:p>
        </w:tc>
        <w:tc>
          <w:tcPr>
            <w:tcW w:w="1877" w:type="dxa"/>
            <w:vAlign w:val="center"/>
          </w:tcPr>
          <w:p w14:paraId="3C3B11E1" w14:textId="3E59B38F" w:rsidR="00BD3154" w:rsidRPr="00E746F1" w:rsidRDefault="00BD3154" w:rsidP="007B0FDC">
            <w:pPr>
              <w:jc w:val="center"/>
              <w:rPr>
                <w:sz w:val="20"/>
                <w:szCs w:val="20"/>
                <w:highlight w:val="yellow"/>
              </w:rPr>
            </w:pPr>
            <w:r w:rsidRPr="00E746F1">
              <w:rPr>
                <w:rFonts w:hAnsiTheme="minorHAnsi" w:cstheme="minorHAnsi"/>
                <w:sz w:val="20"/>
                <w:szCs w:val="20"/>
              </w:rPr>
              <w:t>ND</w:t>
            </w:r>
          </w:p>
        </w:tc>
      </w:tr>
    </w:tbl>
    <w:p w14:paraId="16496F1F" w14:textId="77777777" w:rsidR="00BF35C4" w:rsidRPr="00332D2B" w:rsidRDefault="00BF35C4" w:rsidP="00BF35C4"/>
    <w:p w14:paraId="4BFA5FB2" w14:textId="42B721EC" w:rsidR="00C8081F" w:rsidRDefault="00C8081F" w:rsidP="002C3767">
      <w:pPr>
        <w:pStyle w:val="Titre3"/>
        <w:numPr>
          <w:ilvl w:val="2"/>
          <w:numId w:val="21"/>
        </w:numPr>
      </w:pPr>
      <w:bookmarkStart w:id="111" w:name="_Toc234853900"/>
      <w:r w:rsidRPr="00332D2B">
        <w:t>Risques climatiques ciblés</w:t>
      </w:r>
      <w:bookmarkEnd w:id="111"/>
      <w:r w:rsidRPr="00332D2B">
        <w:t xml:space="preserve"> </w:t>
      </w:r>
    </w:p>
    <w:p w14:paraId="3273CBE3" w14:textId="25EE6A34" w:rsidR="00B743B9" w:rsidRPr="00B743B9" w:rsidRDefault="00C57644" w:rsidP="0022238B">
      <w:pPr>
        <w:spacing w:after="120" w:line="300" w:lineRule="atLeast"/>
        <w:jc w:val="both"/>
      </w:pPr>
      <w:r w:rsidRPr="00C57644">
        <w:t>Les projets identifiés contribuent à la réduction des principaux risques climatiques et hydrométéorologiques auxquels le Mali est confronté</w:t>
      </w:r>
      <w:r w:rsidR="00925DAB">
        <w:t xml:space="preserve"> </w:t>
      </w:r>
      <w:r w:rsidRPr="00C57644">
        <w:t xml:space="preserve"> Le premier projet, portant sur l’aménagement hydraulique à usages multiples du bassin Bagoé</w:t>
      </w:r>
      <w:r w:rsidR="000E6FB3">
        <w:t>-</w:t>
      </w:r>
      <w:r w:rsidRPr="00C57644">
        <w:t>Bani, contribue à réduire les risques de sécheresse et d’inondation grâce à la régulation durable des débits du fleuve et à la mise en place d’ouvrages adaptés de gestion des ressources en eau et des risques hydrologiques</w:t>
      </w:r>
      <w:r w:rsidR="00925DAB">
        <w:t xml:space="preserve"> </w:t>
      </w:r>
      <w:r w:rsidRPr="00C57644">
        <w:t xml:space="preserve"> </w:t>
      </w:r>
      <w:r>
        <w:t xml:space="preserve">Quant au </w:t>
      </w:r>
      <w:r w:rsidRPr="00C57644">
        <w:t>deuxième projet, relatif à la dérivation contrôlée et à la valorisation des eaux de crue dans le Delta intérieur du Niger autour de l’ouvrage stratégique de Tondifarma, contribue à la réduction des risques d’inondation, de sécheresse et d’ensablement à travers l’écrêtement des pics de crue, le stockage et la redistribution progressive des eaux excédentaires, ainsi que la restauration et le reprofilage des chenaux et systèmes lacustres</w:t>
      </w:r>
      <w:r w:rsidR="00925DAB">
        <w:t xml:space="preserve"> </w:t>
      </w:r>
    </w:p>
    <w:tbl>
      <w:tblPr>
        <w:tblStyle w:val="Grilledutableau"/>
        <w:tblW w:w="0" w:type="auto"/>
        <w:tblBorders>
          <w:insideH w:val="single" w:sz="12" w:space="0" w:color="2F5496" w:themeColor="accent5" w:themeShade="BF"/>
        </w:tblBorders>
        <w:shd w:val="clear" w:color="auto" w:fill="EDF1F9"/>
        <w:tblLook w:val="04A0" w:firstRow="1" w:lastRow="0" w:firstColumn="1" w:lastColumn="0" w:noHBand="0" w:noVBand="1"/>
      </w:tblPr>
      <w:tblGrid>
        <w:gridCol w:w="328"/>
        <w:gridCol w:w="5117"/>
        <w:gridCol w:w="1283"/>
        <w:gridCol w:w="529"/>
        <w:gridCol w:w="754"/>
        <w:gridCol w:w="1405"/>
      </w:tblGrid>
      <w:tr w:rsidR="007F39B1" w:rsidRPr="00B743B9" w14:paraId="22D2C91E" w14:textId="77777777" w:rsidTr="007F39B1">
        <w:trPr>
          <w:trHeight w:val="488"/>
        </w:trPr>
        <w:tc>
          <w:tcPr>
            <w:tcW w:w="328" w:type="dxa"/>
            <w:vMerge w:val="restart"/>
            <w:shd w:val="clear" w:color="auto" w:fill="EDF1F9"/>
            <w:vAlign w:val="center"/>
          </w:tcPr>
          <w:p w14:paraId="32321117" w14:textId="197399AA" w:rsidR="00551C91" w:rsidRPr="00B743B9" w:rsidRDefault="00551C91" w:rsidP="00B743B9">
            <w:pPr>
              <w:jc w:val="center"/>
              <w:rPr>
                <w:b/>
                <w:bCs/>
              </w:rPr>
            </w:pPr>
            <w:r w:rsidRPr="00B743B9">
              <w:rPr>
                <w:b/>
                <w:bCs/>
              </w:rPr>
              <w:t>1</w:t>
            </w:r>
          </w:p>
        </w:tc>
        <w:tc>
          <w:tcPr>
            <w:tcW w:w="5220" w:type="dxa"/>
            <w:vMerge w:val="restart"/>
            <w:shd w:val="clear" w:color="auto" w:fill="EDF1F9"/>
          </w:tcPr>
          <w:p w14:paraId="61CE86B4" w14:textId="77777777" w:rsidR="00ED546F" w:rsidRDefault="00ED546F" w:rsidP="00B743B9">
            <w:pPr>
              <w:jc w:val="both"/>
            </w:pPr>
          </w:p>
          <w:p w14:paraId="73E9A425" w14:textId="14052FDC" w:rsidR="00551C91" w:rsidRDefault="00551C91" w:rsidP="00B743B9">
            <w:pPr>
              <w:jc w:val="both"/>
            </w:pPr>
            <w:r w:rsidRPr="00172D4A">
              <w:t>Programme d’aménagement hydraulique à usages multiples du bassin du Bagoe</w:t>
            </w:r>
            <w:r w:rsidR="000E6FB3">
              <w:t>-</w:t>
            </w:r>
            <w:r w:rsidRPr="00172D4A">
              <w:t>Bani en appui à la sécurité hydrique, agricole et énergétique</w:t>
            </w:r>
            <w:r w:rsidR="00942825">
              <w:t>.</w:t>
            </w:r>
            <w:r w:rsidR="00925DAB">
              <w:t xml:space="preserve"> </w:t>
            </w:r>
          </w:p>
          <w:p w14:paraId="45C65C6C" w14:textId="683B9474" w:rsidR="00551C91" w:rsidRPr="00B743B9" w:rsidRDefault="00551C91" w:rsidP="00B743B9">
            <w:pPr>
              <w:jc w:val="both"/>
              <w:rPr>
                <w:b/>
                <w:bCs/>
              </w:rPr>
            </w:pPr>
          </w:p>
        </w:tc>
        <w:tc>
          <w:tcPr>
            <w:tcW w:w="1814" w:type="dxa"/>
            <w:gridSpan w:val="2"/>
            <w:tcBorders>
              <w:top w:val="nil"/>
              <w:bottom w:val="nil"/>
            </w:tcBorders>
            <w:shd w:val="clear" w:color="auto" w:fill="EDF1F9"/>
            <w:vAlign w:val="center"/>
          </w:tcPr>
          <w:p w14:paraId="20F9064A" w14:textId="7FAEAFA3" w:rsidR="00551C91" w:rsidRPr="00B743B9" w:rsidRDefault="00551C91" w:rsidP="00551C91">
            <w:pPr>
              <w:jc w:val="center"/>
              <w:rPr>
                <w:b/>
                <w:bCs/>
              </w:rPr>
            </w:pPr>
            <w:r>
              <w:rPr>
                <w:b/>
                <w:bCs/>
              </w:rPr>
              <w:t>Sécheresse</w:t>
            </w:r>
          </w:p>
        </w:tc>
        <w:tc>
          <w:tcPr>
            <w:tcW w:w="2041" w:type="dxa"/>
            <w:gridSpan w:val="2"/>
            <w:tcBorders>
              <w:top w:val="nil"/>
              <w:bottom w:val="nil"/>
            </w:tcBorders>
            <w:shd w:val="clear" w:color="auto" w:fill="EDF1F9"/>
            <w:vAlign w:val="center"/>
          </w:tcPr>
          <w:p w14:paraId="65D4767F" w14:textId="77216B52" w:rsidR="00551C91" w:rsidRPr="00B743B9" w:rsidRDefault="00551C91" w:rsidP="00551C91">
            <w:pPr>
              <w:jc w:val="center"/>
              <w:rPr>
                <w:b/>
                <w:bCs/>
              </w:rPr>
            </w:pPr>
            <w:r>
              <w:rPr>
                <w:b/>
                <w:bCs/>
              </w:rPr>
              <w:t>Inondation</w:t>
            </w:r>
          </w:p>
        </w:tc>
      </w:tr>
      <w:tr w:rsidR="007F39B1" w:rsidRPr="00B743B9" w14:paraId="73B05345" w14:textId="77777777" w:rsidTr="004039CB">
        <w:trPr>
          <w:trHeight w:val="718"/>
        </w:trPr>
        <w:tc>
          <w:tcPr>
            <w:tcW w:w="328" w:type="dxa"/>
            <w:vMerge/>
            <w:shd w:val="clear" w:color="auto" w:fill="EDF1F9"/>
            <w:vAlign w:val="center"/>
          </w:tcPr>
          <w:p w14:paraId="61291670" w14:textId="77777777" w:rsidR="00551C91" w:rsidRPr="00B743B9" w:rsidRDefault="00551C91" w:rsidP="00B743B9">
            <w:pPr>
              <w:jc w:val="center"/>
              <w:rPr>
                <w:b/>
                <w:bCs/>
              </w:rPr>
            </w:pPr>
          </w:p>
        </w:tc>
        <w:tc>
          <w:tcPr>
            <w:tcW w:w="5220" w:type="dxa"/>
            <w:vMerge/>
            <w:shd w:val="clear" w:color="auto" w:fill="EDF1F9"/>
          </w:tcPr>
          <w:p w14:paraId="004EB164" w14:textId="77777777" w:rsidR="00551C91" w:rsidRPr="00172D4A" w:rsidRDefault="00551C91" w:rsidP="00B743B9">
            <w:pPr>
              <w:jc w:val="both"/>
            </w:pPr>
          </w:p>
        </w:tc>
        <w:tc>
          <w:tcPr>
            <w:tcW w:w="1814" w:type="dxa"/>
            <w:gridSpan w:val="2"/>
            <w:tcBorders>
              <w:top w:val="nil"/>
              <w:bottom w:val="single" w:sz="12" w:space="0" w:color="2F5496" w:themeColor="accent5" w:themeShade="BF"/>
            </w:tcBorders>
            <w:shd w:val="clear" w:color="auto" w:fill="EDF1F9"/>
          </w:tcPr>
          <w:p w14:paraId="27804EF3" w14:textId="1EC38319" w:rsidR="00551C91" w:rsidRPr="007969E0" w:rsidRDefault="00551C91" w:rsidP="00B743B9">
            <w:r w:rsidRPr="007969E0">
              <w:rPr>
                <w:noProof/>
              </w:rPr>
              <w:drawing>
                <wp:anchor distT="0" distB="0" distL="114300" distR="114300" simplePos="0" relativeHeight="251658245" behindDoc="0" locked="0" layoutInCell="1" allowOverlap="1" wp14:anchorId="01E9396E" wp14:editId="67B8585A">
                  <wp:simplePos x="0" y="0"/>
                  <wp:positionH relativeFrom="column">
                    <wp:posOffset>396272</wp:posOffset>
                  </wp:positionH>
                  <wp:positionV relativeFrom="paragraph">
                    <wp:posOffset>-17780</wp:posOffset>
                  </wp:positionV>
                  <wp:extent cx="340344" cy="340344"/>
                  <wp:effectExtent l="0" t="0" r="3175" b="3175"/>
                  <wp:wrapNone/>
                  <wp:docPr id="8" name="Image 7">
                    <a:extLst xmlns:a="http://schemas.openxmlformats.org/drawingml/2006/main">
                      <a:ext uri="{FF2B5EF4-FFF2-40B4-BE49-F238E27FC236}">
                        <a16:creationId xmlns:a16="http://schemas.microsoft.com/office/drawing/2014/main" id="{69138AEB-6BCC-DE84-AF67-39169FCDFC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69138AEB-6BCC-DE84-AF67-39169FCDFC18}"/>
                              </a:ext>
                            </a:extLst>
                          </pic:cNvPr>
                          <pic:cNvPicPr>
                            <a:picLocks noChangeAspect="1"/>
                          </pic:cNvPicPr>
                        </pic:nvPicPr>
                        <pic:blipFill>
                          <a:blip r:embed="rId30">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40344" cy="340344"/>
                          </a:xfrm>
                          <a:prstGeom prst="rect">
                            <a:avLst/>
                          </a:prstGeom>
                        </pic:spPr>
                      </pic:pic>
                    </a:graphicData>
                  </a:graphic>
                  <wp14:sizeRelH relativeFrom="margin">
                    <wp14:pctWidth>0</wp14:pctWidth>
                  </wp14:sizeRelH>
                  <wp14:sizeRelV relativeFrom="margin">
                    <wp14:pctHeight>0</wp14:pctHeight>
                  </wp14:sizeRelV>
                </wp:anchor>
              </w:drawing>
            </w:r>
          </w:p>
        </w:tc>
        <w:tc>
          <w:tcPr>
            <w:tcW w:w="2041" w:type="dxa"/>
            <w:gridSpan w:val="2"/>
            <w:tcBorders>
              <w:top w:val="nil"/>
              <w:bottom w:val="single" w:sz="12" w:space="0" w:color="2F5496" w:themeColor="accent5" w:themeShade="BF"/>
            </w:tcBorders>
            <w:shd w:val="clear" w:color="auto" w:fill="EDF1F9"/>
          </w:tcPr>
          <w:p w14:paraId="65F7EF9D" w14:textId="067930F3" w:rsidR="00551C91" w:rsidRPr="007969E0" w:rsidRDefault="00551C91" w:rsidP="00B743B9">
            <w:r w:rsidRPr="007969E0">
              <w:rPr>
                <w:noProof/>
              </w:rPr>
              <w:drawing>
                <wp:anchor distT="0" distB="0" distL="114300" distR="114300" simplePos="0" relativeHeight="251658246" behindDoc="0" locked="0" layoutInCell="1" allowOverlap="1" wp14:anchorId="01431E97" wp14:editId="36BD213D">
                  <wp:simplePos x="0" y="0"/>
                  <wp:positionH relativeFrom="column">
                    <wp:posOffset>445384</wp:posOffset>
                  </wp:positionH>
                  <wp:positionV relativeFrom="paragraph">
                    <wp:posOffset>29845</wp:posOffset>
                  </wp:positionV>
                  <wp:extent cx="338400" cy="338400"/>
                  <wp:effectExtent l="0" t="0" r="5080" b="5080"/>
                  <wp:wrapNone/>
                  <wp:docPr id="9" name="Image 8">
                    <a:extLst xmlns:a="http://schemas.openxmlformats.org/drawingml/2006/main">
                      <a:ext uri="{FF2B5EF4-FFF2-40B4-BE49-F238E27FC236}">
                        <a16:creationId xmlns:a16="http://schemas.microsoft.com/office/drawing/2014/main" id="{4CEAFBD5-751E-C7CB-C0C5-021262199B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4CEAFBD5-751E-C7CB-C0C5-021262199BB1}"/>
                              </a:ext>
                            </a:extLst>
                          </pic:cNvPr>
                          <pic:cNvPicPr>
                            <a:picLocks noChangeAspect="1"/>
                          </pic:cNvPicPr>
                        </pic:nvPicPr>
                        <pic:blipFill>
                          <a:blip r:embed="rId31">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38400" cy="338400"/>
                          </a:xfrm>
                          <a:prstGeom prst="rect">
                            <a:avLst/>
                          </a:prstGeom>
                        </pic:spPr>
                      </pic:pic>
                    </a:graphicData>
                  </a:graphic>
                  <wp14:sizeRelH relativeFrom="margin">
                    <wp14:pctWidth>0</wp14:pctWidth>
                  </wp14:sizeRelH>
                  <wp14:sizeRelV relativeFrom="margin">
                    <wp14:pctHeight>0</wp14:pctHeight>
                  </wp14:sizeRelV>
                </wp:anchor>
              </w:drawing>
            </w:r>
          </w:p>
        </w:tc>
      </w:tr>
      <w:tr w:rsidR="007F39B1" w:rsidRPr="00B743B9" w14:paraId="6E8742F7" w14:textId="77777777" w:rsidTr="007F39B1">
        <w:trPr>
          <w:trHeight w:val="283"/>
        </w:trPr>
        <w:tc>
          <w:tcPr>
            <w:tcW w:w="328" w:type="dxa"/>
            <w:vMerge w:val="restart"/>
            <w:shd w:val="clear" w:color="auto" w:fill="EDF1F9"/>
            <w:vAlign w:val="center"/>
          </w:tcPr>
          <w:p w14:paraId="0B7A5BB8" w14:textId="02DAD113" w:rsidR="007F39B1" w:rsidRPr="00B743B9" w:rsidRDefault="007F39B1" w:rsidP="00B743B9">
            <w:pPr>
              <w:jc w:val="center"/>
              <w:rPr>
                <w:b/>
                <w:bCs/>
              </w:rPr>
            </w:pPr>
            <w:r w:rsidRPr="00B743B9">
              <w:rPr>
                <w:b/>
                <w:bCs/>
              </w:rPr>
              <w:t>2</w:t>
            </w:r>
          </w:p>
        </w:tc>
        <w:tc>
          <w:tcPr>
            <w:tcW w:w="5220" w:type="dxa"/>
            <w:vMerge w:val="restart"/>
            <w:shd w:val="clear" w:color="auto" w:fill="EDF1F9"/>
          </w:tcPr>
          <w:p w14:paraId="701D50D2" w14:textId="2609B422" w:rsidR="007F39B1" w:rsidRPr="00B743B9" w:rsidRDefault="007F39B1" w:rsidP="00B743B9">
            <w:pPr>
              <w:spacing w:before="120"/>
              <w:jc w:val="both"/>
              <w:rPr>
                <w:b/>
                <w:bCs/>
              </w:rPr>
            </w:pPr>
            <w:r w:rsidRPr="00A0394D">
              <w:t>Projet de dérivation contrôlée et de valorisation des eaux de crue pour la restauration des lacs, mares et zones humides dans le Delta intérieur du Niger et construction d’un ouvrage de dérivation à Tondifarma</w:t>
            </w:r>
            <w:r w:rsidR="00942825">
              <w:t>.</w:t>
            </w:r>
            <w:r w:rsidR="00925DAB">
              <w:t xml:space="preserve"> </w:t>
            </w:r>
          </w:p>
        </w:tc>
        <w:tc>
          <w:tcPr>
            <w:tcW w:w="1285" w:type="dxa"/>
            <w:tcBorders>
              <w:top w:val="single" w:sz="12" w:space="0" w:color="2F5496" w:themeColor="accent5" w:themeShade="BF"/>
              <w:bottom w:val="nil"/>
            </w:tcBorders>
            <w:shd w:val="clear" w:color="auto" w:fill="EDF1F9"/>
          </w:tcPr>
          <w:p w14:paraId="32E94E7F" w14:textId="4A88A69A" w:rsidR="007F39B1" w:rsidRPr="00B743B9" w:rsidRDefault="007F39B1" w:rsidP="007F39B1">
            <w:pPr>
              <w:rPr>
                <w:b/>
                <w:bCs/>
              </w:rPr>
            </w:pPr>
            <w:r>
              <w:rPr>
                <w:b/>
                <w:bCs/>
              </w:rPr>
              <w:t>Sécheresse</w:t>
            </w:r>
          </w:p>
        </w:tc>
        <w:tc>
          <w:tcPr>
            <w:tcW w:w="1285" w:type="dxa"/>
            <w:gridSpan w:val="2"/>
            <w:tcBorders>
              <w:top w:val="single" w:sz="12" w:space="0" w:color="2F5496" w:themeColor="accent5" w:themeShade="BF"/>
              <w:bottom w:val="nil"/>
            </w:tcBorders>
            <w:shd w:val="clear" w:color="auto" w:fill="EDF1F9"/>
          </w:tcPr>
          <w:p w14:paraId="4E745D44" w14:textId="188CD1BE" w:rsidR="007F39B1" w:rsidRDefault="007F39B1" w:rsidP="00B743B9">
            <w:pPr>
              <w:rPr>
                <w:b/>
                <w:bCs/>
              </w:rPr>
            </w:pPr>
            <w:r>
              <w:rPr>
                <w:b/>
                <w:bCs/>
              </w:rPr>
              <w:t>Inondation</w:t>
            </w:r>
          </w:p>
        </w:tc>
        <w:tc>
          <w:tcPr>
            <w:tcW w:w="1285" w:type="dxa"/>
            <w:tcBorders>
              <w:top w:val="single" w:sz="12" w:space="0" w:color="2F5496" w:themeColor="accent5" w:themeShade="BF"/>
              <w:bottom w:val="nil"/>
            </w:tcBorders>
            <w:shd w:val="clear" w:color="auto" w:fill="EDF1F9"/>
          </w:tcPr>
          <w:p w14:paraId="2FB28439" w14:textId="3FFA659D" w:rsidR="007F39B1" w:rsidRPr="00B743B9" w:rsidRDefault="007F39B1" w:rsidP="00B743B9">
            <w:pPr>
              <w:rPr>
                <w:b/>
                <w:bCs/>
              </w:rPr>
            </w:pPr>
            <w:r>
              <w:rPr>
                <w:b/>
                <w:bCs/>
              </w:rPr>
              <w:t>Ensablement</w:t>
            </w:r>
          </w:p>
        </w:tc>
      </w:tr>
      <w:tr w:rsidR="007F39B1" w:rsidRPr="00B743B9" w14:paraId="09CA1445" w14:textId="77777777" w:rsidTr="007F39B1">
        <w:trPr>
          <w:trHeight w:val="283"/>
        </w:trPr>
        <w:tc>
          <w:tcPr>
            <w:tcW w:w="328" w:type="dxa"/>
            <w:vMerge/>
            <w:shd w:val="clear" w:color="auto" w:fill="EDF1F9"/>
            <w:vAlign w:val="center"/>
          </w:tcPr>
          <w:p w14:paraId="51E6DE3E" w14:textId="77777777" w:rsidR="007F39B1" w:rsidRPr="00B743B9" w:rsidRDefault="007F39B1" w:rsidP="00B743B9">
            <w:pPr>
              <w:jc w:val="center"/>
              <w:rPr>
                <w:b/>
                <w:bCs/>
              </w:rPr>
            </w:pPr>
          </w:p>
        </w:tc>
        <w:tc>
          <w:tcPr>
            <w:tcW w:w="5220" w:type="dxa"/>
            <w:vMerge/>
            <w:shd w:val="clear" w:color="auto" w:fill="EDF1F9"/>
          </w:tcPr>
          <w:p w14:paraId="20E8C292" w14:textId="77777777" w:rsidR="007F39B1" w:rsidRPr="00A0394D" w:rsidRDefault="007F39B1" w:rsidP="00B743B9">
            <w:pPr>
              <w:spacing w:before="120"/>
              <w:jc w:val="both"/>
            </w:pPr>
          </w:p>
        </w:tc>
        <w:tc>
          <w:tcPr>
            <w:tcW w:w="1285" w:type="dxa"/>
            <w:tcBorders>
              <w:top w:val="nil"/>
              <w:bottom w:val="nil"/>
            </w:tcBorders>
            <w:shd w:val="clear" w:color="auto" w:fill="EDF1F9"/>
          </w:tcPr>
          <w:p w14:paraId="6B07517E" w14:textId="6059CCA9" w:rsidR="007F39B1" w:rsidRPr="007969E0" w:rsidRDefault="007F39B1" w:rsidP="00B743B9">
            <w:r w:rsidRPr="007969E0">
              <w:rPr>
                <w:noProof/>
              </w:rPr>
              <w:drawing>
                <wp:anchor distT="0" distB="0" distL="114300" distR="114300" simplePos="0" relativeHeight="251658247" behindDoc="0" locked="0" layoutInCell="1" allowOverlap="1" wp14:anchorId="48030C3C" wp14:editId="6FF0BD44">
                  <wp:simplePos x="0" y="0"/>
                  <wp:positionH relativeFrom="column">
                    <wp:posOffset>156845</wp:posOffset>
                  </wp:positionH>
                  <wp:positionV relativeFrom="paragraph">
                    <wp:posOffset>112500</wp:posOffset>
                  </wp:positionV>
                  <wp:extent cx="340344" cy="340344"/>
                  <wp:effectExtent l="0" t="0" r="3175" b="3175"/>
                  <wp:wrapNone/>
                  <wp:docPr id="1127542919" name="Image 7">
                    <a:extLst xmlns:a="http://schemas.openxmlformats.org/drawingml/2006/main">
                      <a:ext uri="{FF2B5EF4-FFF2-40B4-BE49-F238E27FC236}">
                        <a16:creationId xmlns:a16="http://schemas.microsoft.com/office/drawing/2014/main" id="{69138AEB-6BCC-DE84-AF67-39169FCDFC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69138AEB-6BCC-DE84-AF67-39169FCDFC18}"/>
                              </a:ext>
                            </a:extLst>
                          </pic:cNvPr>
                          <pic:cNvPicPr>
                            <a:picLocks noChangeAspect="1"/>
                          </pic:cNvPicPr>
                        </pic:nvPicPr>
                        <pic:blipFill>
                          <a:blip r:embed="rId30">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40344" cy="340344"/>
                          </a:xfrm>
                          <a:prstGeom prst="rect">
                            <a:avLst/>
                          </a:prstGeom>
                        </pic:spPr>
                      </pic:pic>
                    </a:graphicData>
                  </a:graphic>
                  <wp14:sizeRelH relativeFrom="margin">
                    <wp14:pctWidth>0</wp14:pctWidth>
                  </wp14:sizeRelH>
                  <wp14:sizeRelV relativeFrom="margin">
                    <wp14:pctHeight>0</wp14:pctHeight>
                  </wp14:sizeRelV>
                </wp:anchor>
              </w:drawing>
            </w:r>
          </w:p>
        </w:tc>
        <w:tc>
          <w:tcPr>
            <w:tcW w:w="1285" w:type="dxa"/>
            <w:gridSpan w:val="2"/>
            <w:tcBorders>
              <w:top w:val="nil"/>
              <w:bottom w:val="nil"/>
            </w:tcBorders>
            <w:shd w:val="clear" w:color="auto" w:fill="EDF1F9"/>
          </w:tcPr>
          <w:p w14:paraId="12CE2C70" w14:textId="72D16D20" w:rsidR="007F39B1" w:rsidRPr="007969E0" w:rsidRDefault="007F39B1" w:rsidP="00B743B9">
            <w:r w:rsidRPr="007969E0">
              <w:rPr>
                <w:noProof/>
              </w:rPr>
              <w:drawing>
                <wp:anchor distT="0" distB="0" distL="114300" distR="114300" simplePos="0" relativeHeight="251658248" behindDoc="0" locked="0" layoutInCell="1" allowOverlap="1" wp14:anchorId="6E69E3F2" wp14:editId="4FA5C0E3">
                  <wp:simplePos x="0" y="0"/>
                  <wp:positionH relativeFrom="column">
                    <wp:posOffset>132715</wp:posOffset>
                  </wp:positionH>
                  <wp:positionV relativeFrom="paragraph">
                    <wp:posOffset>152271</wp:posOffset>
                  </wp:positionV>
                  <wp:extent cx="337820" cy="337820"/>
                  <wp:effectExtent l="0" t="0" r="5080" b="5080"/>
                  <wp:wrapNone/>
                  <wp:docPr id="2058209130" name="Image 8">
                    <a:extLst xmlns:a="http://schemas.openxmlformats.org/drawingml/2006/main">
                      <a:ext uri="{FF2B5EF4-FFF2-40B4-BE49-F238E27FC236}">
                        <a16:creationId xmlns:a16="http://schemas.microsoft.com/office/drawing/2014/main" id="{4CEAFBD5-751E-C7CB-C0C5-021262199B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4CEAFBD5-751E-C7CB-C0C5-021262199BB1}"/>
                              </a:ext>
                            </a:extLst>
                          </pic:cNvPr>
                          <pic:cNvPicPr>
                            <a:picLocks noChangeAspect="1"/>
                          </pic:cNvPicPr>
                        </pic:nvPicPr>
                        <pic:blipFill>
                          <a:blip r:embed="rId31">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37820" cy="337820"/>
                          </a:xfrm>
                          <a:prstGeom prst="rect">
                            <a:avLst/>
                          </a:prstGeom>
                        </pic:spPr>
                      </pic:pic>
                    </a:graphicData>
                  </a:graphic>
                  <wp14:sizeRelH relativeFrom="margin">
                    <wp14:pctWidth>0</wp14:pctWidth>
                  </wp14:sizeRelH>
                  <wp14:sizeRelV relativeFrom="margin">
                    <wp14:pctHeight>0</wp14:pctHeight>
                  </wp14:sizeRelV>
                </wp:anchor>
              </w:drawing>
            </w:r>
          </w:p>
        </w:tc>
        <w:tc>
          <w:tcPr>
            <w:tcW w:w="1285" w:type="dxa"/>
            <w:tcBorders>
              <w:top w:val="nil"/>
              <w:bottom w:val="nil"/>
            </w:tcBorders>
            <w:shd w:val="clear" w:color="auto" w:fill="EDF1F9"/>
          </w:tcPr>
          <w:p w14:paraId="1C7D30E9" w14:textId="1919215E" w:rsidR="007F39B1" w:rsidRPr="007969E0" w:rsidRDefault="007F39B1" w:rsidP="00B743B9">
            <w:r>
              <w:rPr>
                <w:b/>
                <w:bCs/>
                <w:noProof/>
              </w:rPr>
              <w:drawing>
                <wp:anchor distT="0" distB="0" distL="114300" distR="114300" simplePos="0" relativeHeight="251658249" behindDoc="1" locked="0" layoutInCell="1" allowOverlap="1" wp14:anchorId="040E76F7" wp14:editId="6D6B1AF3">
                  <wp:simplePos x="0" y="0"/>
                  <wp:positionH relativeFrom="column">
                    <wp:posOffset>96520</wp:posOffset>
                  </wp:positionH>
                  <wp:positionV relativeFrom="paragraph">
                    <wp:posOffset>151637</wp:posOffset>
                  </wp:positionV>
                  <wp:extent cx="439420" cy="293370"/>
                  <wp:effectExtent l="0" t="0" r="0" b="0"/>
                  <wp:wrapThrough wrapText="bothSides">
                    <wp:wrapPolygon edited="0">
                      <wp:start x="4682" y="0"/>
                      <wp:lineTo x="0" y="8416"/>
                      <wp:lineTo x="0" y="19636"/>
                      <wp:lineTo x="20601" y="19636"/>
                      <wp:lineTo x="20601" y="15429"/>
                      <wp:lineTo x="15919" y="2805"/>
                      <wp:lineTo x="13110" y="0"/>
                      <wp:lineTo x="4682" y="0"/>
                    </wp:wrapPolygon>
                  </wp:wrapThrough>
                  <wp:docPr id="136646398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6463989" name="Image 1366463989"/>
                          <pic:cNvPicPr preferRelativeResize="0"/>
                        </pic:nvPicPr>
                        <pic:blipFill rotWithShape="1">
                          <a:blip r:embed="rId32" cstate="print">
                            <a:clrChange>
                              <a:clrFrom>
                                <a:srgbClr val="FEFEFE"/>
                              </a:clrFrom>
                              <a:clrTo>
                                <a:srgbClr val="FEFEFE">
                                  <a:alpha val="0"/>
                                </a:srgbClr>
                              </a:clrTo>
                            </a:clrChange>
                            <a:duotone>
                              <a:schemeClr val="accent5">
                                <a:shade val="45000"/>
                                <a:satMod val="135000"/>
                              </a:schemeClr>
                              <a:prstClr val="white"/>
                            </a:duotone>
                            <a:extLst>
                              <a:ext uri="{28A0092B-C50C-407E-A947-70E740481C1C}">
                                <a14:useLocalDpi xmlns:a14="http://schemas.microsoft.com/office/drawing/2010/main" val="0"/>
                              </a:ext>
                            </a:extLst>
                          </a:blip>
                          <a:srcRect l="4742" t="24967" b="28092"/>
                          <a:stretch/>
                        </pic:blipFill>
                        <pic:spPr bwMode="auto">
                          <a:xfrm>
                            <a:off x="0" y="0"/>
                            <a:ext cx="439420" cy="293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26820387" w14:textId="77777777" w:rsidR="00BF33EC" w:rsidRPr="00332D2B" w:rsidRDefault="00BF33EC" w:rsidP="00BF33EC"/>
    <w:p w14:paraId="40E11E81" w14:textId="44FE0253" w:rsidR="00C8081F" w:rsidRDefault="00C8081F" w:rsidP="00C8081F">
      <w:pPr>
        <w:pStyle w:val="Titre2"/>
      </w:pPr>
      <w:bookmarkStart w:id="112" w:name="_Toc234853901"/>
      <w:r>
        <w:lastRenderedPageBreak/>
        <w:t>Biodiversité</w:t>
      </w:r>
      <w:bookmarkEnd w:id="112"/>
    </w:p>
    <w:p w14:paraId="587F832F" w14:textId="1CAD1346" w:rsidR="00E914BA" w:rsidRDefault="00E914BA" w:rsidP="002C3767">
      <w:pPr>
        <w:pStyle w:val="Titre3"/>
        <w:numPr>
          <w:ilvl w:val="2"/>
          <w:numId w:val="21"/>
        </w:numPr>
      </w:pPr>
      <w:bookmarkStart w:id="113" w:name="_Toc234853902"/>
      <w:r>
        <w:t xml:space="preserve">Projets </w:t>
      </w:r>
      <w:r w:rsidRPr="00332D2B">
        <w:t>d’adaptation prioritaires retenus dans le cadre de la CDN 3</w:t>
      </w:r>
      <w:r w:rsidR="00925DAB">
        <w:t xml:space="preserve"> </w:t>
      </w:r>
      <w:r w:rsidRPr="00332D2B">
        <w:t>0</w:t>
      </w:r>
      <w:bookmarkEnd w:id="113"/>
      <w:r w:rsidRPr="00332D2B">
        <w:t xml:space="preserve"> </w:t>
      </w:r>
    </w:p>
    <w:p w14:paraId="7C93ABC0" w14:textId="08F888C4" w:rsidR="00ED546F" w:rsidRPr="008C1B8A" w:rsidRDefault="00AE0059" w:rsidP="003D7B10">
      <w:pPr>
        <w:spacing w:after="120" w:line="300" w:lineRule="atLeast"/>
        <w:jc w:val="both"/>
      </w:pPr>
      <w:r w:rsidRPr="00AE0059">
        <w:t>Dans la CDN 2</w:t>
      </w:r>
      <w:r w:rsidR="00925DAB">
        <w:t xml:space="preserve"> </w:t>
      </w:r>
      <w:r w:rsidRPr="00AE0059">
        <w:t>0, la biodiversité ne faisait pas partie des secteurs prioritaires disposant d’un portefeuille de projets d’adaptation spécifique</w:t>
      </w:r>
      <w:r w:rsidR="00925DAB">
        <w:t xml:space="preserve"> </w:t>
      </w:r>
      <w:r w:rsidRPr="00AE0059">
        <w:t xml:space="preserve"> Compte tenu de l’importance des écosystèmes et des aires protégées dans la résilience climatique, elle a été intégrée dans le cadre de la CDN 3</w:t>
      </w:r>
      <w:r w:rsidR="00925DAB">
        <w:t xml:space="preserve"> </w:t>
      </w:r>
      <w:r w:rsidRPr="00AE0059">
        <w:t>0</w:t>
      </w:r>
      <w:r w:rsidR="00925DAB">
        <w:t xml:space="preserve"> </w:t>
      </w:r>
      <w:r>
        <w:t xml:space="preserve"> Dans ce cadre, u</w:t>
      </w:r>
      <w:r w:rsidRPr="00AE0059">
        <w:t>n projet d’adaptation a été identifié dans ce cadre à la suite des consultations bilatérales menées avec la Direction Générale des Eaux et Forêts (DGEF), sur la base des échanges techniques et des éléments transmis par cette dernière</w:t>
      </w:r>
      <w:r w:rsidR="00857A4D">
        <w:t>.</w:t>
      </w:r>
    </w:p>
    <w:p w14:paraId="6EE7D8F7" w14:textId="397C9ABA" w:rsidR="003D7B10" w:rsidRDefault="003D7B10" w:rsidP="003D7B10">
      <w:pPr>
        <w:pStyle w:val="Lgende"/>
        <w:keepNext/>
      </w:pPr>
      <w:bookmarkStart w:id="114" w:name="_Toc234853966"/>
      <w:r>
        <w:t xml:space="preserve">Tableau </w:t>
      </w:r>
      <w:r>
        <w:fldChar w:fldCharType="begin"/>
      </w:r>
      <w:r>
        <w:instrText xml:space="preserve"> SEQ Tableau \* ARABIC </w:instrText>
      </w:r>
      <w:r>
        <w:fldChar w:fldCharType="separate"/>
      </w:r>
      <w:r w:rsidR="0018772E">
        <w:rPr>
          <w:noProof/>
        </w:rPr>
        <w:t>42</w:t>
      </w:r>
      <w:r>
        <w:fldChar w:fldCharType="end"/>
      </w:r>
      <w:r>
        <w:t xml:space="preserve"> : </w:t>
      </w:r>
      <w:r w:rsidRPr="0018215D">
        <w:t xml:space="preserve"> Projets d’adaptation identifiés pour le secteur de la biodiversité dans le cadre de la CDN 3 0</w:t>
      </w:r>
      <w:bookmarkEnd w:id="114"/>
    </w:p>
    <w:tbl>
      <w:tblPr>
        <w:tblStyle w:val="Grilledutablea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1848"/>
        <w:gridCol w:w="986"/>
        <w:gridCol w:w="3745"/>
        <w:gridCol w:w="1236"/>
        <w:gridCol w:w="1174"/>
      </w:tblGrid>
      <w:tr w:rsidR="00ED546F" w:rsidRPr="003D7B10" w14:paraId="39CF6743" w14:textId="77777777" w:rsidTr="003D7B10">
        <w:trPr>
          <w:tblHeader/>
        </w:trPr>
        <w:tc>
          <w:tcPr>
            <w:tcW w:w="206"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060"/>
            <w:vAlign w:val="center"/>
          </w:tcPr>
          <w:p w14:paraId="4830E3AE" w14:textId="77777777" w:rsidR="00ED546F" w:rsidRPr="003D7B10" w:rsidRDefault="00ED546F">
            <w:pPr>
              <w:jc w:val="center"/>
              <w:rPr>
                <w:b/>
                <w:sz w:val="20"/>
                <w:szCs w:val="20"/>
              </w:rPr>
            </w:pPr>
            <w:r w:rsidRPr="003D7B10">
              <w:rPr>
                <w:b/>
                <w:sz w:val="20"/>
                <w:szCs w:val="20"/>
              </w:rPr>
              <w:t>N°</w:t>
            </w:r>
          </w:p>
        </w:tc>
        <w:tc>
          <w:tcPr>
            <w:tcW w:w="993"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060"/>
            <w:vAlign w:val="center"/>
          </w:tcPr>
          <w:p w14:paraId="169B58AA" w14:textId="77777777" w:rsidR="00ED546F" w:rsidRPr="003D7B10" w:rsidRDefault="00ED546F">
            <w:pPr>
              <w:jc w:val="center"/>
              <w:rPr>
                <w:b/>
                <w:sz w:val="20"/>
                <w:szCs w:val="20"/>
              </w:rPr>
            </w:pPr>
            <w:r w:rsidRPr="003D7B10">
              <w:rPr>
                <w:b/>
                <w:sz w:val="20"/>
                <w:szCs w:val="20"/>
              </w:rPr>
              <w:t>Projets</w:t>
            </w:r>
          </w:p>
        </w:tc>
        <w:tc>
          <w:tcPr>
            <w:tcW w:w="534"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060"/>
            <w:vAlign w:val="center"/>
          </w:tcPr>
          <w:p w14:paraId="60A52C0D" w14:textId="77777777" w:rsidR="00ED546F" w:rsidRPr="003D7B10" w:rsidRDefault="00ED546F">
            <w:pPr>
              <w:jc w:val="center"/>
              <w:rPr>
                <w:b/>
                <w:sz w:val="20"/>
                <w:szCs w:val="20"/>
              </w:rPr>
            </w:pPr>
            <w:r w:rsidRPr="003D7B10">
              <w:rPr>
                <w:b/>
                <w:sz w:val="20"/>
                <w:szCs w:val="20"/>
              </w:rPr>
              <w:t>Porteur</w:t>
            </w:r>
          </w:p>
        </w:tc>
        <w:tc>
          <w:tcPr>
            <w:tcW w:w="2001"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060"/>
            <w:vAlign w:val="center"/>
          </w:tcPr>
          <w:p w14:paraId="3B97D4B3" w14:textId="77777777" w:rsidR="00ED546F" w:rsidRPr="003D7B10" w:rsidRDefault="00ED546F">
            <w:pPr>
              <w:jc w:val="center"/>
              <w:rPr>
                <w:b/>
                <w:sz w:val="20"/>
                <w:szCs w:val="20"/>
              </w:rPr>
            </w:pPr>
            <w:r w:rsidRPr="003D7B10">
              <w:rPr>
                <w:b/>
                <w:sz w:val="20"/>
                <w:szCs w:val="20"/>
              </w:rPr>
              <w:t>Objectif et description</w:t>
            </w:r>
          </w:p>
        </w:tc>
        <w:tc>
          <w:tcPr>
            <w:tcW w:w="667"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060"/>
            <w:vAlign w:val="center"/>
          </w:tcPr>
          <w:p w14:paraId="4AC7B909" w14:textId="77777777" w:rsidR="00ED546F" w:rsidRPr="003D7B10" w:rsidRDefault="00ED546F">
            <w:pPr>
              <w:jc w:val="center"/>
              <w:rPr>
                <w:b/>
                <w:sz w:val="20"/>
                <w:szCs w:val="20"/>
              </w:rPr>
            </w:pPr>
            <w:r w:rsidRPr="003D7B10">
              <w:rPr>
                <w:b/>
                <w:sz w:val="20"/>
                <w:szCs w:val="20"/>
              </w:rPr>
              <w:t>Période de mise en œuvre</w:t>
            </w:r>
          </w:p>
        </w:tc>
        <w:tc>
          <w:tcPr>
            <w:tcW w:w="600" w:type="pct"/>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2060"/>
            <w:vAlign w:val="center"/>
          </w:tcPr>
          <w:p w14:paraId="6B125839" w14:textId="77777777" w:rsidR="00ED546F" w:rsidRPr="003D7B10" w:rsidRDefault="00ED546F">
            <w:pPr>
              <w:jc w:val="center"/>
              <w:rPr>
                <w:b/>
                <w:sz w:val="20"/>
                <w:szCs w:val="20"/>
              </w:rPr>
            </w:pPr>
            <w:r w:rsidRPr="003D7B10">
              <w:rPr>
                <w:b/>
                <w:sz w:val="20"/>
                <w:szCs w:val="20"/>
              </w:rPr>
              <w:t>Statut</w:t>
            </w:r>
          </w:p>
        </w:tc>
      </w:tr>
      <w:tr w:rsidR="00ED546F" w:rsidRPr="003D7B10" w14:paraId="6AADF23E" w14:textId="77777777" w:rsidTr="003D7B10">
        <w:tc>
          <w:tcPr>
            <w:tcW w:w="206" w:type="pct"/>
            <w:tcBorders>
              <w:top w:val="single" w:sz="4" w:space="0" w:color="auto"/>
              <w:bottom w:val="single" w:sz="4" w:space="0" w:color="auto"/>
            </w:tcBorders>
            <w:vAlign w:val="center"/>
          </w:tcPr>
          <w:p w14:paraId="64B94630" w14:textId="77777777" w:rsidR="00ED546F" w:rsidRPr="003D7B10" w:rsidRDefault="00ED546F" w:rsidP="00857A4D">
            <w:pPr>
              <w:jc w:val="both"/>
              <w:rPr>
                <w:b/>
                <w:sz w:val="20"/>
                <w:szCs w:val="20"/>
              </w:rPr>
            </w:pPr>
            <w:r w:rsidRPr="003D7B10">
              <w:rPr>
                <w:b/>
                <w:sz w:val="20"/>
                <w:szCs w:val="20"/>
              </w:rPr>
              <w:t>1</w:t>
            </w:r>
          </w:p>
        </w:tc>
        <w:tc>
          <w:tcPr>
            <w:tcW w:w="993" w:type="pct"/>
            <w:tcBorders>
              <w:top w:val="single" w:sz="4" w:space="0" w:color="auto"/>
              <w:bottom w:val="single" w:sz="4" w:space="0" w:color="auto"/>
            </w:tcBorders>
            <w:vAlign w:val="center"/>
          </w:tcPr>
          <w:p w14:paraId="32C678E7" w14:textId="3B7E5BB1" w:rsidR="00ED546F" w:rsidRPr="003D7B10" w:rsidRDefault="00CE4EB1" w:rsidP="00857A4D">
            <w:pPr>
              <w:jc w:val="both"/>
              <w:rPr>
                <w:sz w:val="20"/>
                <w:szCs w:val="20"/>
              </w:rPr>
            </w:pPr>
            <w:r w:rsidRPr="003D7B10">
              <w:rPr>
                <w:sz w:val="20"/>
                <w:szCs w:val="20"/>
              </w:rPr>
              <w:t>Projet de Conservation des Chimpanzés en danger d’extinction dans l’Aires Transfrontalières Bafing Falémé et de soutien à la résilience des communautés riveraines</w:t>
            </w:r>
            <w:r w:rsidR="00942825" w:rsidRPr="003D7B10">
              <w:rPr>
                <w:sz w:val="20"/>
                <w:szCs w:val="20"/>
              </w:rPr>
              <w:t>.</w:t>
            </w:r>
            <w:r w:rsidR="00925DAB" w:rsidRPr="003D7B10">
              <w:rPr>
                <w:sz w:val="20"/>
                <w:szCs w:val="20"/>
              </w:rPr>
              <w:t xml:space="preserve"> </w:t>
            </w:r>
          </w:p>
        </w:tc>
        <w:tc>
          <w:tcPr>
            <w:tcW w:w="534" w:type="pct"/>
            <w:tcBorders>
              <w:top w:val="single" w:sz="4" w:space="0" w:color="auto"/>
              <w:bottom w:val="single" w:sz="4" w:space="0" w:color="auto"/>
            </w:tcBorders>
            <w:vAlign w:val="center"/>
          </w:tcPr>
          <w:p w14:paraId="03190B1E" w14:textId="49F2DB23" w:rsidR="00ED546F" w:rsidRPr="003D7B10" w:rsidRDefault="00501502" w:rsidP="00857A4D">
            <w:pPr>
              <w:jc w:val="both"/>
              <w:rPr>
                <w:sz w:val="20"/>
                <w:szCs w:val="20"/>
              </w:rPr>
            </w:pPr>
            <w:r w:rsidRPr="00501502">
              <w:rPr>
                <w:rFonts w:eastAsia="Times New Roman"/>
                <w:sz w:val="20"/>
                <w:szCs w:val="20"/>
                <w:lang w:eastAsia="fr-FR"/>
              </w:rPr>
              <w:t>Direction Générale des Eaux et Forêts (DGEF)</w:t>
            </w:r>
          </w:p>
        </w:tc>
        <w:tc>
          <w:tcPr>
            <w:tcW w:w="2001" w:type="pct"/>
            <w:tcBorders>
              <w:top w:val="single" w:sz="4" w:space="0" w:color="auto"/>
              <w:bottom w:val="single" w:sz="4" w:space="0" w:color="auto"/>
            </w:tcBorders>
            <w:vAlign w:val="center"/>
          </w:tcPr>
          <w:p w14:paraId="72CC1F2A" w14:textId="77777777" w:rsidR="00ED546F" w:rsidRPr="003D7B10" w:rsidRDefault="00ED546F" w:rsidP="00857A4D">
            <w:pPr>
              <w:jc w:val="both"/>
              <w:rPr>
                <w:b/>
                <w:sz w:val="20"/>
                <w:szCs w:val="20"/>
                <w:u w:val="single"/>
              </w:rPr>
            </w:pPr>
            <w:r w:rsidRPr="003D7B10">
              <w:rPr>
                <w:b/>
                <w:sz w:val="20"/>
                <w:szCs w:val="20"/>
                <w:u w:val="single"/>
              </w:rPr>
              <w:t>Objectif </w:t>
            </w:r>
          </w:p>
          <w:p w14:paraId="1BD480FA" w14:textId="79906E03" w:rsidR="00ED546F" w:rsidRPr="003D7B10" w:rsidRDefault="00DE159F" w:rsidP="00857A4D">
            <w:pPr>
              <w:jc w:val="both"/>
              <w:rPr>
                <w:sz w:val="20"/>
                <w:szCs w:val="20"/>
              </w:rPr>
            </w:pPr>
            <w:r w:rsidRPr="003D7B10">
              <w:rPr>
                <w:sz w:val="20"/>
                <w:szCs w:val="20"/>
              </w:rPr>
              <w:t>Améliorer l’efficacité de gestion des habitats et la protection des chimpanzés d’Afrique de l’Ouest (Pan troglodytes verus) en danger d’extinction</w:t>
            </w:r>
            <w:r w:rsidR="00942825" w:rsidRPr="003D7B10">
              <w:rPr>
                <w:sz w:val="20"/>
                <w:szCs w:val="20"/>
              </w:rPr>
              <w:t>.</w:t>
            </w:r>
            <w:r w:rsidR="00925DAB" w:rsidRPr="003D7B10">
              <w:rPr>
                <w:sz w:val="20"/>
                <w:szCs w:val="20"/>
              </w:rPr>
              <w:t xml:space="preserve"> </w:t>
            </w:r>
            <w:r w:rsidR="00ED546F" w:rsidRPr="003D7B10">
              <w:rPr>
                <w:sz w:val="20"/>
                <w:szCs w:val="20"/>
              </w:rPr>
              <w:t xml:space="preserve"> </w:t>
            </w:r>
          </w:p>
          <w:p w14:paraId="4264C4D2" w14:textId="77777777" w:rsidR="00ED546F" w:rsidRPr="003D7B10" w:rsidRDefault="00ED546F" w:rsidP="00857A4D">
            <w:pPr>
              <w:jc w:val="both"/>
              <w:rPr>
                <w:b/>
                <w:sz w:val="20"/>
                <w:szCs w:val="20"/>
                <w:u w:val="single"/>
              </w:rPr>
            </w:pPr>
            <w:r w:rsidRPr="003D7B10">
              <w:rPr>
                <w:b/>
                <w:sz w:val="20"/>
                <w:szCs w:val="20"/>
                <w:u w:val="single"/>
              </w:rPr>
              <w:t>Description</w:t>
            </w:r>
          </w:p>
          <w:p w14:paraId="2EDF8980" w14:textId="34D96BB1" w:rsidR="00ED546F" w:rsidRPr="003D7B10" w:rsidRDefault="00BC4A37" w:rsidP="00857A4D">
            <w:pPr>
              <w:jc w:val="both"/>
              <w:rPr>
                <w:sz w:val="20"/>
                <w:szCs w:val="20"/>
              </w:rPr>
            </w:pPr>
            <w:r w:rsidRPr="003D7B10">
              <w:rPr>
                <w:sz w:val="20"/>
                <w:szCs w:val="20"/>
              </w:rPr>
              <w:t>Le projet vise à répondre à la dégradation de la biodiversité au niveau des aires protégées, en particulier dans le sanctuaire des chimpanzés, dans un contexte marqué par la surexploitation des ressources naturelles, les pressions anthropiques et les impacts du changement climatique sur les écosystèmes et les ressources en eau</w:t>
            </w:r>
            <w:r w:rsidR="00925DAB" w:rsidRPr="003D7B10">
              <w:rPr>
                <w:sz w:val="20"/>
                <w:szCs w:val="20"/>
              </w:rPr>
              <w:t xml:space="preserve"> </w:t>
            </w:r>
            <w:r w:rsidRPr="003D7B10">
              <w:rPr>
                <w:sz w:val="20"/>
                <w:szCs w:val="20"/>
              </w:rPr>
              <w:t xml:space="preserve"> Il prévoit notamment la restauration des habitats naturels, le renforcement des capacités des parties prenantes ainsi que l’amélioration des opportunités économiques des populations locales afin de réduire les pressions exercées sur les ressources naturelles et la faune</w:t>
            </w:r>
            <w:r w:rsidR="00942825" w:rsidRPr="003D7B10">
              <w:rPr>
                <w:sz w:val="20"/>
                <w:szCs w:val="20"/>
              </w:rPr>
              <w:t>.</w:t>
            </w:r>
            <w:r w:rsidR="00925DAB" w:rsidRPr="003D7B10">
              <w:rPr>
                <w:sz w:val="20"/>
                <w:szCs w:val="20"/>
              </w:rPr>
              <w:t xml:space="preserve"> </w:t>
            </w:r>
          </w:p>
        </w:tc>
        <w:tc>
          <w:tcPr>
            <w:tcW w:w="667" w:type="pct"/>
            <w:tcBorders>
              <w:top w:val="single" w:sz="4" w:space="0" w:color="auto"/>
              <w:bottom w:val="single" w:sz="4" w:space="0" w:color="auto"/>
            </w:tcBorders>
            <w:vAlign w:val="center"/>
          </w:tcPr>
          <w:p w14:paraId="435AD6DD" w14:textId="12753B87" w:rsidR="00ED546F" w:rsidRPr="003D7B10" w:rsidRDefault="005C2B30" w:rsidP="00857A4D">
            <w:pPr>
              <w:jc w:val="both"/>
              <w:rPr>
                <w:sz w:val="20"/>
                <w:szCs w:val="20"/>
              </w:rPr>
            </w:pPr>
            <w:r w:rsidRPr="003D7B10">
              <w:rPr>
                <w:sz w:val="20"/>
                <w:szCs w:val="20"/>
              </w:rPr>
              <w:t>2026-2029</w:t>
            </w:r>
          </w:p>
        </w:tc>
        <w:tc>
          <w:tcPr>
            <w:tcW w:w="600" w:type="pct"/>
            <w:tcBorders>
              <w:top w:val="single" w:sz="4" w:space="0" w:color="auto"/>
              <w:bottom w:val="single" w:sz="4" w:space="0" w:color="auto"/>
            </w:tcBorders>
            <w:vAlign w:val="center"/>
          </w:tcPr>
          <w:p w14:paraId="0EF1BB5F" w14:textId="77777777" w:rsidR="00ED546F" w:rsidRPr="003D7B10" w:rsidRDefault="00ED546F" w:rsidP="00857A4D">
            <w:pPr>
              <w:jc w:val="both"/>
              <w:rPr>
                <w:sz w:val="20"/>
                <w:szCs w:val="20"/>
              </w:rPr>
            </w:pPr>
            <w:r w:rsidRPr="003D7B10">
              <w:rPr>
                <w:sz w:val="20"/>
                <w:szCs w:val="20"/>
              </w:rPr>
              <w:t>Programmé</w:t>
            </w:r>
          </w:p>
        </w:tc>
      </w:tr>
    </w:tbl>
    <w:p w14:paraId="7EC8BD96" w14:textId="7E1E8501" w:rsidR="004D2F3C" w:rsidRDefault="004D2F3C" w:rsidP="00B761E8">
      <w:pPr>
        <w:spacing w:after="120" w:line="320" w:lineRule="atLeast"/>
        <w:jc w:val="both"/>
      </w:pPr>
    </w:p>
    <w:p w14:paraId="5202B280" w14:textId="77777777" w:rsidR="00ED546F" w:rsidRDefault="00ED546F" w:rsidP="002C3767">
      <w:pPr>
        <w:pStyle w:val="Titre3"/>
        <w:numPr>
          <w:ilvl w:val="2"/>
          <w:numId w:val="21"/>
        </w:numPr>
      </w:pPr>
      <w:bookmarkStart w:id="115" w:name="_Toc234853903"/>
      <w:r w:rsidRPr="00332D2B">
        <w:t>Besoins de financement et conditionnalité</w:t>
      </w:r>
      <w:bookmarkEnd w:id="115"/>
      <w:r w:rsidRPr="00332D2B">
        <w:t xml:space="preserve"> </w:t>
      </w:r>
    </w:p>
    <w:p w14:paraId="4C86C692" w14:textId="007DF9C6" w:rsidR="00ED546F" w:rsidRDefault="00321F6D" w:rsidP="00ED546F">
      <w:pPr>
        <w:spacing w:after="120" w:line="320" w:lineRule="atLeast"/>
        <w:jc w:val="both"/>
      </w:pPr>
      <w:r w:rsidRPr="00321F6D">
        <w:t xml:space="preserve">Le projet identifié dans le secteur de la biodiversité représente un coût total estimé à </w:t>
      </w:r>
      <w:r w:rsidRPr="00591782">
        <w:rPr>
          <w:b/>
          <w:bCs/>
        </w:rPr>
        <w:t>14 159 666 USD</w:t>
      </w:r>
      <w:r w:rsidRPr="00321F6D">
        <w:t>, soit environ 8,5 milliards de F CFA</w:t>
      </w:r>
      <w:r w:rsidR="003E4399">
        <w:t xml:space="preserve">. </w:t>
      </w:r>
      <w:r w:rsidRPr="00321F6D">
        <w:t>Le financement envisagé est de nature internationale et demeure conditionnel</w:t>
      </w:r>
      <w:r w:rsidR="003E4399">
        <w:t xml:space="preserve">. </w:t>
      </w:r>
      <w:r w:rsidRPr="00321F6D">
        <w:t>À ce stade, aucun financement n’a encore été mobilisé pour la mise en œuvre du projet proposé</w:t>
      </w:r>
      <w:r w:rsidR="00925DAB">
        <w:t xml:space="preserve"> </w:t>
      </w:r>
    </w:p>
    <w:p w14:paraId="697CA25B" w14:textId="269D62E2" w:rsidR="00ED546F" w:rsidRPr="00A04700" w:rsidRDefault="00ED546F" w:rsidP="00DA76DA">
      <w:pPr>
        <w:pStyle w:val="Lgende"/>
        <w:keepNext/>
        <w:spacing w:after="0"/>
        <w:jc w:val="both"/>
        <w:rPr>
          <w:sz w:val="22"/>
          <w:szCs w:val="22"/>
        </w:rPr>
      </w:pPr>
      <w:bookmarkStart w:id="116" w:name="_Toc234853967"/>
      <w:r w:rsidRPr="00BB7517">
        <w:rPr>
          <w:sz w:val="22"/>
          <w:szCs w:val="22"/>
        </w:rPr>
        <w:lastRenderedPageBreak/>
        <w:t xml:space="preserve">Tableau </w:t>
      </w:r>
      <w:r w:rsidRPr="00BB7517">
        <w:rPr>
          <w:sz w:val="22"/>
          <w:szCs w:val="22"/>
        </w:rPr>
        <w:fldChar w:fldCharType="begin"/>
      </w:r>
      <w:r w:rsidRPr="00BB7517">
        <w:rPr>
          <w:sz w:val="22"/>
          <w:szCs w:val="22"/>
        </w:rPr>
        <w:instrText xml:space="preserve"> SEQ Tableau \* ARABIC </w:instrText>
      </w:r>
      <w:r w:rsidRPr="00BB7517">
        <w:rPr>
          <w:sz w:val="22"/>
          <w:szCs w:val="22"/>
        </w:rPr>
        <w:fldChar w:fldCharType="separate"/>
      </w:r>
      <w:r w:rsidR="0018772E">
        <w:rPr>
          <w:noProof/>
          <w:sz w:val="22"/>
          <w:szCs w:val="22"/>
        </w:rPr>
        <w:t>43</w:t>
      </w:r>
      <w:r w:rsidRPr="00BB7517">
        <w:rPr>
          <w:sz w:val="22"/>
          <w:szCs w:val="22"/>
        </w:rPr>
        <w:fldChar w:fldCharType="end"/>
      </w:r>
      <w:r w:rsidRPr="00BB7517">
        <w:rPr>
          <w:sz w:val="22"/>
          <w:szCs w:val="22"/>
        </w:rPr>
        <w:t> :</w:t>
      </w:r>
      <w:r w:rsidRPr="00783E23">
        <w:t xml:space="preserve"> </w:t>
      </w:r>
      <w:r>
        <w:rPr>
          <w:sz w:val="22"/>
          <w:szCs w:val="22"/>
        </w:rPr>
        <w:t>Financement des projets d’adaptation</w:t>
      </w:r>
      <w:r w:rsidRPr="00783E23">
        <w:rPr>
          <w:sz w:val="22"/>
          <w:szCs w:val="22"/>
        </w:rPr>
        <w:t xml:space="preserve"> </w:t>
      </w:r>
      <w:r>
        <w:rPr>
          <w:sz w:val="22"/>
          <w:szCs w:val="22"/>
        </w:rPr>
        <w:t>du secteur de</w:t>
      </w:r>
      <w:r w:rsidR="00FD60E0">
        <w:rPr>
          <w:sz w:val="22"/>
          <w:szCs w:val="22"/>
        </w:rPr>
        <w:t xml:space="preserve"> la biodiversité </w:t>
      </w:r>
      <w:r w:rsidRPr="00783E23">
        <w:rPr>
          <w:sz w:val="22"/>
          <w:szCs w:val="22"/>
        </w:rPr>
        <w:t>dans le cadre de la CDN 3</w:t>
      </w:r>
      <w:r w:rsidR="00A247B1">
        <w:rPr>
          <w:sz w:val="22"/>
          <w:szCs w:val="22"/>
        </w:rPr>
        <w:t>.</w:t>
      </w:r>
      <w:r w:rsidRPr="00783E23">
        <w:rPr>
          <w:sz w:val="22"/>
          <w:szCs w:val="22"/>
        </w:rPr>
        <w:t>0</w:t>
      </w:r>
      <w:bookmarkEnd w:id="116"/>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3331"/>
        <w:gridCol w:w="2037"/>
        <w:gridCol w:w="1721"/>
        <w:gridCol w:w="1880"/>
      </w:tblGrid>
      <w:tr w:rsidR="00ED546F" w14:paraId="7DA6A92F" w14:textId="77777777" w:rsidTr="00443BE2">
        <w:trPr>
          <w:trHeight w:val="680"/>
        </w:trPr>
        <w:tc>
          <w:tcPr>
            <w:tcW w:w="4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D6D7CA9" w14:textId="77777777" w:rsidR="00ED546F" w:rsidRPr="00443BE2" w:rsidRDefault="00ED546F">
            <w:pPr>
              <w:jc w:val="center"/>
              <w:rPr>
                <w:b/>
                <w:color w:val="FFFFFF" w:themeColor="background1"/>
              </w:rPr>
            </w:pPr>
            <w:r w:rsidRPr="00443BE2">
              <w:rPr>
                <w:b/>
                <w:color w:val="FFFFFF" w:themeColor="background1"/>
              </w:rPr>
              <w:t>N°</w:t>
            </w:r>
          </w:p>
        </w:tc>
        <w:tc>
          <w:tcPr>
            <w:tcW w:w="33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1C54460C" w14:textId="77777777" w:rsidR="00ED546F" w:rsidRPr="00443BE2" w:rsidRDefault="00ED546F">
            <w:pPr>
              <w:jc w:val="center"/>
              <w:rPr>
                <w:b/>
                <w:color w:val="FFFFFF" w:themeColor="background1"/>
              </w:rPr>
            </w:pPr>
            <w:r w:rsidRPr="00443BE2">
              <w:rPr>
                <w:b/>
                <w:color w:val="FFFFFF" w:themeColor="background1"/>
              </w:rPr>
              <w:t>Projets</w:t>
            </w:r>
          </w:p>
        </w:tc>
        <w:tc>
          <w:tcPr>
            <w:tcW w:w="20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68100E80" w14:textId="77777777" w:rsidR="00ED546F" w:rsidRPr="00443BE2" w:rsidRDefault="00ED546F">
            <w:pPr>
              <w:jc w:val="center"/>
              <w:rPr>
                <w:b/>
                <w:color w:val="FFFFFF" w:themeColor="background1"/>
              </w:rPr>
            </w:pPr>
            <w:r w:rsidRPr="00443BE2">
              <w:rPr>
                <w:b/>
                <w:color w:val="FFFFFF" w:themeColor="background1"/>
              </w:rPr>
              <w:t>Coût</w:t>
            </w:r>
          </w:p>
        </w:tc>
        <w:tc>
          <w:tcPr>
            <w:tcW w:w="17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4B094407" w14:textId="77777777" w:rsidR="00ED546F" w:rsidRPr="00443BE2" w:rsidRDefault="00ED546F">
            <w:pPr>
              <w:jc w:val="center"/>
              <w:rPr>
                <w:b/>
                <w:color w:val="FFFFFF" w:themeColor="background1"/>
              </w:rPr>
            </w:pPr>
            <w:r w:rsidRPr="00443BE2">
              <w:rPr>
                <w:b/>
                <w:color w:val="FFFFFF" w:themeColor="background1"/>
              </w:rPr>
              <w:t>Source de financement</w:t>
            </w:r>
          </w:p>
        </w:tc>
        <w:tc>
          <w:tcPr>
            <w:tcW w:w="1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F4E79" w:themeFill="accent1" w:themeFillShade="80"/>
            <w:vAlign w:val="center"/>
          </w:tcPr>
          <w:p w14:paraId="3D83A03A" w14:textId="77777777" w:rsidR="00ED546F" w:rsidRPr="00443BE2" w:rsidRDefault="00ED546F">
            <w:pPr>
              <w:jc w:val="center"/>
              <w:rPr>
                <w:b/>
                <w:color w:val="FFFFFF" w:themeColor="background1"/>
              </w:rPr>
            </w:pPr>
            <w:r w:rsidRPr="00443BE2">
              <w:rPr>
                <w:b/>
                <w:color w:val="FFFFFF" w:themeColor="background1"/>
              </w:rPr>
              <w:t>Conditionnalité</w:t>
            </w:r>
          </w:p>
        </w:tc>
      </w:tr>
      <w:tr w:rsidR="00ED546F" w14:paraId="4E19ACC2" w14:textId="77777777" w:rsidTr="00443BE2">
        <w:tc>
          <w:tcPr>
            <w:tcW w:w="437" w:type="dxa"/>
            <w:tcBorders>
              <w:top w:val="single" w:sz="4" w:space="0" w:color="FFFFFF" w:themeColor="background1"/>
            </w:tcBorders>
          </w:tcPr>
          <w:p w14:paraId="7DB5614A" w14:textId="77777777" w:rsidR="00ED546F" w:rsidRPr="00411FB6" w:rsidRDefault="00ED546F">
            <w:pPr>
              <w:rPr>
                <w:b/>
                <w:bCs/>
              </w:rPr>
            </w:pPr>
            <w:r w:rsidRPr="00411FB6">
              <w:rPr>
                <w:b/>
                <w:bCs/>
              </w:rPr>
              <w:t>1</w:t>
            </w:r>
          </w:p>
        </w:tc>
        <w:tc>
          <w:tcPr>
            <w:tcW w:w="3332" w:type="dxa"/>
            <w:tcBorders>
              <w:top w:val="single" w:sz="4" w:space="0" w:color="FFFFFF" w:themeColor="background1"/>
            </w:tcBorders>
          </w:tcPr>
          <w:p w14:paraId="32623F68" w14:textId="41BAEF62" w:rsidR="00ED546F" w:rsidRDefault="00B9644B">
            <w:pPr>
              <w:jc w:val="both"/>
            </w:pPr>
            <w:r w:rsidRPr="00B9644B">
              <w:t>Projet de Conservation des Chimpanzés en danger d’extinction dans l’Aires Transfrontalières Bafing Falémé et de soutien à la résilience des communautés riveraines</w:t>
            </w:r>
            <w:r w:rsidR="00942825">
              <w:t>.</w:t>
            </w:r>
            <w:r w:rsidR="00925DAB">
              <w:t xml:space="preserve"> </w:t>
            </w:r>
          </w:p>
        </w:tc>
        <w:tc>
          <w:tcPr>
            <w:tcW w:w="2038" w:type="dxa"/>
            <w:tcBorders>
              <w:top w:val="single" w:sz="4" w:space="0" w:color="FFFFFF" w:themeColor="background1"/>
            </w:tcBorders>
            <w:vAlign w:val="center"/>
          </w:tcPr>
          <w:p w14:paraId="7E27456E" w14:textId="40FB60E3" w:rsidR="00ED546F" w:rsidRDefault="000A183A" w:rsidP="00443BE2">
            <w:pPr>
              <w:jc w:val="center"/>
            </w:pPr>
            <w:r w:rsidRPr="00FD60E0">
              <w:rPr>
                <w:b/>
                <w:bCs/>
              </w:rPr>
              <w:t>14 159 666 USD</w:t>
            </w:r>
            <w:r>
              <w:t xml:space="preserve"> (</w:t>
            </w:r>
            <w:r w:rsidR="00FD60E0" w:rsidRPr="00FD60E0">
              <w:t>8,5 milliards de F CFA</w:t>
            </w:r>
            <w:r w:rsidR="00FD60E0">
              <w:t>)</w:t>
            </w:r>
          </w:p>
        </w:tc>
        <w:tc>
          <w:tcPr>
            <w:tcW w:w="1721" w:type="dxa"/>
            <w:tcBorders>
              <w:top w:val="single" w:sz="4" w:space="0" w:color="FFFFFF" w:themeColor="background1"/>
            </w:tcBorders>
            <w:vAlign w:val="center"/>
          </w:tcPr>
          <w:p w14:paraId="439F8632" w14:textId="612795F6" w:rsidR="00ED546F" w:rsidRPr="00B13B3C" w:rsidRDefault="00B13B3C" w:rsidP="00443BE2">
            <w:pPr>
              <w:jc w:val="center"/>
            </w:pPr>
            <w:r w:rsidRPr="00B13B3C">
              <w:t>International</w:t>
            </w:r>
          </w:p>
        </w:tc>
        <w:tc>
          <w:tcPr>
            <w:tcW w:w="1880" w:type="dxa"/>
            <w:tcBorders>
              <w:top w:val="single" w:sz="4" w:space="0" w:color="FFFFFF" w:themeColor="background1"/>
            </w:tcBorders>
            <w:vAlign w:val="center"/>
          </w:tcPr>
          <w:p w14:paraId="59EC021B" w14:textId="002E7117" w:rsidR="00ED546F" w:rsidRPr="00B13B3C" w:rsidRDefault="00B13B3C" w:rsidP="00443BE2">
            <w:pPr>
              <w:jc w:val="center"/>
            </w:pPr>
            <w:r w:rsidRPr="00B13B3C">
              <w:t>Conditionnel</w:t>
            </w:r>
          </w:p>
        </w:tc>
      </w:tr>
    </w:tbl>
    <w:p w14:paraId="0651DAF3" w14:textId="77777777" w:rsidR="00ED546F" w:rsidRDefault="00ED546F" w:rsidP="00443BE2">
      <w:pPr>
        <w:pStyle w:val="Titre3"/>
        <w:numPr>
          <w:ilvl w:val="2"/>
          <w:numId w:val="21"/>
        </w:numPr>
        <w:spacing w:before="240"/>
        <w:ind w:left="1543"/>
      </w:pPr>
      <w:bookmarkStart w:id="117" w:name="_Toc234853904"/>
      <w:r w:rsidRPr="00332D2B">
        <w:t>Risques climatiques ciblés</w:t>
      </w:r>
      <w:bookmarkEnd w:id="117"/>
      <w:r w:rsidRPr="00332D2B">
        <w:t xml:space="preserve"> </w:t>
      </w:r>
    </w:p>
    <w:p w14:paraId="5E4A7E98" w14:textId="0DB1C878" w:rsidR="00ED546F" w:rsidRPr="00ED546F" w:rsidRDefault="00036B41" w:rsidP="00036B41">
      <w:pPr>
        <w:spacing w:after="120" w:line="300" w:lineRule="atLeast"/>
        <w:jc w:val="both"/>
      </w:pPr>
      <w:r w:rsidRPr="00036B41">
        <w:t>Bien que ce projet ne soit pas principalement destiné à la réduction des risques climatiques au sens classique, il contribue au renforcement de la résilience des écosystèmes et des populations face aux impacts du changement climatique</w:t>
      </w:r>
      <w:r w:rsidR="00925DAB">
        <w:t xml:space="preserve"> </w:t>
      </w:r>
      <w:r w:rsidRPr="00036B41">
        <w:t xml:space="preserve"> Sa contribution à l’adaptation repose principalement sur la </w:t>
      </w:r>
      <w:r w:rsidRPr="00507718">
        <w:rPr>
          <w:b/>
          <w:bCs/>
        </w:rPr>
        <w:t>restauration des habitats naturels</w:t>
      </w:r>
      <w:r w:rsidRPr="00036B41">
        <w:t xml:space="preserve"> et des </w:t>
      </w:r>
      <w:r w:rsidRPr="00507718">
        <w:rPr>
          <w:b/>
          <w:bCs/>
        </w:rPr>
        <w:t>services écosystémiques</w:t>
      </w:r>
      <w:r w:rsidRPr="00036B41">
        <w:t xml:space="preserve"> ainsi que sur le </w:t>
      </w:r>
      <w:r w:rsidRPr="00507718">
        <w:rPr>
          <w:b/>
          <w:bCs/>
        </w:rPr>
        <w:t>développement d’opportunités économiques</w:t>
      </w:r>
      <w:r w:rsidRPr="00036B41">
        <w:t xml:space="preserve"> pour les communautés locales afin de réduire les pressions exercées sur les ressources naturelles et la faune</w:t>
      </w:r>
      <w:r w:rsidR="00925DAB">
        <w:t xml:space="preserve"> </w:t>
      </w:r>
    </w:p>
    <w:p w14:paraId="37CA6BC9" w14:textId="1A2C1785" w:rsidR="00C8081F" w:rsidRDefault="00C8081F" w:rsidP="00C8081F">
      <w:pPr>
        <w:pStyle w:val="Titre2"/>
      </w:pPr>
      <w:bookmarkStart w:id="118" w:name="_Toc234853905"/>
      <w:r>
        <w:t>Infrastructures</w:t>
      </w:r>
      <w:bookmarkEnd w:id="118"/>
    </w:p>
    <w:p w14:paraId="5E5E8ABA" w14:textId="3FABD9D6" w:rsidR="001D6723" w:rsidRDefault="001D6723" w:rsidP="002C3767">
      <w:pPr>
        <w:pStyle w:val="Titre3"/>
        <w:numPr>
          <w:ilvl w:val="2"/>
          <w:numId w:val="21"/>
        </w:numPr>
      </w:pPr>
      <w:bookmarkStart w:id="119" w:name="_Toc234853906"/>
      <w:r>
        <w:t xml:space="preserve">Projets </w:t>
      </w:r>
      <w:r w:rsidRPr="00332D2B">
        <w:t>d’adaptation prioritaires retenus dans le cadre de la CDN 3</w:t>
      </w:r>
      <w:r w:rsidR="00925DAB">
        <w:t xml:space="preserve"> </w:t>
      </w:r>
      <w:r w:rsidRPr="00332D2B">
        <w:t>0</w:t>
      </w:r>
      <w:bookmarkEnd w:id="119"/>
      <w:r w:rsidRPr="00332D2B">
        <w:t xml:space="preserve"> </w:t>
      </w:r>
    </w:p>
    <w:p w14:paraId="6BFCD94F" w14:textId="3F5402BF" w:rsidR="001D6723" w:rsidRPr="00740D98" w:rsidRDefault="003725C8" w:rsidP="001D6723">
      <w:pPr>
        <w:spacing w:after="120" w:line="300" w:lineRule="atLeast"/>
        <w:jc w:val="both"/>
      </w:pPr>
      <w:r w:rsidRPr="003725C8">
        <w:t>Dans la CDN 2</w:t>
      </w:r>
      <w:r w:rsidR="00925DAB">
        <w:t xml:space="preserve"> </w:t>
      </w:r>
      <w:r w:rsidRPr="003725C8">
        <w:t>0, le secteur des infrastructures ne faisait pas partie des secteurs prioritaires disposant d’un portefeuille de projets d’adaptation spécifique</w:t>
      </w:r>
      <w:r w:rsidR="00925DAB">
        <w:t xml:space="preserve"> </w:t>
      </w:r>
      <w:r w:rsidRPr="003725C8">
        <w:t xml:space="preserve"> Compte tenu de l’importance des infrastructures dans le renforcement de la résilience face aux changements climatiques, notamment à travers le développement des systèmes d’observation météorologique, d’alerte précoce, d’assainissement et de gestion des risques climatiques, il a été intégré dans la CDN 3</w:t>
      </w:r>
      <w:r w:rsidR="00925DAB">
        <w:t xml:space="preserve"> </w:t>
      </w:r>
      <w:r w:rsidRPr="003725C8">
        <w:t>0 comme un secteur distinct</w:t>
      </w:r>
      <w:r w:rsidR="00925DAB">
        <w:t xml:space="preserve"> </w:t>
      </w:r>
      <w:r w:rsidRPr="003725C8">
        <w:t xml:space="preserve"> Trois projets d’adaptation ont été identifiés dans ce cadre : un projet proposé à la suite des consultations menées avec Mali-Météo, bien qu’il soit porté par le Ministère de l’Agriculture, ainsi que deux projets identifiés à travers les consultations bilatérales menées avec la Direction Nationale de l’Assainissement, du Contrôle des Pollutions et des Nuisances (DNACPN), sur la base des échanges techniques et des éléments transmis par les structures concernées</w:t>
      </w:r>
      <w:r w:rsidR="00925DAB">
        <w:t xml:space="preserve"> </w:t>
      </w:r>
    </w:p>
    <w:p w14:paraId="5E29A070" w14:textId="77777777" w:rsidR="001D6723" w:rsidRDefault="001D6723" w:rsidP="001D6723">
      <w:r>
        <w:br w:type="page"/>
      </w:r>
    </w:p>
    <w:p w14:paraId="7DFCC286" w14:textId="77777777" w:rsidR="001D6723" w:rsidRDefault="001D6723" w:rsidP="001D6723">
      <w:pPr>
        <w:sectPr w:rsidR="001D6723" w:rsidSect="00C42595">
          <w:pgSz w:w="12240" w:h="15840" w:code="1"/>
          <w:pgMar w:top="1412" w:right="1412" w:bottom="1412" w:left="1412" w:header="709" w:footer="709" w:gutter="0"/>
          <w:cols w:space="708"/>
          <w:docGrid w:linePitch="360"/>
        </w:sectPr>
      </w:pPr>
    </w:p>
    <w:p w14:paraId="229FF406" w14:textId="710DC75E" w:rsidR="001D6723" w:rsidRPr="008C1B8A" w:rsidRDefault="001D6723" w:rsidP="00443BE2">
      <w:pPr>
        <w:pStyle w:val="Lgende"/>
        <w:keepNext/>
        <w:spacing w:after="0" w:line="276" w:lineRule="auto"/>
        <w:rPr>
          <w:sz w:val="22"/>
          <w:szCs w:val="22"/>
        </w:rPr>
      </w:pPr>
      <w:bookmarkStart w:id="120" w:name="_Toc234853968"/>
      <w:r w:rsidRPr="00BB7517">
        <w:rPr>
          <w:sz w:val="22"/>
          <w:szCs w:val="22"/>
        </w:rPr>
        <w:lastRenderedPageBreak/>
        <w:t xml:space="preserve">Tableau </w:t>
      </w:r>
      <w:r w:rsidRPr="00BB7517">
        <w:rPr>
          <w:sz w:val="22"/>
          <w:szCs w:val="22"/>
        </w:rPr>
        <w:fldChar w:fldCharType="begin"/>
      </w:r>
      <w:r w:rsidRPr="00BB7517">
        <w:rPr>
          <w:sz w:val="22"/>
          <w:szCs w:val="22"/>
        </w:rPr>
        <w:instrText xml:space="preserve"> SEQ Tableau \* ARABIC </w:instrText>
      </w:r>
      <w:r w:rsidRPr="00BB7517">
        <w:rPr>
          <w:sz w:val="22"/>
          <w:szCs w:val="22"/>
        </w:rPr>
        <w:fldChar w:fldCharType="separate"/>
      </w:r>
      <w:r w:rsidR="0018772E">
        <w:rPr>
          <w:noProof/>
          <w:sz w:val="22"/>
          <w:szCs w:val="22"/>
        </w:rPr>
        <w:t>44</w:t>
      </w:r>
      <w:r w:rsidRPr="00BB7517">
        <w:rPr>
          <w:sz w:val="22"/>
          <w:szCs w:val="22"/>
        </w:rPr>
        <w:fldChar w:fldCharType="end"/>
      </w:r>
      <w:r w:rsidRPr="00BB7517">
        <w:rPr>
          <w:sz w:val="22"/>
          <w:szCs w:val="22"/>
        </w:rPr>
        <w:t> :</w:t>
      </w:r>
      <w:r w:rsidRPr="00783E23">
        <w:t xml:space="preserve"> </w:t>
      </w:r>
      <w:r>
        <w:rPr>
          <w:sz w:val="22"/>
          <w:szCs w:val="22"/>
        </w:rPr>
        <w:t>Projets d’adaptation</w:t>
      </w:r>
      <w:r w:rsidRPr="00783E23">
        <w:rPr>
          <w:sz w:val="22"/>
          <w:szCs w:val="22"/>
        </w:rPr>
        <w:t xml:space="preserve"> identifiés pour le</w:t>
      </w:r>
      <w:r>
        <w:rPr>
          <w:sz w:val="22"/>
          <w:szCs w:val="22"/>
        </w:rPr>
        <w:t xml:space="preserve"> secteur </w:t>
      </w:r>
      <w:r w:rsidR="0005200C">
        <w:rPr>
          <w:sz w:val="22"/>
          <w:szCs w:val="22"/>
        </w:rPr>
        <w:t>des infrastructures</w:t>
      </w:r>
      <w:r w:rsidRPr="00783E23">
        <w:rPr>
          <w:sz w:val="22"/>
          <w:szCs w:val="22"/>
        </w:rPr>
        <w:t xml:space="preserve"> dans le cadre de la CDN 3</w:t>
      </w:r>
      <w:r w:rsidR="00925DAB">
        <w:rPr>
          <w:sz w:val="22"/>
          <w:szCs w:val="22"/>
        </w:rPr>
        <w:t xml:space="preserve"> </w:t>
      </w:r>
      <w:r w:rsidRPr="00783E23">
        <w:rPr>
          <w:sz w:val="22"/>
          <w:szCs w:val="22"/>
        </w:rPr>
        <w:t>0</w:t>
      </w:r>
      <w:bookmarkEnd w:id="120"/>
    </w:p>
    <w:tbl>
      <w:tblPr>
        <w:tblStyle w:val="Grilledutableau"/>
        <w:tblW w:w="13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2385"/>
        <w:gridCol w:w="2262"/>
        <w:gridCol w:w="5401"/>
        <w:gridCol w:w="1790"/>
        <w:gridCol w:w="1078"/>
      </w:tblGrid>
      <w:tr w:rsidR="001D6723" w:rsidRPr="00443BE2" w14:paraId="32D6A9CF" w14:textId="77777777" w:rsidTr="00443BE2">
        <w:trPr>
          <w:trHeight w:val="703"/>
          <w:tblHeader/>
        </w:trPr>
        <w:tc>
          <w:tcPr>
            <w:tcW w:w="43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6D613FFA" w14:textId="77777777" w:rsidR="001D6723" w:rsidRPr="00443BE2" w:rsidRDefault="001D6723" w:rsidP="00020A81">
            <w:pPr>
              <w:jc w:val="center"/>
              <w:rPr>
                <w:b/>
                <w:color w:val="FFFFFF" w:themeColor="background1"/>
                <w:sz w:val="18"/>
                <w:szCs w:val="18"/>
              </w:rPr>
            </w:pPr>
            <w:r w:rsidRPr="00443BE2">
              <w:rPr>
                <w:b/>
                <w:color w:val="FFFFFF" w:themeColor="background1"/>
                <w:sz w:val="18"/>
                <w:szCs w:val="18"/>
              </w:rPr>
              <w:t>N°</w:t>
            </w:r>
          </w:p>
        </w:tc>
        <w:tc>
          <w:tcPr>
            <w:tcW w:w="238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46E043B2" w14:textId="77777777" w:rsidR="001D6723" w:rsidRPr="00443BE2" w:rsidRDefault="001D6723" w:rsidP="00020A81">
            <w:pPr>
              <w:jc w:val="center"/>
              <w:rPr>
                <w:b/>
                <w:color w:val="FFFFFF" w:themeColor="background1"/>
                <w:sz w:val="18"/>
                <w:szCs w:val="18"/>
              </w:rPr>
            </w:pPr>
            <w:r w:rsidRPr="00443BE2">
              <w:rPr>
                <w:b/>
                <w:color w:val="FFFFFF" w:themeColor="background1"/>
                <w:sz w:val="18"/>
                <w:szCs w:val="18"/>
              </w:rPr>
              <w:t>Projets</w:t>
            </w:r>
          </w:p>
        </w:tc>
        <w:tc>
          <w:tcPr>
            <w:tcW w:w="226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2491D078" w14:textId="77777777" w:rsidR="001D6723" w:rsidRPr="00443BE2" w:rsidRDefault="001D6723" w:rsidP="00020A81">
            <w:pPr>
              <w:jc w:val="center"/>
              <w:rPr>
                <w:b/>
                <w:color w:val="FFFFFF" w:themeColor="background1"/>
                <w:sz w:val="18"/>
                <w:szCs w:val="18"/>
              </w:rPr>
            </w:pPr>
            <w:r w:rsidRPr="00443BE2">
              <w:rPr>
                <w:b/>
                <w:color w:val="FFFFFF" w:themeColor="background1"/>
                <w:sz w:val="18"/>
                <w:szCs w:val="18"/>
              </w:rPr>
              <w:t>Porteur</w:t>
            </w:r>
          </w:p>
        </w:tc>
        <w:tc>
          <w:tcPr>
            <w:tcW w:w="540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08F7460B" w14:textId="77777777" w:rsidR="001D6723" w:rsidRPr="00443BE2" w:rsidRDefault="001D6723" w:rsidP="00020A81">
            <w:pPr>
              <w:jc w:val="center"/>
              <w:rPr>
                <w:b/>
                <w:color w:val="FFFFFF" w:themeColor="background1"/>
                <w:sz w:val="18"/>
                <w:szCs w:val="18"/>
              </w:rPr>
            </w:pPr>
            <w:r w:rsidRPr="00443BE2">
              <w:rPr>
                <w:b/>
                <w:color w:val="FFFFFF" w:themeColor="background1"/>
                <w:sz w:val="18"/>
                <w:szCs w:val="18"/>
              </w:rPr>
              <w:t>Objectif et description</w:t>
            </w:r>
          </w:p>
        </w:tc>
        <w:tc>
          <w:tcPr>
            <w:tcW w:w="179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1146BB30" w14:textId="77777777" w:rsidR="001D6723" w:rsidRPr="00443BE2" w:rsidRDefault="001D6723" w:rsidP="00020A81">
            <w:pPr>
              <w:jc w:val="center"/>
              <w:rPr>
                <w:b/>
                <w:color w:val="FFFFFF" w:themeColor="background1"/>
                <w:sz w:val="18"/>
                <w:szCs w:val="18"/>
              </w:rPr>
            </w:pPr>
            <w:r w:rsidRPr="00443BE2">
              <w:rPr>
                <w:b/>
                <w:color w:val="FFFFFF" w:themeColor="background1"/>
                <w:sz w:val="18"/>
                <w:szCs w:val="18"/>
              </w:rPr>
              <w:t>Période de mise en œuvre</w:t>
            </w:r>
          </w:p>
        </w:tc>
        <w:tc>
          <w:tcPr>
            <w:tcW w:w="1078"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6187D3D6" w14:textId="77777777" w:rsidR="001D6723" w:rsidRPr="00443BE2" w:rsidRDefault="001D6723" w:rsidP="00020A81">
            <w:pPr>
              <w:jc w:val="center"/>
              <w:rPr>
                <w:b/>
                <w:color w:val="FFFFFF" w:themeColor="background1"/>
                <w:sz w:val="18"/>
                <w:szCs w:val="18"/>
              </w:rPr>
            </w:pPr>
            <w:r w:rsidRPr="00443BE2">
              <w:rPr>
                <w:b/>
                <w:color w:val="FFFFFF" w:themeColor="background1"/>
                <w:sz w:val="18"/>
                <w:szCs w:val="18"/>
              </w:rPr>
              <w:t>Statut</w:t>
            </w:r>
          </w:p>
        </w:tc>
      </w:tr>
      <w:tr w:rsidR="001D6723" w:rsidRPr="00443BE2" w14:paraId="7D8A4CF5" w14:textId="77777777" w:rsidTr="00443BE2">
        <w:tc>
          <w:tcPr>
            <w:tcW w:w="437" w:type="dxa"/>
            <w:tcBorders>
              <w:top w:val="single" w:sz="4" w:space="0" w:color="auto"/>
              <w:bottom w:val="single" w:sz="4" w:space="0" w:color="auto"/>
            </w:tcBorders>
            <w:vAlign w:val="center"/>
          </w:tcPr>
          <w:p w14:paraId="703D47B5" w14:textId="77777777" w:rsidR="001D6723" w:rsidRPr="00443BE2" w:rsidRDefault="001D6723" w:rsidP="00020A81">
            <w:pPr>
              <w:rPr>
                <w:b/>
                <w:sz w:val="18"/>
                <w:szCs w:val="18"/>
              </w:rPr>
            </w:pPr>
            <w:r w:rsidRPr="00443BE2">
              <w:rPr>
                <w:b/>
                <w:sz w:val="18"/>
                <w:szCs w:val="18"/>
              </w:rPr>
              <w:t>1</w:t>
            </w:r>
          </w:p>
        </w:tc>
        <w:tc>
          <w:tcPr>
            <w:tcW w:w="2385" w:type="dxa"/>
            <w:tcBorders>
              <w:top w:val="single" w:sz="4" w:space="0" w:color="auto"/>
              <w:bottom w:val="single" w:sz="4" w:space="0" w:color="auto"/>
            </w:tcBorders>
            <w:vAlign w:val="center"/>
          </w:tcPr>
          <w:p w14:paraId="79F4DEF7" w14:textId="2AC77B05" w:rsidR="001D6723" w:rsidRPr="00443BE2" w:rsidRDefault="004259DE" w:rsidP="00020A81">
            <w:pPr>
              <w:jc w:val="both"/>
              <w:rPr>
                <w:sz w:val="18"/>
                <w:szCs w:val="18"/>
              </w:rPr>
            </w:pPr>
            <w:r w:rsidRPr="00443BE2">
              <w:rPr>
                <w:sz w:val="18"/>
                <w:szCs w:val="18"/>
              </w:rPr>
              <w:t xml:space="preserve">Programme de </w:t>
            </w:r>
            <w:r w:rsidR="0005200C" w:rsidRPr="00443BE2">
              <w:rPr>
                <w:sz w:val="18"/>
                <w:szCs w:val="18"/>
              </w:rPr>
              <w:t>Résilience</w:t>
            </w:r>
            <w:r w:rsidRPr="00443BE2">
              <w:rPr>
                <w:sz w:val="18"/>
                <w:szCs w:val="18"/>
              </w:rPr>
              <w:t xml:space="preserve"> du </w:t>
            </w:r>
            <w:r w:rsidR="0005200C" w:rsidRPr="00443BE2">
              <w:rPr>
                <w:sz w:val="18"/>
                <w:szCs w:val="18"/>
              </w:rPr>
              <w:t>Système</w:t>
            </w:r>
            <w:r w:rsidRPr="00443BE2">
              <w:rPr>
                <w:sz w:val="18"/>
                <w:szCs w:val="18"/>
              </w:rPr>
              <w:t xml:space="preserve"> Alimentaire d’Afrique de l’Ouest (PRSA)</w:t>
            </w:r>
            <w:r w:rsidR="00942825" w:rsidRPr="00443BE2">
              <w:rPr>
                <w:sz w:val="18"/>
                <w:szCs w:val="18"/>
              </w:rPr>
              <w:t>.</w:t>
            </w:r>
            <w:r w:rsidR="00925DAB" w:rsidRPr="00443BE2">
              <w:rPr>
                <w:sz w:val="18"/>
                <w:szCs w:val="18"/>
              </w:rPr>
              <w:t xml:space="preserve"> </w:t>
            </w:r>
          </w:p>
        </w:tc>
        <w:tc>
          <w:tcPr>
            <w:tcW w:w="2262" w:type="dxa"/>
            <w:tcBorders>
              <w:top w:val="single" w:sz="4" w:space="0" w:color="auto"/>
              <w:bottom w:val="single" w:sz="4" w:space="0" w:color="auto"/>
            </w:tcBorders>
            <w:vAlign w:val="center"/>
          </w:tcPr>
          <w:p w14:paraId="421A9F71" w14:textId="73D63DC6" w:rsidR="001D6723" w:rsidRPr="00443BE2" w:rsidRDefault="0005200C" w:rsidP="00020A81">
            <w:pPr>
              <w:jc w:val="both"/>
              <w:rPr>
                <w:sz w:val="18"/>
                <w:szCs w:val="18"/>
              </w:rPr>
            </w:pPr>
            <w:r w:rsidRPr="00443BE2">
              <w:rPr>
                <w:rFonts w:eastAsia="Times New Roman"/>
                <w:sz w:val="18"/>
                <w:szCs w:val="18"/>
                <w:lang w:eastAsia="fr-FR"/>
              </w:rPr>
              <w:t xml:space="preserve">Ministère de l’Agriculture  </w:t>
            </w:r>
          </w:p>
        </w:tc>
        <w:tc>
          <w:tcPr>
            <w:tcW w:w="5401" w:type="dxa"/>
            <w:tcBorders>
              <w:top w:val="single" w:sz="4" w:space="0" w:color="auto"/>
              <w:bottom w:val="single" w:sz="4" w:space="0" w:color="auto"/>
            </w:tcBorders>
            <w:vAlign w:val="center"/>
          </w:tcPr>
          <w:p w14:paraId="126399AE" w14:textId="77777777" w:rsidR="001D6723" w:rsidRPr="00443BE2" w:rsidRDefault="001D6723" w:rsidP="00020A81">
            <w:pPr>
              <w:jc w:val="both"/>
              <w:rPr>
                <w:b/>
                <w:sz w:val="18"/>
                <w:szCs w:val="18"/>
                <w:u w:val="single"/>
              </w:rPr>
            </w:pPr>
            <w:r w:rsidRPr="00443BE2">
              <w:rPr>
                <w:b/>
                <w:sz w:val="18"/>
                <w:szCs w:val="18"/>
                <w:u w:val="single"/>
              </w:rPr>
              <w:t>Objectif </w:t>
            </w:r>
          </w:p>
          <w:p w14:paraId="120B63B5" w14:textId="47A46347" w:rsidR="001D6723" w:rsidRPr="00443BE2" w:rsidRDefault="00946320" w:rsidP="00020A81">
            <w:pPr>
              <w:jc w:val="both"/>
              <w:rPr>
                <w:sz w:val="18"/>
                <w:szCs w:val="18"/>
              </w:rPr>
            </w:pPr>
            <w:r w:rsidRPr="00443BE2">
              <w:rPr>
                <w:sz w:val="18"/>
                <w:szCs w:val="18"/>
              </w:rPr>
              <w:t>Réduire la vulnérabilité des populations et des infrastructures face aux inondations et à la variabilité hydrologique à travers le renforcement des infrastructures météorologiques par la fourniture de service de conseil numérique a la population</w:t>
            </w:r>
            <w:r w:rsidR="00942825" w:rsidRPr="00443BE2">
              <w:rPr>
                <w:sz w:val="18"/>
                <w:szCs w:val="18"/>
              </w:rPr>
              <w:t>.</w:t>
            </w:r>
            <w:r w:rsidR="001D6723" w:rsidRPr="00443BE2">
              <w:rPr>
                <w:sz w:val="18"/>
                <w:szCs w:val="18"/>
              </w:rPr>
              <w:t xml:space="preserve"> </w:t>
            </w:r>
          </w:p>
          <w:p w14:paraId="59FCD2C5" w14:textId="77777777" w:rsidR="001D6723" w:rsidRPr="00443BE2" w:rsidRDefault="001D6723" w:rsidP="00020A81">
            <w:pPr>
              <w:jc w:val="both"/>
              <w:rPr>
                <w:b/>
                <w:sz w:val="18"/>
                <w:szCs w:val="18"/>
                <w:u w:val="single"/>
              </w:rPr>
            </w:pPr>
            <w:r w:rsidRPr="00443BE2">
              <w:rPr>
                <w:b/>
                <w:sz w:val="18"/>
                <w:szCs w:val="18"/>
                <w:u w:val="single"/>
              </w:rPr>
              <w:t>Description</w:t>
            </w:r>
          </w:p>
          <w:p w14:paraId="532EBC5D" w14:textId="7A43409C" w:rsidR="001D6723" w:rsidRPr="00443BE2" w:rsidRDefault="007B18EC" w:rsidP="00020A81">
            <w:pPr>
              <w:spacing w:line="259" w:lineRule="auto"/>
              <w:jc w:val="both"/>
              <w:rPr>
                <w:sz w:val="18"/>
                <w:szCs w:val="18"/>
              </w:rPr>
            </w:pPr>
            <w:r w:rsidRPr="00443BE2">
              <w:rPr>
                <w:sz w:val="18"/>
                <w:szCs w:val="18"/>
              </w:rPr>
              <w:t>Le</w:t>
            </w:r>
            <w:r w:rsidR="000F7BE8" w:rsidRPr="00443BE2">
              <w:rPr>
                <w:sz w:val="18"/>
                <w:szCs w:val="18"/>
              </w:rPr>
              <w:t xml:space="preserve"> projet vise la réhabilitation et l’extension du réseau d’observation météorologique et climatique du Mali, le renforcement des capacités techniques du personnel de Mali-Météo, l’acquisition d’équipements modernes de collecte, de transmission et de traitement des données, ainsi que l’amélioration des systèmes de prévision et d’alerte précoce</w:t>
            </w:r>
            <w:r w:rsidR="00942825" w:rsidRPr="00443BE2">
              <w:rPr>
                <w:sz w:val="18"/>
                <w:szCs w:val="18"/>
              </w:rPr>
              <w:t xml:space="preserve">. </w:t>
            </w:r>
            <w:r w:rsidR="000F7BE8" w:rsidRPr="00443BE2">
              <w:rPr>
                <w:sz w:val="18"/>
                <w:szCs w:val="18"/>
              </w:rPr>
              <w:t>Il contribue directement à la réduction de la vulnérabilité des populations face aux aléas climatiques (sécheresses, inondations, vagues de chaleur, vents forts) et soutient les dispositifs nationaux de sécurité alimentaire, notamment dans le cadre du PRSA</w:t>
            </w:r>
            <w:r w:rsidR="00942825" w:rsidRPr="00443BE2">
              <w:rPr>
                <w:sz w:val="18"/>
                <w:szCs w:val="18"/>
              </w:rPr>
              <w:t>.</w:t>
            </w:r>
            <w:r w:rsidR="00925DAB" w:rsidRPr="00443BE2">
              <w:rPr>
                <w:sz w:val="18"/>
                <w:szCs w:val="18"/>
              </w:rPr>
              <w:t xml:space="preserve"> </w:t>
            </w:r>
          </w:p>
        </w:tc>
        <w:tc>
          <w:tcPr>
            <w:tcW w:w="1790" w:type="dxa"/>
            <w:tcBorders>
              <w:top w:val="single" w:sz="4" w:space="0" w:color="auto"/>
              <w:bottom w:val="single" w:sz="4" w:space="0" w:color="auto"/>
            </w:tcBorders>
            <w:vAlign w:val="center"/>
          </w:tcPr>
          <w:p w14:paraId="00B7FDDF" w14:textId="1BF0CDE3" w:rsidR="001D6723" w:rsidRPr="00443BE2" w:rsidRDefault="00BD3154" w:rsidP="00020A81">
            <w:pPr>
              <w:jc w:val="both"/>
              <w:rPr>
                <w:sz w:val="18"/>
                <w:szCs w:val="18"/>
              </w:rPr>
            </w:pPr>
            <w:r w:rsidRPr="00443BE2">
              <w:rPr>
                <w:rFonts w:hAnsiTheme="minorHAnsi" w:cstheme="minorHAnsi"/>
                <w:sz w:val="18"/>
                <w:szCs w:val="18"/>
              </w:rPr>
              <w:t>ND</w:t>
            </w:r>
          </w:p>
        </w:tc>
        <w:tc>
          <w:tcPr>
            <w:tcW w:w="1078" w:type="dxa"/>
            <w:tcBorders>
              <w:top w:val="single" w:sz="4" w:space="0" w:color="auto"/>
              <w:bottom w:val="single" w:sz="4" w:space="0" w:color="auto"/>
            </w:tcBorders>
            <w:vAlign w:val="center"/>
          </w:tcPr>
          <w:p w14:paraId="2D930DEF" w14:textId="77777777" w:rsidR="001D6723" w:rsidRPr="00443BE2" w:rsidRDefault="001D6723" w:rsidP="00020A81">
            <w:pPr>
              <w:jc w:val="both"/>
              <w:rPr>
                <w:sz w:val="18"/>
                <w:szCs w:val="18"/>
              </w:rPr>
            </w:pPr>
            <w:r w:rsidRPr="00443BE2">
              <w:rPr>
                <w:sz w:val="18"/>
                <w:szCs w:val="18"/>
              </w:rPr>
              <w:t>Programmé</w:t>
            </w:r>
          </w:p>
        </w:tc>
      </w:tr>
      <w:tr w:rsidR="00864A84" w:rsidRPr="00443BE2" w14:paraId="61D770BE" w14:textId="77777777" w:rsidTr="00443BE2">
        <w:tc>
          <w:tcPr>
            <w:tcW w:w="437" w:type="dxa"/>
            <w:tcBorders>
              <w:top w:val="single" w:sz="4" w:space="0" w:color="auto"/>
              <w:bottom w:val="single" w:sz="4" w:space="0" w:color="auto"/>
            </w:tcBorders>
            <w:vAlign w:val="center"/>
          </w:tcPr>
          <w:p w14:paraId="4EB94D9D" w14:textId="210D0915" w:rsidR="00864A84" w:rsidRPr="00443BE2" w:rsidRDefault="00864A84" w:rsidP="00020A81">
            <w:pPr>
              <w:rPr>
                <w:b/>
                <w:sz w:val="18"/>
                <w:szCs w:val="18"/>
              </w:rPr>
            </w:pPr>
            <w:r w:rsidRPr="00443BE2">
              <w:rPr>
                <w:b/>
                <w:sz w:val="18"/>
                <w:szCs w:val="18"/>
              </w:rPr>
              <w:t>2</w:t>
            </w:r>
          </w:p>
        </w:tc>
        <w:tc>
          <w:tcPr>
            <w:tcW w:w="2385" w:type="dxa"/>
            <w:tcBorders>
              <w:top w:val="single" w:sz="4" w:space="0" w:color="auto"/>
              <w:bottom w:val="single" w:sz="4" w:space="0" w:color="auto"/>
            </w:tcBorders>
            <w:vAlign w:val="center"/>
          </w:tcPr>
          <w:p w14:paraId="35E34F16" w14:textId="0327D949" w:rsidR="00864A84" w:rsidRPr="00443BE2" w:rsidRDefault="00864A84" w:rsidP="00020A81">
            <w:pPr>
              <w:jc w:val="both"/>
              <w:rPr>
                <w:sz w:val="18"/>
                <w:szCs w:val="18"/>
              </w:rPr>
            </w:pPr>
            <w:r w:rsidRPr="00443BE2">
              <w:rPr>
                <w:sz w:val="18"/>
                <w:szCs w:val="18"/>
              </w:rPr>
              <w:t>Aménagement des Points de Regroupement Normalisés (PRN), Sites de transfert et dépôts de transit à Bamako</w:t>
            </w:r>
            <w:r w:rsidR="00942825" w:rsidRPr="00443BE2">
              <w:rPr>
                <w:sz w:val="18"/>
                <w:szCs w:val="18"/>
              </w:rPr>
              <w:t>.</w:t>
            </w:r>
          </w:p>
        </w:tc>
        <w:tc>
          <w:tcPr>
            <w:tcW w:w="2262" w:type="dxa"/>
            <w:tcBorders>
              <w:top w:val="single" w:sz="4" w:space="0" w:color="auto"/>
              <w:bottom w:val="single" w:sz="4" w:space="0" w:color="auto"/>
            </w:tcBorders>
            <w:vAlign w:val="center"/>
          </w:tcPr>
          <w:p w14:paraId="6C5DCAAB" w14:textId="000B4CE1" w:rsidR="00864A84" w:rsidRPr="00443BE2" w:rsidRDefault="0048682A" w:rsidP="00020A81">
            <w:pPr>
              <w:jc w:val="both"/>
              <w:rPr>
                <w:rFonts w:eastAsia="Times New Roman"/>
                <w:sz w:val="18"/>
                <w:szCs w:val="18"/>
                <w:lang w:eastAsia="fr-FR"/>
              </w:rPr>
            </w:pPr>
            <w:r w:rsidRPr="00443BE2">
              <w:rPr>
                <w:rFonts w:eastAsia="Times New Roman"/>
                <w:sz w:val="18"/>
                <w:szCs w:val="18"/>
                <w:lang w:eastAsia="fr-FR"/>
              </w:rPr>
              <w:t>Ministère de l’Environnement, de l’Assainissement et du Développement Durable (MEADD)</w:t>
            </w:r>
          </w:p>
        </w:tc>
        <w:tc>
          <w:tcPr>
            <w:tcW w:w="5401" w:type="dxa"/>
            <w:tcBorders>
              <w:top w:val="single" w:sz="4" w:space="0" w:color="auto"/>
              <w:bottom w:val="single" w:sz="4" w:space="0" w:color="auto"/>
            </w:tcBorders>
            <w:shd w:val="clear" w:color="auto" w:fill="F2F2F2" w:themeFill="background1" w:themeFillShade="F2"/>
            <w:vAlign w:val="center"/>
          </w:tcPr>
          <w:p w14:paraId="6534ED7E" w14:textId="64D9647A" w:rsidR="00864A84" w:rsidRPr="00443BE2" w:rsidRDefault="00864A84" w:rsidP="00020A81">
            <w:pPr>
              <w:jc w:val="both"/>
              <w:rPr>
                <w:b/>
                <w:sz w:val="18"/>
                <w:szCs w:val="18"/>
                <w:u w:val="single"/>
              </w:rPr>
            </w:pPr>
          </w:p>
        </w:tc>
        <w:tc>
          <w:tcPr>
            <w:tcW w:w="1790" w:type="dxa"/>
            <w:tcBorders>
              <w:top w:val="single" w:sz="4" w:space="0" w:color="auto"/>
              <w:bottom w:val="single" w:sz="4" w:space="0" w:color="auto"/>
            </w:tcBorders>
            <w:vAlign w:val="center"/>
          </w:tcPr>
          <w:p w14:paraId="3A87DFDA" w14:textId="1D9DCFD8" w:rsidR="00864A84" w:rsidRPr="00443BE2" w:rsidRDefault="00631682" w:rsidP="00020A81">
            <w:pPr>
              <w:jc w:val="both"/>
              <w:rPr>
                <w:sz w:val="18"/>
                <w:szCs w:val="18"/>
                <w:highlight w:val="yellow"/>
              </w:rPr>
            </w:pPr>
            <w:r w:rsidRPr="00443BE2">
              <w:rPr>
                <w:sz w:val="18"/>
                <w:szCs w:val="18"/>
              </w:rPr>
              <w:t>2026-2030</w:t>
            </w:r>
          </w:p>
        </w:tc>
        <w:tc>
          <w:tcPr>
            <w:tcW w:w="1078" w:type="dxa"/>
            <w:tcBorders>
              <w:top w:val="single" w:sz="4" w:space="0" w:color="auto"/>
              <w:bottom w:val="single" w:sz="4" w:space="0" w:color="auto"/>
            </w:tcBorders>
            <w:vAlign w:val="center"/>
          </w:tcPr>
          <w:p w14:paraId="09A38950" w14:textId="198180F4" w:rsidR="00864A84" w:rsidRPr="00443BE2" w:rsidRDefault="00631682" w:rsidP="00020A81">
            <w:pPr>
              <w:jc w:val="both"/>
              <w:rPr>
                <w:sz w:val="18"/>
                <w:szCs w:val="18"/>
              </w:rPr>
            </w:pPr>
            <w:r w:rsidRPr="00443BE2">
              <w:rPr>
                <w:sz w:val="18"/>
                <w:szCs w:val="18"/>
              </w:rPr>
              <w:t>Programmé</w:t>
            </w:r>
          </w:p>
        </w:tc>
      </w:tr>
      <w:tr w:rsidR="00631682" w:rsidRPr="00443BE2" w14:paraId="2A8001E4" w14:textId="77777777" w:rsidTr="00443BE2">
        <w:tc>
          <w:tcPr>
            <w:tcW w:w="437" w:type="dxa"/>
            <w:tcBorders>
              <w:top w:val="single" w:sz="4" w:space="0" w:color="auto"/>
              <w:bottom w:val="single" w:sz="4" w:space="0" w:color="auto"/>
            </w:tcBorders>
            <w:vAlign w:val="center"/>
          </w:tcPr>
          <w:p w14:paraId="3BC31B45" w14:textId="0BD547E5" w:rsidR="00631682" w:rsidRPr="00443BE2" w:rsidRDefault="00631682" w:rsidP="00020A81">
            <w:pPr>
              <w:rPr>
                <w:b/>
                <w:sz w:val="18"/>
                <w:szCs w:val="18"/>
              </w:rPr>
            </w:pPr>
            <w:r w:rsidRPr="00443BE2">
              <w:rPr>
                <w:b/>
                <w:sz w:val="18"/>
                <w:szCs w:val="18"/>
              </w:rPr>
              <w:t>3</w:t>
            </w:r>
          </w:p>
        </w:tc>
        <w:tc>
          <w:tcPr>
            <w:tcW w:w="2385" w:type="dxa"/>
            <w:tcBorders>
              <w:top w:val="single" w:sz="4" w:space="0" w:color="auto"/>
              <w:bottom w:val="single" w:sz="4" w:space="0" w:color="auto"/>
            </w:tcBorders>
            <w:vAlign w:val="center"/>
          </w:tcPr>
          <w:p w14:paraId="46FA0719" w14:textId="3843AAE9" w:rsidR="00631682" w:rsidRPr="00443BE2" w:rsidRDefault="001C0373" w:rsidP="00020A81">
            <w:pPr>
              <w:jc w:val="both"/>
              <w:rPr>
                <w:sz w:val="18"/>
                <w:szCs w:val="18"/>
              </w:rPr>
            </w:pPr>
            <w:r w:rsidRPr="00443BE2">
              <w:rPr>
                <w:sz w:val="18"/>
                <w:szCs w:val="18"/>
              </w:rPr>
              <w:t>Construction de Centres pilotes de Tri (CT) à Bamako</w:t>
            </w:r>
            <w:r w:rsidR="003E4399" w:rsidRPr="00443BE2">
              <w:rPr>
                <w:sz w:val="18"/>
                <w:szCs w:val="18"/>
              </w:rPr>
              <w:t>.</w:t>
            </w:r>
          </w:p>
        </w:tc>
        <w:tc>
          <w:tcPr>
            <w:tcW w:w="2262" w:type="dxa"/>
            <w:tcBorders>
              <w:top w:val="single" w:sz="4" w:space="0" w:color="auto"/>
              <w:bottom w:val="single" w:sz="4" w:space="0" w:color="auto"/>
            </w:tcBorders>
            <w:vAlign w:val="center"/>
          </w:tcPr>
          <w:p w14:paraId="00EF2C8B" w14:textId="77777777" w:rsidR="00631682" w:rsidRPr="00443BE2" w:rsidRDefault="00631682" w:rsidP="00020A81">
            <w:pPr>
              <w:jc w:val="both"/>
              <w:rPr>
                <w:rFonts w:eastAsia="Times New Roman"/>
                <w:sz w:val="18"/>
                <w:szCs w:val="18"/>
                <w:lang w:eastAsia="fr-FR"/>
              </w:rPr>
            </w:pPr>
          </w:p>
        </w:tc>
        <w:tc>
          <w:tcPr>
            <w:tcW w:w="5401" w:type="dxa"/>
            <w:tcBorders>
              <w:top w:val="single" w:sz="4" w:space="0" w:color="auto"/>
              <w:bottom w:val="single" w:sz="4" w:space="0" w:color="auto"/>
            </w:tcBorders>
            <w:vAlign w:val="center"/>
          </w:tcPr>
          <w:p w14:paraId="3B592228" w14:textId="77777777" w:rsidR="00395ACC" w:rsidRPr="00443BE2" w:rsidRDefault="00395ACC" w:rsidP="00020A81">
            <w:pPr>
              <w:jc w:val="both"/>
              <w:rPr>
                <w:b/>
                <w:sz w:val="18"/>
                <w:szCs w:val="18"/>
                <w:u w:val="single"/>
              </w:rPr>
            </w:pPr>
            <w:r w:rsidRPr="00443BE2">
              <w:rPr>
                <w:b/>
                <w:sz w:val="18"/>
                <w:szCs w:val="18"/>
                <w:u w:val="single"/>
              </w:rPr>
              <w:t>Objectif </w:t>
            </w:r>
          </w:p>
          <w:p w14:paraId="6580282E" w14:textId="17007B06" w:rsidR="00395ACC" w:rsidRPr="00443BE2" w:rsidRDefault="00552595" w:rsidP="00020A81">
            <w:pPr>
              <w:jc w:val="both"/>
              <w:rPr>
                <w:sz w:val="18"/>
                <w:szCs w:val="18"/>
              </w:rPr>
            </w:pPr>
            <w:r w:rsidRPr="00443BE2">
              <w:rPr>
                <w:sz w:val="18"/>
                <w:szCs w:val="18"/>
              </w:rPr>
              <w:t>Mettre en place une gestion moderne et résiliente des déchets solides à Bamako</w:t>
            </w:r>
            <w:r w:rsidR="003E4399" w:rsidRPr="00443BE2">
              <w:rPr>
                <w:sz w:val="18"/>
                <w:szCs w:val="18"/>
              </w:rPr>
              <w:t>.</w:t>
            </w:r>
            <w:r w:rsidR="00925DAB" w:rsidRPr="00443BE2">
              <w:rPr>
                <w:sz w:val="18"/>
                <w:szCs w:val="18"/>
              </w:rPr>
              <w:t xml:space="preserve"> </w:t>
            </w:r>
            <w:r w:rsidR="00395ACC" w:rsidRPr="00443BE2">
              <w:rPr>
                <w:sz w:val="18"/>
                <w:szCs w:val="18"/>
              </w:rPr>
              <w:t xml:space="preserve"> </w:t>
            </w:r>
          </w:p>
          <w:p w14:paraId="009249C7" w14:textId="77777777" w:rsidR="00395ACC" w:rsidRPr="00443BE2" w:rsidRDefault="00395ACC" w:rsidP="00020A81">
            <w:pPr>
              <w:jc w:val="both"/>
              <w:rPr>
                <w:b/>
                <w:sz w:val="18"/>
                <w:szCs w:val="18"/>
                <w:u w:val="single"/>
              </w:rPr>
            </w:pPr>
            <w:r w:rsidRPr="00443BE2">
              <w:rPr>
                <w:b/>
                <w:sz w:val="18"/>
                <w:szCs w:val="18"/>
                <w:u w:val="single"/>
              </w:rPr>
              <w:t>Description</w:t>
            </w:r>
          </w:p>
          <w:p w14:paraId="728C7788" w14:textId="43F4031A" w:rsidR="00631682" w:rsidRPr="00443BE2" w:rsidRDefault="00C476BE" w:rsidP="00020A81">
            <w:pPr>
              <w:jc w:val="both"/>
              <w:rPr>
                <w:sz w:val="18"/>
                <w:szCs w:val="18"/>
                <w:highlight w:val="yellow"/>
              </w:rPr>
            </w:pPr>
            <w:r w:rsidRPr="00443BE2">
              <w:rPr>
                <w:sz w:val="18"/>
                <w:szCs w:val="18"/>
              </w:rPr>
              <w:t>Le projet consiste en la conception et la construction d’infrastructures modernes de gestion des déchets appelés centre de tri dans les zones stratégiques du District de Bamako</w:t>
            </w:r>
            <w:r w:rsidR="00942825" w:rsidRPr="00443BE2">
              <w:rPr>
                <w:sz w:val="18"/>
                <w:szCs w:val="18"/>
              </w:rPr>
              <w:t>.</w:t>
            </w:r>
            <w:r w:rsidR="00925DAB" w:rsidRPr="00443BE2">
              <w:rPr>
                <w:sz w:val="18"/>
                <w:szCs w:val="18"/>
              </w:rPr>
              <w:t xml:space="preserve"> </w:t>
            </w:r>
          </w:p>
        </w:tc>
        <w:tc>
          <w:tcPr>
            <w:tcW w:w="1790" w:type="dxa"/>
            <w:tcBorders>
              <w:top w:val="single" w:sz="4" w:space="0" w:color="auto"/>
              <w:bottom w:val="single" w:sz="4" w:space="0" w:color="auto"/>
            </w:tcBorders>
            <w:vAlign w:val="center"/>
          </w:tcPr>
          <w:p w14:paraId="11D28E9A" w14:textId="796DCA04" w:rsidR="00631682" w:rsidRPr="00443BE2" w:rsidRDefault="008F03C9" w:rsidP="00020A81">
            <w:pPr>
              <w:jc w:val="both"/>
              <w:rPr>
                <w:sz w:val="18"/>
                <w:szCs w:val="18"/>
              </w:rPr>
            </w:pPr>
            <w:r w:rsidRPr="00443BE2">
              <w:rPr>
                <w:sz w:val="18"/>
                <w:szCs w:val="18"/>
              </w:rPr>
              <w:t>2026-2030</w:t>
            </w:r>
          </w:p>
        </w:tc>
        <w:tc>
          <w:tcPr>
            <w:tcW w:w="1078" w:type="dxa"/>
            <w:tcBorders>
              <w:top w:val="single" w:sz="4" w:space="0" w:color="auto"/>
              <w:bottom w:val="single" w:sz="4" w:space="0" w:color="auto"/>
            </w:tcBorders>
            <w:vAlign w:val="center"/>
          </w:tcPr>
          <w:p w14:paraId="55B56211" w14:textId="77777777" w:rsidR="00631682" w:rsidRPr="00443BE2" w:rsidRDefault="00631682" w:rsidP="00020A81">
            <w:pPr>
              <w:jc w:val="both"/>
              <w:rPr>
                <w:sz w:val="18"/>
                <w:szCs w:val="18"/>
              </w:rPr>
            </w:pPr>
          </w:p>
        </w:tc>
      </w:tr>
    </w:tbl>
    <w:p w14:paraId="44AC781C" w14:textId="77777777" w:rsidR="001D6723" w:rsidRDefault="001D6723" w:rsidP="001D6723">
      <w:pPr>
        <w:sectPr w:rsidR="001D6723" w:rsidSect="00B34D74">
          <w:pgSz w:w="15840" w:h="12240" w:orient="landscape" w:code="1"/>
          <w:pgMar w:top="1411" w:right="1411" w:bottom="1411" w:left="1411" w:header="706" w:footer="706" w:gutter="0"/>
          <w:cols w:space="708"/>
          <w:docGrid w:linePitch="360"/>
        </w:sectPr>
      </w:pPr>
    </w:p>
    <w:p w14:paraId="2788ADFA" w14:textId="77777777" w:rsidR="001D6723" w:rsidRDefault="001D6723" w:rsidP="002C3767">
      <w:pPr>
        <w:pStyle w:val="Titre3"/>
        <w:numPr>
          <w:ilvl w:val="2"/>
          <w:numId w:val="21"/>
        </w:numPr>
      </w:pPr>
      <w:bookmarkStart w:id="121" w:name="_Toc234853907"/>
      <w:r w:rsidRPr="00332D2B">
        <w:lastRenderedPageBreak/>
        <w:t>Besoins de financement et conditionnalité</w:t>
      </w:r>
      <w:bookmarkEnd w:id="121"/>
      <w:r w:rsidRPr="00332D2B">
        <w:t xml:space="preserve"> </w:t>
      </w:r>
    </w:p>
    <w:p w14:paraId="41872790" w14:textId="366FE925" w:rsidR="001D6723" w:rsidRDefault="009339DE" w:rsidP="001D6723">
      <w:pPr>
        <w:spacing w:after="120" w:line="320" w:lineRule="atLeast"/>
        <w:jc w:val="both"/>
      </w:pPr>
      <w:r w:rsidRPr="009339DE">
        <w:t xml:space="preserve">Les trois projets identifiés dans le secteur des infrastructures représentent un coût total estimé à environ </w:t>
      </w:r>
      <w:r w:rsidRPr="002B07A7">
        <w:rPr>
          <w:b/>
          <w:bCs/>
        </w:rPr>
        <w:t>38,7 milliards de F CFA</w:t>
      </w:r>
      <w:r w:rsidRPr="009339DE">
        <w:t>, dont 36 milliards de F CFA pour le Programme de Résilience du Système Alimentaire d’Afrique de l’Ouest (PRSA), 2,5 milliards de FCFA pour le projet d’aménagement des Points de Regroupement Normalisés (PRN), sites de transfert et dépôts de transit à Bamako, et 200 millions de FCFA pour le projet de construction de Centres pilotes de Tri à Bamako</w:t>
      </w:r>
      <w:r w:rsidR="00925DAB">
        <w:t xml:space="preserve"> </w:t>
      </w:r>
      <w:r w:rsidRPr="009339DE">
        <w:t xml:space="preserve"> Le financement du PRSA repose à la fois sur des ressources publiques, à hauteur de 30 millions USD, et sur des financements internationaux du même montant</w:t>
      </w:r>
      <w:r w:rsidR="00925DAB">
        <w:t xml:space="preserve"> </w:t>
      </w:r>
      <w:r w:rsidRPr="009339DE">
        <w:t xml:space="preserve"> En revanche, les sources de financement des deux autres projets restent à identifier et aucun financement n’a été mobilisé à ce stade</w:t>
      </w:r>
      <w:r w:rsidR="00925DAB">
        <w:t xml:space="preserve"> </w:t>
      </w:r>
      <w:r w:rsidRPr="009339DE">
        <w:t xml:space="preserve"> L’ensemble des projets demeure conditionnel à la mobilisation effective des financements nécessaires à leur mise en œuvre</w:t>
      </w:r>
      <w:r w:rsidR="00925DAB">
        <w:t xml:space="preserve"> </w:t>
      </w:r>
    </w:p>
    <w:p w14:paraId="79058DAF" w14:textId="26B00186" w:rsidR="001D6723" w:rsidRPr="001335D1" w:rsidRDefault="001D6723" w:rsidP="001D6723">
      <w:pPr>
        <w:pStyle w:val="Lgende"/>
        <w:keepNext/>
        <w:spacing w:after="0"/>
        <w:rPr>
          <w:sz w:val="20"/>
          <w:szCs w:val="20"/>
        </w:rPr>
      </w:pPr>
      <w:bookmarkStart w:id="122" w:name="_Toc234853969"/>
      <w:r w:rsidRPr="001335D1">
        <w:rPr>
          <w:sz w:val="20"/>
          <w:szCs w:val="20"/>
        </w:rPr>
        <w:t xml:space="preserve">Tableau </w:t>
      </w:r>
      <w:r w:rsidRPr="001335D1">
        <w:rPr>
          <w:sz w:val="20"/>
          <w:szCs w:val="20"/>
        </w:rPr>
        <w:fldChar w:fldCharType="begin"/>
      </w:r>
      <w:r w:rsidRPr="001335D1">
        <w:rPr>
          <w:sz w:val="20"/>
          <w:szCs w:val="20"/>
        </w:rPr>
        <w:instrText xml:space="preserve"> SEQ Tableau \* ARABIC </w:instrText>
      </w:r>
      <w:r w:rsidRPr="001335D1">
        <w:rPr>
          <w:sz w:val="20"/>
          <w:szCs w:val="20"/>
        </w:rPr>
        <w:fldChar w:fldCharType="separate"/>
      </w:r>
      <w:r w:rsidR="0018772E">
        <w:rPr>
          <w:noProof/>
          <w:sz w:val="20"/>
          <w:szCs w:val="20"/>
        </w:rPr>
        <w:t>45</w:t>
      </w:r>
      <w:r w:rsidRPr="001335D1">
        <w:rPr>
          <w:sz w:val="20"/>
          <w:szCs w:val="20"/>
        </w:rPr>
        <w:fldChar w:fldCharType="end"/>
      </w:r>
      <w:r w:rsidRPr="001335D1">
        <w:rPr>
          <w:sz w:val="20"/>
          <w:szCs w:val="20"/>
        </w:rPr>
        <w:t> :</w:t>
      </w:r>
      <w:r w:rsidRPr="001335D1">
        <w:rPr>
          <w:sz w:val="16"/>
          <w:szCs w:val="16"/>
        </w:rPr>
        <w:t xml:space="preserve"> </w:t>
      </w:r>
      <w:r w:rsidRPr="001335D1">
        <w:rPr>
          <w:sz w:val="20"/>
          <w:szCs w:val="20"/>
        </w:rPr>
        <w:t xml:space="preserve">Financement des projets d’adaptation du secteur </w:t>
      </w:r>
      <w:r w:rsidR="00C2391C" w:rsidRPr="001335D1">
        <w:rPr>
          <w:sz w:val="20"/>
          <w:szCs w:val="20"/>
        </w:rPr>
        <w:t>des infrastr</w:t>
      </w:r>
      <w:r w:rsidR="00663778" w:rsidRPr="001335D1">
        <w:rPr>
          <w:sz w:val="20"/>
          <w:szCs w:val="20"/>
        </w:rPr>
        <w:t>uctures</w:t>
      </w:r>
      <w:r w:rsidRPr="001335D1">
        <w:rPr>
          <w:sz w:val="20"/>
          <w:szCs w:val="20"/>
        </w:rPr>
        <w:t xml:space="preserve"> dans le cadre de la CDN 3</w:t>
      </w:r>
      <w:r w:rsidR="00925DAB" w:rsidRPr="001335D1">
        <w:rPr>
          <w:sz w:val="20"/>
          <w:szCs w:val="20"/>
        </w:rPr>
        <w:t xml:space="preserve"> </w:t>
      </w:r>
      <w:r w:rsidRPr="001335D1">
        <w:rPr>
          <w:sz w:val="20"/>
          <w:szCs w:val="20"/>
        </w:rPr>
        <w:t>0</w:t>
      </w:r>
      <w:bookmarkEnd w:id="122"/>
    </w:p>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4004"/>
        <w:gridCol w:w="1532"/>
        <w:gridCol w:w="1935"/>
        <w:gridCol w:w="1501"/>
      </w:tblGrid>
      <w:tr w:rsidR="001D6723" w:rsidRPr="00443BE2" w14:paraId="264BACCB" w14:textId="77777777" w:rsidTr="00F52AB5">
        <w:trPr>
          <w:trHeight w:val="680"/>
        </w:trPr>
        <w:tc>
          <w:tcPr>
            <w:tcW w:w="4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651972A0" w14:textId="77777777" w:rsidR="001D6723" w:rsidRPr="00443BE2" w:rsidRDefault="001D6723">
            <w:pPr>
              <w:jc w:val="center"/>
              <w:rPr>
                <w:b/>
                <w:color w:val="FFFFFF" w:themeColor="background1"/>
                <w:sz w:val="20"/>
                <w:szCs w:val="20"/>
              </w:rPr>
            </w:pPr>
            <w:r w:rsidRPr="00443BE2">
              <w:rPr>
                <w:b/>
                <w:color w:val="FFFFFF" w:themeColor="background1"/>
                <w:sz w:val="20"/>
                <w:szCs w:val="20"/>
              </w:rPr>
              <w:t>N°</w:t>
            </w:r>
          </w:p>
        </w:tc>
        <w:tc>
          <w:tcPr>
            <w:tcW w:w="423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1C4F4E4D" w14:textId="77777777" w:rsidR="001D6723" w:rsidRPr="00443BE2" w:rsidRDefault="001D6723">
            <w:pPr>
              <w:jc w:val="center"/>
              <w:rPr>
                <w:b/>
                <w:color w:val="FFFFFF" w:themeColor="background1"/>
                <w:sz w:val="20"/>
                <w:szCs w:val="20"/>
              </w:rPr>
            </w:pPr>
            <w:r w:rsidRPr="00443BE2">
              <w:rPr>
                <w:b/>
                <w:color w:val="FFFFFF" w:themeColor="background1"/>
                <w:sz w:val="20"/>
                <w:szCs w:val="20"/>
              </w:rPr>
              <w:t>Projets</w:t>
            </w:r>
          </w:p>
        </w:tc>
        <w:tc>
          <w:tcPr>
            <w:tcW w:w="155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297BA236" w14:textId="77777777" w:rsidR="001D6723" w:rsidRPr="00443BE2" w:rsidRDefault="001D6723">
            <w:pPr>
              <w:jc w:val="center"/>
              <w:rPr>
                <w:b/>
                <w:color w:val="FFFFFF" w:themeColor="background1"/>
                <w:sz w:val="20"/>
                <w:szCs w:val="20"/>
              </w:rPr>
            </w:pPr>
            <w:r w:rsidRPr="00443BE2">
              <w:rPr>
                <w:b/>
                <w:color w:val="FFFFFF" w:themeColor="background1"/>
                <w:sz w:val="20"/>
                <w:szCs w:val="20"/>
              </w:rPr>
              <w:t>Coût</w:t>
            </w:r>
          </w:p>
        </w:tc>
        <w:tc>
          <w:tcPr>
            <w:tcW w:w="198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070ABAFA" w14:textId="77777777" w:rsidR="001D6723" w:rsidRPr="00443BE2" w:rsidRDefault="001D6723">
            <w:pPr>
              <w:jc w:val="center"/>
              <w:rPr>
                <w:b/>
                <w:color w:val="FFFFFF" w:themeColor="background1"/>
                <w:sz w:val="20"/>
                <w:szCs w:val="20"/>
              </w:rPr>
            </w:pPr>
            <w:r w:rsidRPr="00443BE2">
              <w:rPr>
                <w:b/>
                <w:color w:val="FFFFFF" w:themeColor="background1"/>
                <w:sz w:val="20"/>
                <w:szCs w:val="20"/>
              </w:rPr>
              <w:t>Source de financement</w:t>
            </w:r>
          </w:p>
        </w:tc>
        <w:tc>
          <w:tcPr>
            <w:tcW w:w="118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4E79" w:themeFill="accent1" w:themeFillShade="80"/>
            <w:vAlign w:val="center"/>
          </w:tcPr>
          <w:p w14:paraId="41B3B5A1" w14:textId="77777777" w:rsidR="001D6723" w:rsidRPr="00443BE2" w:rsidRDefault="001D6723">
            <w:pPr>
              <w:jc w:val="center"/>
              <w:rPr>
                <w:b/>
                <w:color w:val="FFFFFF" w:themeColor="background1"/>
                <w:sz w:val="20"/>
                <w:szCs w:val="20"/>
              </w:rPr>
            </w:pPr>
            <w:r w:rsidRPr="00443BE2">
              <w:rPr>
                <w:b/>
                <w:color w:val="FFFFFF" w:themeColor="background1"/>
                <w:sz w:val="20"/>
                <w:szCs w:val="20"/>
              </w:rPr>
              <w:t>Conditionnalité</w:t>
            </w:r>
          </w:p>
        </w:tc>
      </w:tr>
      <w:tr w:rsidR="001D6723" w:rsidRPr="00443BE2" w14:paraId="6E56F57B" w14:textId="77777777" w:rsidTr="00F52AB5">
        <w:tc>
          <w:tcPr>
            <w:tcW w:w="436" w:type="dxa"/>
            <w:tcBorders>
              <w:top w:val="single" w:sz="4" w:space="0" w:color="auto"/>
              <w:left w:val="single" w:sz="4" w:space="0" w:color="auto"/>
              <w:bottom w:val="single" w:sz="4" w:space="0" w:color="auto"/>
              <w:right w:val="single" w:sz="4" w:space="0" w:color="auto"/>
            </w:tcBorders>
          </w:tcPr>
          <w:p w14:paraId="4030B047" w14:textId="77777777" w:rsidR="001D6723" w:rsidRPr="00443BE2" w:rsidRDefault="001D6723">
            <w:pPr>
              <w:rPr>
                <w:b/>
                <w:sz w:val="20"/>
                <w:szCs w:val="20"/>
              </w:rPr>
            </w:pPr>
            <w:r w:rsidRPr="00443BE2">
              <w:rPr>
                <w:b/>
                <w:sz w:val="20"/>
                <w:szCs w:val="20"/>
              </w:rPr>
              <w:t>1</w:t>
            </w:r>
          </w:p>
        </w:tc>
        <w:tc>
          <w:tcPr>
            <w:tcW w:w="4237" w:type="dxa"/>
            <w:tcBorders>
              <w:top w:val="single" w:sz="4" w:space="0" w:color="auto"/>
              <w:left w:val="single" w:sz="4" w:space="0" w:color="auto"/>
              <w:bottom w:val="single" w:sz="4" w:space="0" w:color="auto"/>
              <w:right w:val="single" w:sz="4" w:space="0" w:color="auto"/>
            </w:tcBorders>
          </w:tcPr>
          <w:p w14:paraId="26E7670A" w14:textId="538F3727" w:rsidR="001D6723" w:rsidRPr="00443BE2" w:rsidRDefault="00CA2F23">
            <w:pPr>
              <w:jc w:val="both"/>
              <w:rPr>
                <w:sz w:val="20"/>
                <w:szCs w:val="20"/>
              </w:rPr>
            </w:pPr>
            <w:r w:rsidRPr="00443BE2">
              <w:rPr>
                <w:sz w:val="20"/>
                <w:szCs w:val="20"/>
              </w:rPr>
              <w:t>Programme de Résilience du Système Alimentaire d’Afrique de l’Ouest (PRSA)</w:t>
            </w:r>
            <w:r w:rsidR="003E4399" w:rsidRPr="00443BE2">
              <w:rPr>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1668BCE8" w14:textId="524AD7E3" w:rsidR="001D6723" w:rsidRPr="00443BE2" w:rsidRDefault="00E421FD" w:rsidP="00E421FD">
            <w:pPr>
              <w:jc w:val="both"/>
              <w:rPr>
                <w:sz w:val="20"/>
                <w:szCs w:val="20"/>
              </w:rPr>
            </w:pPr>
            <w:r w:rsidRPr="00C2391C">
              <w:rPr>
                <w:rFonts w:eastAsia="Times New Roman"/>
                <w:b/>
                <w:sz w:val="20"/>
                <w:szCs w:val="20"/>
                <w:lang w:eastAsia="fr-FR"/>
              </w:rPr>
              <w:t>60 Millions de dollars EU (36 milliards de F CFA )</w:t>
            </w:r>
            <w:r w:rsidR="00925DAB">
              <w:rPr>
                <w:rFonts w:eastAsia="Times New Roman"/>
                <w:b/>
                <w:sz w:val="20"/>
                <w:szCs w:val="20"/>
                <w:lang w:eastAsia="fr-FR"/>
              </w:rPr>
              <w:t xml:space="preserve"> </w:t>
            </w:r>
          </w:p>
        </w:tc>
        <w:tc>
          <w:tcPr>
            <w:tcW w:w="1985" w:type="dxa"/>
            <w:tcBorders>
              <w:top w:val="single" w:sz="4" w:space="0" w:color="auto"/>
              <w:left w:val="single" w:sz="4" w:space="0" w:color="auto"/>
              <w:bottom w:val="single" w:sz="4" w:space="0" w:color="auto"/>
              <w:right w:val="single" w:sz="4" w:space="0" w:color="auto"/>
            </w:tcBorders>
          </w:tcPr>
          <w:p w14:paraId="32360FD2" w14:textId="77777777" w:rsidR="006C1C0E" w:rsidRPr="00443BE2" w:rsidRDefault="006C1C0E" w:rsidP="008A3661">
            <w:pPr>
              <w:pStyle w:val="Paragraphedeliste"/>
              <w:numPr>
                <w:ilvl w:val="0"/>
                <w:numId w:val="41"/>
              </w:numPr>
              <w:ind w:left="113" w:hanging="113"/>
              <w:jc w:val="both"/>
              <w:rPr>
                <w:sz w:val="20"/>
                <w:szCs w:val="20"/>
              </w:rPr>
            </w:pPr>
            <w:r w:rsidRPr="00443BE2">
              <w:rPr>
                <w:sz w:val="20"/>
                <w:szCs w:val="20"/>
              </w:rPr>
              <w:t>Public : 30 millions USD</w:t>
            </w:r>
          </w:p>
          <w:p w14:paraId="4B23D4B1" w14:textId="4F2E18B7" w:rsidR="001D6723" w:rsidRPr="00443BE2" w:rsidRDefault="006C1C0E" w:rsidP="008A3661">
            <w:pPr>
              <w:pStyle w:val="Paragraphedeliste"/>
              <w:numPr>
                <w:ilvl w:val="0"/>
                <w:numId w:val="41"/>
              </w:numPr>
              <w:ind w:left="113" w:hanging="113"/>
              <w:jc w:val="both"/>
              <w:rPr>
                <w:sz w:val="20"/>
                <w:szCs w:val="20"/>
              </w:rPr>
            </w:pPr>
            <w:r w:rsidRPr="00443BE2">
              <w:rPr>
                <w:sz w:val="20"/>
                <w:szCs w:val="20"/>
              </w:rPr>
              <w:t>International : 30 millions USD</w:t>
            </w:r>
          </w:p>
        </w:tc>
        <w:tc>
          <w:tcPr>
            <w:tcW w:w="1189" w:type="dxa"/>
            <w:tcBorders>
              <w:top w:val="single" w:sz="4" w:space="0" w:color="auto"/>
              <w:left w:val="single" w:sz="4" w:space="0" w:color="auto"/>
              <w:bottom w:val="single" w:sz="4" w:space="0" w:color="auto"/>
              <w:right w:val="single" w:sz="4" w:space="0" w:color="auto"/>
            </w:tcBorders>
          </w:tcPr>
          <w:p w14:paraId="38A35DEC" w14:textId="525E1F9E" w:rsidR="001D6723" w:rsidRPr="00443BE2" w:rsidRDefault="006C1C0E">
            <w:pPr>
              <w:rPr>
                <w:sz w:val="20"/>
                <w:szCs w:val="20"/>
                <w:highlight w:val="yellow"/>
              </w:rPr>
            </w:pPr>
            <w:r w:rsidRPr="00443BE2">
              <w:rPr>
                <w:sz w:val="20"/>
                <w:szCs w:val="20"/>
              </w:rPr>
              <w:t>Conditionnel</w:t>
            </w:r>
          </w:p>
        </w:tc>
      </w:tr>
      <w:tr w:rsidR="00BD3154" w:rsidRPr="00443BE2" w14:paraId="3DFBE69D" w14:textId="77777777" w:rsidTr="00F52AB5">
        <w:tc>
          <w:tcPr>
            <w:tcW w:w="436" w:type="dxa"/>
            <w:tcBorders>
              <w:top w:val="single" w:sz="4" w:space="0" w:color="auto"/>
              <w:left w:val="single" w:sz="4" w:space="0" w:color="auto"/>
              <w:bottom w:val="single" w:sz="4" w:space="0" w:color="auto"/>
              <w:right w:val="single" w:sz="4" w:space="0" w:color="auto"/>
            </w:tcBorders>
          </w:tcPr>
          <w:p w14:paraId="6B0519C3" w14:textId="0C463FC1" w:rsidR="00BD3154" w:rsidRPr="00443BE2" w:rsidRDefault="00BD3154" w:rsidP="00BD3154">
            <w:pPr>
              <w:rPr>
                <w:b/>
                <w:sz w:val="20"/>
                <w:szCs w:val="20"/>
              </w:rPr>
            </w:pPr>
            <w:r w:rsidRPr="00443BE2">
              <w:rPr>
                <w:b/>
                <w:sz w:val="20"/>
                <w:szCs w:val="20"/>
              </w:rPr>
              <w:t>2</w:t>
            </w:r>
          </w:p>
        </w:tc>
        <w:tc>
          <w:tcPr>
            <w:tcW w:w="4237" w:type="dxa"/>
            <w:tcBorders>
              <w:top w:val="single" w:sz="4" w:space="0" w:color="auto"/>
              <w:left w:val="single" w:sz="4" w:space="0" w:color="auto"/>
              <w:bottom w:val="single" w:sz="4" w:space="0" w:color="auto"/>
              <w:right w:val="single" w:sz="4" w:space="0" w:color="auto"/>
            </w:tcBorders>
          </w:tcPr>
          <w:p w14:paraId="3DBA3C82" w14:textId="6706024A" w:rsidR="00BD3154" w:rsidRPr="00443BE2" w:rsidRDefault="00BD3154" w:rsidP="00BD3154">
            <w:pPr>
              <w:jc w:val="both"/>
              <w:rPr>
                <w:sz w:val="20"/>
                <w:szCs w:val="20"/>
              </w:rPr>
            </w:pPr>
            <w:r w:rsidRPr="00443BE2">
              <w:rPr>
                <w:sz w:val="20"/>
                <w:szCs w:val="20"/>
              </w:rPr>
              <w:t>Aménagement des Points de Regroupement Normalisés (PRN), Sites de transfert et dépôts de transit à Bamako</w:t>
            </w:r>
            <w:r w:rsidR="003E4399" w:rsidRPr="00443BE2">
              <w:rPr>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2CB02C02" w14:textId="6DC6730C" w:rsidR="00BD3154" w:rsidRPr="00C2391C" w:rsidRDefault="00BD3154" w:rsidP="00BD3154">
            <w:pPr>
              <w:jc w:val="both"/>
              <w:rPr>
                <w:rFonts w:eastAsia="Times New Roman"/>
                <w:b/>
                <w:sz w:val="20"/>
                <w:szCs w:val="20"/>
                <w:lang w:eastAsia="fr-FR"/>
              </w:rPr>
            </w:pPr>
            <w:r w:rsidRPr="00FE2A02">
              <w:rPr>
                <w:rFonts w:eastAsia="Times New Roman"/>
                <w:b/>
                <w:sz w:val="20"/>
                <w:szCs w:val="20"/>
                <w:lang w:eastAsia="fr-FR"/>
              </w:rPr>
              <w:t>2,5 milliards de FCFA</w:t>
            </w:r>
          </w:p>
        </w:tc>
        <w:tc>
          <w:tcPr>
            <w:tcW w:w="1985" w:type="dxa"/>
            <w:tcBorders>
              <w:top w:val="single" w:sz="4" w:space="0" w:color="auto"/>
              <w:left w:val="single" w:sz="4" w:space="0" w:color="auto"/>
              <w:bottom w:val="single" w:sz="4" w:space="0" w:color="auto"/>
              <w:right w:val="single" w:sz="4" w:space="0" w:color="auto"/>
            </w:tcBorders>
          </w:tcPr>
          <w:p w14:paraId="7D9507F6" w14:textId="34DD717F" w:rsidR="00BD3154" w:rsidRPr="00443BE2" w:rsidRDefault="00BD3154" w:rsidP="00BD3154">
            <w:pPr>
              <w:jc w:val="both"/>
              <w:rPr>
                <w:sz w:val="20"/>
                <w:szCs w:val="20"/>
              </w:rPr>
            </w:pPr>
            <w:r w:rsidRPr="00443BE2">
              <w:rPr>
                <w:rFonts w:hAnsiTheme="minorHAnsi" w:cstheme="minorHAnsi"/>
                <w:sz w:val="20"/>
                <w:szCs w:val="20"/>
              </w:rPr>
              <w:t>ND</w:t>
            </w:r>
          </w:p>
        </w:tc>
        <w:tc>
          <w:tcPr>
            <w:tcW w:w="1189" w:type="dxa"/>
            <w:tcBorders>
              <w:top w:val="single" w:sz="4" w:space="0" w:color="auto"/>
              <w:left w:val="single" w:sz="4" w:space="0" w:color="auto"/>
              <w:bottom w:val="single" w:sz="4" w:space="0" w:color="auto"/>
              <w:right w:val="single" w:sz="4" w:space="0" w:color="auto"/>
            </w:tcBorders>
          </w:tcPr>
          <w:p w14:paraId="595F7442" w14:textId="5A97F175" w:rsidR="00BD3154" w:rsidRPr="00443BE2" w:rsidRDefault="00BD3154" w:rsidP="00BD3154">
            <w:pPr>
              <w:rPr>
                <w:sz w:val="20"/>
                <w:szCs w:val="20"/>
              </w:rPr>
            </w:pPr>
            <w:r w:rsidRPr="00443BE2">
              <w:rPr>
                <w:sz w:val="20"/>
                <w:szCs w:val="20"/>
              </w:rPr>
              <w:t>Conditionnel</w:t>
            </w:r>
          </w:p>
        </w:tc>
      </w:tr>
      <w:tr w:rsidR="00BD3154" w:rsidRPr="00443BE2" w14:paraId="7A0AC3AC" w14:textId="77777777" w:rsidTr="00F52AB5">
        <w:tc>
          <w:tcPr>
            <w:tcW w:w="436" w:type="dxa"/>
            <w:tcBorders>
              <w:top w:val="single" w:sz="4" w:space="0" w:color="auto"/>
              <w:left w:val="single" w:sz="4" w:space="0" w:color="auto"/>
              <w:bottom w:val="single" w:sz="4" w:space="0" w:color="auto"/>
              <w:right w:val="single" w:sz="4" w:space="0" w:color="auto"/>
            </w:tcBorders>
          </w:tcPr>
          <w:p w14:paraId="03AAEFB2" w14:textId="7E088116" w:rsidR="00BD3154" w:rsidRPr="00443BE2" w:rsidRDefault="00BD3154" w:rsidP="00BD3154">
            <w:pPr>
              <w:rPr>
                <w:b/>
                <w:sz w:val="20"/>
                <w:szCs w:val="20"/>
              </w:rPr>
            </w:pPr>
            <w:r w:rsidRPr="00443BE2">
              <w:rPr>
                <w:b/>
                <w:sz w:val="20"/>
                <w:szCs w:val="20"/>
              </w:rPr>
              <w:t>3</w:t>
            </w:r>
          </w:p>
        </w:tc>
        <w:tc>
          <w:tcPr>
            <w:tcW w:w="4237" w:type="dxa"/>
            <w:tcBorders>
              <w:top w:val="single" w:sz="4" w:space="0" w:color="auto"/>
              <w:left w:val="single" w:sz="4" w:space="0" w:color="auto"/>
              <w:bottom w:val="single" w:sz="4" w:space="0" w:color="auto"/>
              <w:right w:val="single" w:sz="4" w:space="0" w:color="auto"/>
            </w:tcBorders>
          </w:tcPr>
          <w:p w14:paraId="4FBA2D5F" w14:textId="2FD3AFA4" w:rsidR="00BD3154" w:rsidRPr="00443BE2" w:rsidRDefault="00BD3154" w:rsidP="00BD3154">
            <w:pPr>
              <w:jc w:val="both"/>
              <w:rPr>
                <w:sz w:val="20"/>
                <w:szCs w:val="20"/>
              </w:rPr>
            </w:pPr>
            <w:r w:rsidRPr="00443BE2">
              <w:rPr>
                <w:sz w:val="20"/>
                <w:szCs w:val="20"/>
              </w:rPr>
              <w:t>Construction de Centres pilotes de Tri (CT) à Bamako</w:t>
            </w:r>
            <w:r w:rsidR="003E4399" w:rsidRPr="00443BE2">
              <w:rPr>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346B67B6" w14:textId="5C6D73D1" w:rsidR="00BD3154" w:rsidRPr="004C2AFD" w:rsidRDefault="00BD3154" w:rsidP="00BD3154">
            <w:pPr>
              <w:jc w:val="both"/>
              <w:rPr>
                <w:rFonts w:eastAsia="Times New Roman"/>
                <w:b/>
                <w:bCs/>
                <w:sz w:val="20"/>
                <w:szCs w:val="20"/>
                <w:lang w:eastAsia="fr-FR"/>
              </w:rPr>
            </w:pPr>
            <w:r w:rsidRPr="00443BE2">
              <w:rPr>
                <w:b/>
                <w:color w:val="000000" w:themeColor="text1"/>
                <w:sz w:val="20"/>
                <w:szCs w:val="20"/>
              </w:rPr>
              <w:t>200 Millions de FCFA</w:t>
            </w:r>
          </w:p>
        </w:tc>
        <w:tc>
          <w:tcPr>
            <w:tcW w:w="1985" w:type="dxa"/>
            <w:tcBorders>
              <w:top w:val="single" w:sz="4" w:space="0" w:color="auto"/>
              <w:left w:val="single" w:sz="4" w:space="0" w:color="auto"/>
              <w:bottom w:val="single" w:sz="4" w:space="0" w:color="auto"/>
              <w:right w:val="single" w:sz="4" w:space="0" w:color="auto"/>
            </w:tcBorders>
          </w:tcPr>
          <w:p w14:paraId="17766E90" w14:textId="7FC52F7D" w:rsidR="00BD3154" w:rsidRPr="00443BE2" w:rsidRDefault="00BD3154" w:rsidP="00BD3154">
            <w:pPr>
              <w:jc w:val="both"/>
              <w:rPr>
                <w:sz w:val="20"/>
                <w:szCs w:val="20"/>
              </w:rPr>
            </w:pPr>
            <w:r w:rsidRPr="00443BE2">
              <w:rPr>
                <w:rFonts w:hAnsiTheme="minorHAnsi" w:cstheme="minorHAnsi"/>
                <w:sz w:val="20"/>
                <w:szCs w:val="20"/>
              </w:rPr>
              <w:t>ND</w:t>
            </w:r>
          </w:p>
        </w:tc>
        <w:tc>
          <w:tcPr>
            <w:tcW w:w="1189" w:type="dxa"/>
            <w:tcBorders>
              <w:top w:val="single" w:sz="4" w:space="0" w:color="auto"/>
              <w:left w:val="single" w:sz="4" w:space="0" w:color="auto"/>
              <w:bottom w:val="single" w:sz="4" w:space="0" w:color="auto"/>
              <w:right w:val="single" w:sz="4" w:space="0" w:color="auto"/>
            </w:tcBorders>
          </w:tcPr>
          <w:p w14:paraId="357C3BB1" w14:textId="1217084C" w:rsidR="00BD3154" w:rsidRPr="00443BE2" w:rsidRDefault="00BD3154" w:rsidP="00BD3154">
            <w:pPr>
              <w:rPr>
                <w:sz w:val="20"/>
                <w:szCs w:val="20"/>
              </w:rPr>
            </w:pPr>
            <w:r w:rsidRPr="00443BE2">
              <w:rPr>
                <w:sz w:val="20"/>
                <w:szCs w:val="20"/>
              </w:rPr>
              <w:t>Conditionnel</w:t>
            </w:r>
          </w:p>
        </w:tc>
      </w:tr>
    </w:tbl>
    <w:p w14:paraId="1F1A1F62" w14:textId="77777777" w:rsidR="001D6723" w:rsidRDefault="001D6723" w:rsidP="001335D1">
      <w:pPr>
        <w:pStyle w:val="Titre3"/>
        <w:numPr>
          <w:ilvl w:val="2"/>
          <w:numId w:val="21"/>
        </w:numPr>
        <w:spacing w:before="240" w:after="120"/>
        <w:ind w:left="1555" w:hanging="288"/>
      </w:pPr>
      <w:bookmarkStart w:id="123" w:name="_Toc234853908"/>
      <w:r w:rsidRPr="00332D2B">
        <w:t>Risques climatiques ciblés</w:t>
      </w:r>
      <w:bookmarkEnd w:id="123"/>
      <w:r w:rsidRPr="00332D2B">
        <w:t xml:space="preserve"> </w:t>
      </w:r>
    </w:p>
    <w:p w14:paraId="4832BF2E" w14:textId="103A86C1" w:rsidR="001D6723" w:rsidRDefault="008A3DE5" w:rsidP="001D6723">
      <w:pPr>
        <w:spacing w:after="120" w:line="300" w:lineRule="atLeast"/>
        <w:jc w:val="both"/>
      </w:pPr>
      <w:r w:rsidRPr="008A3DE5">
        <w:t>Les projets identifiés dans le secteur contribuent à la réduction de plusieurs risques climatiques et hydrométéorologiques auxquels le Mali est confronté</w:t>
      </w:r>
      <w:r w:rsidR="00925DAB">
        <w:t xml:space="preserve"> </w:t>
      </w:r>
      <w:r w:rsidRPr="008A3DE5">
        <w:t xml:space="preserve"> Le projet de renforcement des infrastructures météorologiques et de fourniture de services numériques climatiques vise notamment à réduire les risques d'inondation à travers l'amélioration des systèmes de prévision et d'alerte précoce permettant d'anticiper les épisodes de fortes pluies et de crues ; les risques de sécheresse grâce au renforcement du suivi hydrométéorologique et climatique ; les risques liés aux vagues de chaleur par la diffusion d'informations climatiques et d'alertes en temps réel auprès des populations vulnérables ; ainsi que les risques associés aux vents forts à travers le renforcement des capacités d'observation, de collecte, de transmission et de traitement des données météorologiques</w:t>
      </w:r>
      <w:r w:rsidR="00925DAB">
        <w:t xml:space="preserve"> </w:t>
      </w:r>
      <w:r w:rsidRPr="008A3DE5">
        <w:t xml:space="preserve"> Le projet contribuera ainsi à améliorer les capacités nationales d'anticipation, de prévention et de gestion des phénomènes climatiques extrêmes</w:t>
      </w:r>
      <w:r w:rsidR="00925DAB">
        <w:t xml:space="preserve"> </w:t>
      </w:r>
      <w:r w:rsidRPr="008A3DE5">
        <w:t xml:space="preserve"> Les projets d'aménagement des Points de Regroupement Normalisés, des sites de transfert et des dépôts de transit, ainsi que la construction de Centres pilotes de Tri à Bamako, contribuent quant à eux à la réduction des risques d'inondation en milieu urbain</w:t>
      </w:r>
      <w:r w:rsidR="00925DAB">
        <w:t xml:space="preserve"> </w:t>
      </w:r>
      <w:r w:rsidRPr="008A3DE5">
        <w:t xml:space="preserve"> En assurant une collecte, un regroupement et un tri organisés des déchets solides, ces aménagements permettent de limiter l'obstruction des caniveaux, collecteurs et systèmes de drainage par les ordures, l'une des causes majeures des inondations urbaines à Bamako pendant la saison des pluies</w:t>
      </w:r>
      <w:r w:rsidR="00925DAB">
        <w:t xml:space="preserve"> </w:t>
      </w:r>
      <w:r w:rsidRPr="008A3DE5">
        <w:t xml:space="preserve"> Ils renforcent ainsi la résilience des populations et des infrastructures urbaines face aux épisodes de fortes pluies et améliorent la capacité de la ville à absorber les eaux pluviales</w:t>
      </w:r>
      <w:r w:rsidR="00925DAB">
        <w:t xml:space="preserve"> </w:t>
      </w:r>
    </w:p>
    <w:tbl>
      <w:tblPr>
        <w:tblStyle w:val="Grilledutableau"/>
        <w:tblW w:w="0" w:type="auto"/>
        <w:shd w:val="clear" w:color="auto" w:fill="EDF1F9"/>
        <w:tblLook w:val="04A0" w:firstRow="1" w:lastRow="0" w:firstColumn="1" w:lastColumn="0" w:noHBand="0" w:noVBand="1"/>
      </w:tblPr>
      <w:tblGrid>
        <w:gridCol w:w="567"/>
        <w:gridCol w:w="4245"/>
        <w:gridCol w:w="1276"/>
        <w:gridCol w:w="1275"/>
        <w:gridCol w:w="1159"/>
        <w:gridCol w:w="886"/>
      </w:tblGrid>
      <w:tr w:rsidR="00591782" w14:paraId="7B81DD5C" w14:textId="77777777" w:rsidTr="00591782">
        <w:trPr>
          <w:trHeight w:val="306"/>
        </w:trPr>
        <w:tc>
          <w:tcPr>
            <w:tcW w:w="567" w:type="dxa"/>
            <w:vMerge w:val="restart"/>
            <w:shd w:val="clear" w:color="auto" w:fill="EEF2F8"/>
            <w:vAlign w:val="center"/>
          </w:tcPr>
          <w:p w14:paraId="591F548A" w14:textId="26F67007" w:rsidR="00591782" w:rsidRPr="00591782" w:rsidRDefault="00591782" w:rsidP="00591782">
            <w:pPr>
              <w:spacing w:after="120" w:line="300" w:lineRule="atLeast"/>
              <w:jc w:val="center"/>
              <w:rPr>
                <w:b/>
                <w:bCs/>
              </w:rPr>
            </w:pPr>
            <w:r w:rsidRPr="00591782">
              <w:rPr>
                <w:b/>
                <w:bCs/>
              </w:rPr>
              <w:lastRenderedPageBreak/>
              <w:t>1</w:t>
            </w:r>
          </w:p>
        </w:tc>
        <w:tc>
          <w:tcPr>
            <w:tcW w:w="4245" w:type="dxa"/>
            <w:vMerge w:val="restart"/>
            <w:shd w:val="clear" w:color="auto" w:fill="EEF2F8"/>
          </w:tcPr>
          <w:p w14:paraId="283B58C6" w14:textId="25556C0F" w:rsidR="00591782" w:rsidRDefault="00591782" w:rsidP="008C0EA9">
            <w:pPr>
              <w:spacing w:after="120" w:line="300" w:lineRule="atLeast"/>
              <w:jc w:val="both"/>
            </w:pPr>
          </w:p>
          <w:p w14:paraId="165EEA6C" w14:textId="50FDB348" w:rsidR="00591782" w:rsidRDefault="00591782" w:rsidP="008C0EA9">
            <w:pPr>
              <w:spacing w:after="120" w:line="300" w:lineRule="atLeast"/>
              <w:jc w:val="both"/>
            </w:pPr>
            <w:r w:rsidRPr="00CA2F23">
              <w:t>Programme de Résilience du Système Alimentaire d’Afrique de l’Ouest (PRSA)</w:t>
            </w:r>
            <w:r w:rsidR="003E4399">
              <w:t>.</w:t>
            </w:r>
          </w:p>
        </w:tc>
        <w:tc>
          <w:tcPr>
            <w:tcW w:w="1276" w:type="dxa"/>
            <w:shd w:val="clear" w:color="auto" w:fill="EDF1F9"/>
          </w:tcPr>
          <w:p w14:paraId="5B062A60" w14:textId="5A976C7B" w:rsidR="00591782" w:rsidRPr="005339CA" w:rsidRDefault="00591782" w:rsidP="005339CA">
            <w:pPr>
              <w:spacing w:after="120" w:line="300" w:lineRule="atLeast"/>
              <w:jc w:val="center"/>
              <w:rPr>
                <w:b/>
                <w:bCs/>
              </w:rPr>
            </w:pPr>
            <w:r w:rsidRPr="005339CA">
              <w:rPr>
                <w:b/>
                <w:bCs/>
              </w:rPr>
              <w:t>Sécheresse</w:t>
            </w:r>
          </w:p>
        </w:tc>
        <w:tc>
          <w:tcPr>
            <w:tcW w:w="1275" w:type="dxa"/>
            <w:shd w:val="clear" w:color="auto" w:fill="EDF1F9"/>
          </w:tcPr>
          <w:p w14:paraId="1694853C" w14:textId="2EDA91BE" w:rsidR="00591782" w:rsidRPr="005339CA" w:rsidRDefault="00591782" w:rsidP="005339CA">
            <w:pPr>
              <w:spacing w:after="120" w:line="300" w:lineRule="atLeast"/>
              <w:jc w:val="center"/>
              <w:rPr>
                <w:b/>
                <w:bCs/>
              </w:rPr>
            </w:pPr>
            <w:r w:rsidRPr="005339CA">
              <w:rPr>
                <w:b/>
                <w:bCs/>
              </w:rPr>
              <w:t>Inondation</w:t>
            </w:r>
          </w:p>
        </w:tc>
        <w:tc>
          <w:tcPr>
            <w:tcW w:w="1159" w:type="dxa"/>
            <w:shd w:val="clear" w:color="auto" w:fill="EDF1F9"/>
          </w:tcPr>
          <w:p w14:paraId="5AC818E6" w14:textId="2FA9C9DC" w:rsidR="00591782" w:rsidRPr="005339CA" w:rsidRDefault="00591782" w:rsidP="005339CA">
            <w:pPr>
              <w:spacing w:after="120" w:line="300" w:lineRule="atLeast"/>
              <w:jc w:val="center"/>
              <w:rPr>
                <w:b/>
                <w:bCs/>
              </w:rPr>
            </w:pPr>
            <w:r w:rsidRPr="005339CA">
              <w:rPr>
                <w:b/>
                <w:bCs/>
              </w:rPr>
              <w:t>Vague de chaleur</w:t>
            </w:r>
          </w:p>
        </w:tc>
        <w:tc>
          <w:tcPr>
            <w:tcW w:w="886" w:type="dxa"/>
            <w:shd w:val="clear" w:color="auto" w:fill="EDF1F9"/>
          </w:tcPr>
          <w:p w14:paraId="5253FF9C" w14:textId="0083B6D1" w:rsidR="00591782" w:rsidRPr="005339CA" w:rsidRDefault="00591782" w:rsidP="005339CA">
            <w:pPr>
              <w:spacing w:after="120" w:line="300" w:lineRule="atLeast"/>
              <w:jc w:val="center"/>
              <w:rPr>
                <w:b/>
                <w:bCs/>
              </w:rPr>
            </w:pPr>
            <w:r w:rsidRPr="005339CA">
              <w:rPr>
                <w:b/>
                <w:bCs/>
              </w:rPr>
              <w:t>Vent fort</w:t>
            </w:r>
          </w:p>
        </w:tc>
      </w:tr>
      <w:tr w:rsidR="00591782" w14:paraId="092DC5EA" w14:textId="77777777" w:rsidTr="00D23E08">
        <w:trPr>
          <w:trHeight w:val="113"/>
        </w:trPr>
        <w:tc>
          <w:tcPr>
            <w:tcW w:w="567" w:type="dxa"/>
            <w:vMerge/>
            <w:tcBorders>
              <w:bottom w:val="single" w:sz="12" w:space="0" w:color="2F5496" w:themeColor="accent5" w:themeShade="BF"/>
            </w:tcBorders>
            <w:shd w:val="clear" w:color="auto" w:fill="EEF2F8"/>
          </w:tcPr>
          <w:p w14:paraId="7A314C6B" w14:textId="77777777" w:rsidR="00591782" w:rsidRPr="00CA2F23" w:rsidRDefault="00591782" w:rsidP="008C0EA9">
            <w:pPr>
              <w:spacing w:after="120" w:line="300" w:lineRule="atLeast"/>
              <w:jc w:val="both"/>
            </w:pPr>
          </w:p>
        </w:tc>
        <w:tc>
          <w:tcPr>
            <w:tcW w:w="4245" w:type="dxa"/>
            <w:vMerge/>
            <w:tcBorders>
              <w:bottom w:val="single" w:sz="12" w:space="0" w:color="2F5496" w:themeColor="accent5" w:themeShade="BF"/>
            </w:tcBorders>
            <w:shd w:val="clear" w:color="auto" w:fill="EEF2F8"/>
          </w:tcPr>
          <w:p w14:paraId="6FF1F169" w14:textId="316E9405" w:rsidR="00591782" w:rsidRPr="00CA2F23" w:rsidRDefault="00591782" w:rsidP="008C0EA9">
            <w:pPr>
              <w:spacing w:after="120" w:line="300" w:lineRule="atLeast"/>
              <w:jc w:val="both"/>
            </w:pPr>
          </w:p>
        </w:tc>
        <w:tc>
          <w:tcPr>
            <w:tcW w:w="1276" w:type="dxa"/>
            <w:tcBorders>
              <w:bottom w:val="single" w:sz="12" w:space="0" w:color="2F5496" w:themeColor="accent5" w:themeShade="BF"/>
            </w:tcBorders>
            <w:shd w:val="clear" w:color="auto" w:fill="EDF1F9"/>
          </w:tcPr>
          <w:p w14:paraId="0693BFE0" w14:textId="0DBDB585" w:rsidR="00591782" w:rsidRDefault="00591782" w:rsidP="008C0EA9">
            <w:pPr>
              <w:spacing w:after="120" w:line="300" w:lineRule="atLeast"/>
              <w:jc w:val="both"/>
            </w:pPr>
            <w:r w:rsidRPr="007969E0">
              <w:rPr>
                <w:noProof/>
              </w:rPr>
              <w:drawing>
                <wp:anchor distT="0" distB="0" distL="114300" distR="114300" simplePos="0" relativeHeight="251658251" behindDoc="0" locked="0" layoutInCell="1" allowOverlap="1" wp14:anchorId="245D9C1C" wp14:editId="5A5BA4EF">
                  <wp:simplePos x="0" y="0"/>
                  <wp:positionH relativeFrom="column">
                    <wp:posOffset>111760</wp:posOffset>
                  </wp:positionH>
                  <wp:positionV relativeFrom="paragraph">
                    <wp:posOffset>31043</wp:posOffset>
                  </wp:positionV>
                  <wp:extent cx="340344" cy="340344"/>
                  <wp:effectExtent l="0" t="0" r="3175" b="3175"/>
                  <wp:wrapNone/>
                  <wp:docPr id="1454073780" name="Image 7">
                    <a:extLst xmlns:a="http://schemas.openxmlformats.org/drawingml/2006/main">
                      <a:ext uri="{FF2B5EF4-FFF2-40B4-BE49-F238E27FC236}">
                        <a16:creationId xmlns:a16="http://schemas.microsoft.com/office/drawing/2014/main" id="{69138AEB-6BCC-DE84-AF67-39169FCDFC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69138AEB-6BCC-DE84-AF67-39169FCDFC18}"/>
                              </a:ext>
                            </a:extLst>
                          </pic:cNvPr>
                          <pic:cNvPicPr>
                            <a:picLocks noChangeAspect="1"/>
                          </pic:cNvPicPr>
                        </pic:nvPicPr>
                        <pic:blipFill>
                          <a:blip r:embed="rId30">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40344" cy="340344"/>
                          </a:xfrm>
                          <a:prstGeom prst="rect">
                            <a:avLst/>
                          </a:prstGeom>
                        </pic:spPr>
                      </pic:pic>
                    </a:graphicData>
                  </a:graphic>
                  <wp14:sizeRelH relativeFrom="margin">
                    <wp14:pctWidth>0</wp14:pctWidth>
                  </wp14:sizeRelH>
                  <wp14:sizeRelV relativeFrom="margin">
                    <wp14:pctHeight>0</wp14:pctHeight>
                  </wp14:sizeRelV>
                </wp:anchor>
              </w:drawing>
            </w:r>
          </w:p>
          <w:p w14:paraId="02B561FF" w14:textId="17F78533" w:rsidR="00591782" w:rsidRDefault="00591782" w:rsidP="008C0EA9">
            <w:pPr>
              <w:spacing w:after="120" w:line="300" w:lineRule="atLeast"/>
              <w:jc w:val="both"/>
            </w:pPr>
          </w:p>
        </w:tc>
        <w:tc>
          <w:tcPr>
            <w:tcW w:w="1275" w:type="dxa"/>
            <w:tcBorders>
              <w:bottom w:val="single" w:sz="12" w:space="0" w:color="2F5496" w:themeColor="accent5" w:themeShade="BF"/>
            </w:tcBorders>
            <w:shd w:val="clear" w:color="auto" w:fill="EDF1F9"/>
          </w:tcPr>
          <w:p w14:paraId="037D1E20" w14:textId="7E54BFBD" w:rsidR="00591782" w:rsidRDefault="00591782" w:rsidP="008C0EA9">
            <w:pPr>
              <w:spacing w:after="120" w:line="300" w:lineRule="atLeast"/>
              <w:jc w:val="both"/>
            </w:pPr>
            <w:r w:rsidRPr="007969E0">
              <w:rPr>
                <w:noProof/>
              </w:rPr>
              <w:drawing>
                <wp:anchor distT="0" distB="0" distL="114300" distR="114300" simplePos="0" relativeHeight="251658252" behindDoc="0" locked="0" layoutInCell="1" allowOverlap="1" wp14:anchorId="047E8A9A" wp14:editId="7BD90177">
                  <wp:simplePos x="0" y="0"/>
                  <wp:positionH relativeFrom="column">
                    <wp:posOffset>109220</wp:posOffset>
                  </wp:positionH>
                  <wp:positionV relativeFrom="paragraph">
                    <wp:posOffset>62302</wp:posOffset>
                  </wp:positionV>
                  <wp:extent cx="338400" cy="338400"/>
                  <wp:effectExtent l="0" t="0" r="5080" b="5080"/>
                  <wp:wrapNone/>
                  <wp:docPr id="1863921220" name="Image 8">
                    <a:extLst xmlns:a="http://schemas.openxmlformats.org/drawingml/2006/main">
                      <a:ext uri="{FF2B5EF4-FFF2-40B4-BE49-F238E27FC236}">
                        <a16:creationId xmlns:a16="http://schemas.microsoft.com/office/drawing/2014/main" id="{4CEAFBD5-751E-C7CB-C0C5-021262199B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4CEAFBD5-751E-C7CB-C0C5-021262199BB1}"/>
                              </a:ext>
                            </a:extLst>
                          </pic:cNvPr>
                          <pic:cNvPicPr>
                            <a:picLocks noChangeAspect="1"/>
                          </pic:cNvPicPr>
                        </pic:nvPicPr>
                        <pic:blipFill>
                          <a:blip r:embed="rId31">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38400" cy="338400"/>
                          </a:xfrm>
                          <a:prstGeom prst="rect">
                            <a:avLst/>
                          </a:prstGeom>
                        </pic:spPr>
                      </pic:pic>
                    </a:graphicData>
                  </a:graphic>
                  <wp14:sizeRelH relativeFrom="margin">
                    <wp14:pctWidth>0</wp14:pctWidth>
                  </wp14:sizeRelH>
                  <wp14:sizeRelV relativeFrom="margin">
                    <wp14:pctHeight>0</wp14:pctHeight>
                  </wp14:sizeRelV>
                </wp:anchor>
              </w:drawing>
            </w:r>
          </w:p>
        </w:tc>
        <w:tc>
          <w:tcPr>
            <w:tcW w:w="1159" w:type="dxa"/>
            <w:tcBorders>
              <w:bottom w:val="single" w:sz="12" w:space="0" w:color="2F5496" w:themeColor="accent5" w:themeShade="BF"/>
            </w:tcBorders>
            <w:shd w:val="clear" w:color="auto" w:fill="EDF1F9"/>
          </w:tcPr>
          <w:p w14:paraId="71F964BA" w14:textId="7A32453E" w:rsidR="00591782" w:rsidRDefault="00591782" w:rsidP="008C0EA9">
            <w:pPr>
              <w:spacing w:after="120" w:line="300" w:lineRule="atLeast"/>
              <w:jc w:val="both"/>
            </w:pPr>
            <w:r w:rsidRPr="00FF3C3D">
              <w:rPr>
                <w:noProof/>
              </w:rPr>
              <w:drawing>
                <wp:anchor distT="0" distB="0" distL="114300" distR="114300" simplePos="0" relativeHeight="251658253" behindDoc="0" locked="0" layoutInCell="1" allowOverlap="1" wp14:anchorId="172D00FE" wp14:editId="6985DCB9">
                  <wp:simplePos x="0" y="0"/>
                  <wp:positionH relativeFrom="column">
                    <wp:posOffset>97790</wp:posOffset>
                  </wp:positionH>
                  <wp:positionV relativeFrom="paragraph">
                    <wp:posOffset>83113</wp:posOffset>
                  </wp:positionV>
                  <wp:extent cx="337820" cy="337820"/>
                  <wp:effectExtent l="0" t="0" r="0" b="5080"/>
                  <wp:wrapNone/>
                  <wp:docPr id="3" name="Image 2">
                    <a:extLst xmlns:a="http://schemas.openxmlformats.org/drawingml/2006/main">
                      <a:ext uri="{FF2B5EF4-FFF2-40B4-BE49-F238E27FC236}">
                        <a16:creationId xmlns:a16="http://schemas.microsoft.com/office/drawing/2014/main" id="{C9F54710-C63E-212E-C350-902EE5B6DB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C9F54710-C63E-212E-C350-902EE5B6DB0E}"/>
                              </a:ext>
                            </a:extLst>
                          </pic:cNvPr>
                          <pic:cNvPicPr>
                            <a:picLocks noChangeAspect="1"/>
                          </pic:cNvPicPr>
                        </pic:nvPicPr>
                        <pic:blipFill>
                          <a:blip r:embed="rId33">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37820" cy="337820"/>
                          </a:xfrm>
                          <a:prstGeom prst="rect">
                            <a:avLst/>
                          </a:prstGeom>
                          <a:ln>
                            <a:noFill/>
                          </a:ln>
                        </pic:spPr>
                      </pic:pic>
                    </a:graphicData>
                  </a:graphic>
                  <wp14:sizeRelH relativeFrom="margin">
                    <wp14:pctWidth>0</wp14:pctWidth>
                  </wp14:sizeRelH>
                  <wp14:sizeRelV relativeFrom="margin">
                    <wp14:pctHeight>0</wp14:pctHeight>
                  </wp14:sizeRelV>
                </wp:anchor>
              </w:drawing>
            </w:r>
          </w:p>
        </w:tc>
        <w:tc>
          <w:tcPr>
            <w:tcW w:w="886" w:type="dxa"/>
            <w:tcBorders>
              <w:bottom w:val="single" w:sz="12" w:space="0" w:color="2F5496" w:themeColor="accent5" w:themeShade="BF"/>
            </w:tcBorders>
            <w:shd w:val="clear" w:color="auto" w:fill="EDF1F9"/>
          </w:tcPr>
          <w:p w14:paraId="2FC73AF6" w14:textId="55F9499E" w:rsidR="00591782" w:rsidRDefault="00591782" w:rsidP="008C0EA9">
            <w:pPr>
              <w:spacing w:after="120" w:line="300" w:lineRule="atLeast"/>
              <w:jc w:val="both"/>
            </w:pPr>
            <w:r>
              <w:rPr>
                <w:noProof/>
              </w:rPr>
              <w:drawing>
                <wp:anchor distT="0" distB="0" distL="114300" distR="114300" simplePos="0" relativeHeight="251658254" behindDoc="0" locked="0" layoutInCell="1" allowOverlap="1" wp14:anchorId="1469ABBF" wp14:editId="2601A852">
                  <wp:simplePos x="0" y="0"/>
                  <wp:positionH relativeFrom="column">
                    <wp:posOffset>99060</wp:posOffset>
                  </wp:positionH>
                  <wp:positionV relativeFrom="paragraph">
                    <wp:posOffset>89463</wp:posOffset>
                  </wp:positionV>
                  <wp:extent cx="337820" cy="337820"/>
                  <wp:effectExtent l="0" t="0" r="5080" b="5080"/>
                  <wp:wrapNone/>
                  <wp:docPr id="890926464" name="Image 3" descr="Vent - Icônes météo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nt - Icônes météo gratuites"/>
                          <pic:cNvPicPr>
                            <a:picLocks noChangeAspect="1" noChangeArrowheads="1"/>
                          </pic:cNvPicPr>
                        </pic:nvPicPr>
                        <pic:blipFill>
                          <a:blip r:embed="rId34" cstate="print">
                            <a:clrChange>
                              <a:clrFrom>
                                <a:srgbClr val="FFFFFF"/>
                              </a:clrFrom>
                              <a:clrTo>
                                <a:srgbClr val="FFFFFF">
                                  <a:alpha val="0"/>
                                </a:srgbClr>
                              </a:clrTo>
                            </a:clrChange>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37820" cy="3378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91782" w14:paraId="0E12F38A" w14:textId="77777777" w:rsidTr="00D23E08">
        <w:trPr>
          <w:trHeight w:val="465"/>
        </w:trPr>
        <w:tc>
          <w:tcPr>
            <w:tcW w:w="567" w:type="dxa"/>
            <w:vMerge w:val="restart"/>
            <w:tcBorders>
              <w:top w:val="single" w:sz="12" w:space="0" w:color="2F5496" w:themeColor="accent5" w:themeShade="BF"/>
            </w:tcBorders>
            <w:shd w:val="clear" w:color="auto" w:fill="EEF2F8"/>
            <w:vAlign w:val="center"/>
          </w:tcPr>
          <w:p w14:paraId="3CA8E401" w14:textId="6B1C977F" w:rsidR="00591782" w:rsidRPr="00CA2F23" w:rsidRDefault="00591782" w:rsidP="00591782">
            <w:pPr>
              <w:spacing w:after="120" w:line="300" w:lineRule="atLeast"/>
              <w:jc w:val="center"/>
            </w:pPr>
            <w:r>
              <w:rPr>
                <w:b/>
                <w:bCs/>
              </w:rPr>
              <w:t>2</w:t>
            </w:r>
          </w:p>
        </w:tc>
        <w:tc>
          <w:tcPr>
            <w:tcW w:w="4245" w:type="dxa"/>
            <w:vMerge w:val="restart"/>
            <w:tcBorders>
              <w:top w:val="single" w:sz="12" w:space="0" w:color="2F5496" w:themeColor="accent5" w:themeShade="BF"/>
            </w:tcBorders>
            <w:shd w:val="clear" w:color="auto" w:fill="EEF2F8"/>
          </w:tcPr>
          <w:p w14:paraId="363FCE49" w14:textId="5BFB7F30" w:rsidR="00591782" w:rsidRPr="00CA2F23" w:rsidRDefault="00591782" w:rsidP="00591782">
            <w:pPr>
              <w:spacing w:after="120" w:line="300" w:lineRule="atLeast"/>
              <w:jc w:val="both"/>
            </w:pPr>
            <w:r w:rsidRPr="00864A84">
              <w:t>Aménage</w:t>
            </w:r>
            <w:r>
              <w:t>ment</w:t>
            </w:r>
            <w:r w:rsidRPr="00864A84">
              <w:t xml:space="preserve"> de</w:t>
            </w:r>
            <w:r>
              <w:t>s</w:t>
            </w:r>
            <w:r w:rsidRPr="00864A84">
              <w:t xml:space="preserve"> Points de Regroupement Normalisés (PRN), Sites de transfert</w:t>
            </w:r>
            <w:r>
              <w:t xml:space="preserve"> et </w:t>
            </w:r>
            <w:r w:rsidRPr="00864A84">
              <w:t>dépôts de transit à Bamako</w:t>
            </w:r>
            <w:r w:rsidR="003E4399">
              <w:t>.</w:t>
            </w:r>
          </w:p>
        </w:tc>
        <w:tc>
          <w:tcPr>
            <w:tcW w:w="4596" w:type="dxa"/>
            <w:gridSpan w:val="4"/>
            <w:tcBorders>
              <w:top w:val="single" w:sz="12" w:space="0" w:color="2F5496" w:themeColor="accent5" w:themeShade="BF"/>
            </w:tcBorders>
            <w:shd w:val="clear" w:color="auto" w:fill="EDF1F9"/>
          </w:tcPr>
          <w:p w14:paraId="0DAF0301" w14:textId="0273891A" w:rsidR="00591782" w:rsidRPr="00591782" w:rsidRDefault="00591782" w:rsidP="00591782">
            <w:pPr>
              <w:spacing w:after="120" w:line="300" w:lineRule="atLeast"/>
              <w:jc w:val="center"/>
              <w:rPr>
                <w:b/>
                <w:bCs/>
                <w:noProof/>
              </w:rPr>
            </w:pPr>
            <w:r w:rsidRPr="00591782">
              <w:rPr>
                <w:b/>
                <w:bCs/>
                <w:noProof/>
              </w:rPr>
              <w:t>Inondation</w:t>
            </w:r>
          </w:p>
        </w:tc>
      </w:tr>
      <w:tr w:rsidR="00591782" w14:paraId="77C98DE2" w14:textId="77777777" w:rsidTr="00591782">
        <w:trPr>
          <w:trHeight w:val="465"/>
        </w:trPr>
        <w:tc>
          <w:tcPr>
            <w:tcW w:w="567" w:type="dxa"/>
            <w:vMerge/>
            <w:shd w:val="clear" w:color="auto" w:fill="EEF2F8"/>
            <w:vAlign w:val="center"/>
          </w:tcPr>
          <w:p w14:paraId="32D918C6" w14:textId="77777777" w:rsidR="00591782" w:rsidRDefault="00591782" w:rsidP="00591782">
            <w:pPr>
              <w:spacing w:after="120" w:line="300" w:lineRule="atLeast"/>
              <w:jc w:val="center"/>
              <w:rPr>
                <w:b/>
                <w:bCs/>
              </w:rPr>
            </w:pPr>
          </w:p>
        </w:tc>
        <w:tc>
          <w:tcPr>
            <w:tcW w:w="4245" w:type="dxa"/>
            <w:vMerge/>
            <w:shd w:val="clear" w:color="auto" w:fill="EEF2F8"/>
          </w:tcPr>
          <w:p w14:paraId="4D982FD5" w14:textId="77777777" w:rsidR="00591782" w:rsidRPr="00864A84" w:rsidRDefault="00591782" w:rsidP="00591782">
            <w:pPr>
              <w:spacing w:after="120" w:line="300" w:lineRule="atLeast"/>
              <w:jc w:val="both"/>
            </w:pPr>
          </w:p>
        </w:tc>
        <w:tc>
          <w:tcPr>
            <w:tcW w:w="4596" w:type="dxa"/>
            <w:gridSpan w:val="4"/>
            <w:vMerge w:val="restart"/>
            <w:shd w:val="clear" w:color="auto" w:fill="EDF1F9"/>
          </w:tcPr>
          <w:p w14:paraId="626FD84B" w14:textId="3E68B3C6" w:rsidR="00591782" w:rsidRDefault="00591782" w:rsidP="00591782">
            <w:pPr>
              <w:spacing w:after="120" w:line="300" w:lineRule="atLeast"/>
              <w:jc w:val="both"/>
              <w:rPr>
                <w:noProof/>
              </w:rPr>
            </w:pPr>
            <w:r w:rsidRPr="007969E0">
              <w:rPr>
                <w:noProof/>
              </w:rPr>
              <w:drawing>
                <wp:anchor distT="0" distB="0" distL="114300" distR="114300" simplePos="0" relativeHeight="251658255" behindDoc="0" locked="0" layoutInCell="1" allowOverlap="1" wp14:anchorId="51C57B4F" wp14:editId="75C9BE71">
                  <wp:simplePos x="0" y="0"/>
                  <wp:positionH relativeFrom="column">
                    <wp:posOffset>1196975</wp:posOffset>
                  </wp:positionH>
                  <wp:positionV relativeFrom="paragraph">
                    <wp:posOffset>163106</wp:posOffset>
                  </wp:positionV>
                  <wp:extent cx="338400" cy="338400"/>
                  <wp:effectExtent l="0" t="0" r="5080" b="5080"/>
                  <wp:wrapNone/>
                  <wp:docPr id="1137246717" name="Image 8">
                    <a:extLst xmlns:a="http://schemas.openxmlformats.org/drawingml/2006/main">
                      <a:ext uri="{FF2B5EF4-FFF2-40B4-BE49-F238E27FC236}">
                        <a16:creationId xmlns:a16="http://schemas.microsoft.com/office/drawing/2014/main" id="{4CEAFBD5-751E-C7CB-C0C5-021262199B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4CEAFBD5-751E-C7CB-C0C5-021262199BB1}"/>
                              </a:ext>
                            </a:extLst>
                          </pic:cNvPr>
                          <pic:cNvPicPr>
                            <a:picLocks noChangeAspect="1"/>
                          </pic:cNvPicPr>
                        </pic:nvPicPr>
                        <pic:blipFill>
                          <a:blip r:embed="rId31">
                            <a:duotone>
                              <a:schemeClr val="accent5">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38400" cy="338400"/>
                          </a:xfrm>
                          <a:prstGeom prst="rect">
                            <a:avLst/>
                          </a:prstGeom>
                        </pic:spPr>
                      </pic:pic>
                    </a:graphicData>
                  </a:graphic>
                  <wp14:sizeRelH relativeFrom="margin">
                    <wp14:pctWidth>0</wp14:pctWidth>
                  </wp14:sizeRelH>
                  <wp14:sizeRelV relativeFrom="margin">
                    <wp14:pctHeight>0</wp14:pctHeight>
                  </wp14:sizeRelV>
                </wp:anchor>
              </w:drawing>
            </w:r>
          </w:p>
        </w:tc>
      </w:tr>
      <w:tr w:rsidR="00591782" w14:paraId="4B04CCDB" w14:textId="77777777" w:rsidTr="00591782">
        <w:trPr>
          <w:trHeight w:val="720"/>
        </w:trPr>
        <w:tc>
          <w:tcPr>
            <w:tcW w:w="567" w:type="dxa"/>
            <w:shd w:val="clear" w:color="auto" w:fill="EEF2F8"/>
            <w:vAlign w:val="center"/>
          </w:tcPr>
          <w:p w14:paraId="30CB032B" w14:textId="14B7D3E8" w:rsidR="00591782" w:rsidRPr="00CA2F23" w:rsidRDefault="00591782" w:rsidP="00591782">
            <w:pPr>
              <w:spacing w:after="120" w:line="300" w:lineRule="atLeast"/>
              <w:jc w:val="center"/>
            </w:pPr>
            <w:r>
              <w:rPr>
                <w:b/>
                <w:bCs/>
              </w:rPr>
              <w:t>3</w:t>
            </w:r>
          </w:p>
        </w:tc>
        <w:tc>
          <w:tcPr>
            <w:tcW w:w="4245" w:type="dxa"/>
            <w:shd w:val="clear" w:color="auto" w:fill="EEF2F8"/>
          </w:tcPr>
          <w:p w14:paraId="77454490" w14:textId="74D2F485" w:rsidR="00591782" w:rsidRPr="00CA2F23" w:rsidRDefault="00591782" w:rsidP="00591782">
            <w:pPr>
              <w:spacing w:after="120" w:line="300" w:lineRule="atLeast"/>
              <w:jc w:val="both"/>
            </w:pPr>
            <w:r>
              <w:t>Construction de Centres pilotes de Tri (CT) à Bamako</w:t>
            </w:r>
            <w:r w:rsidR="003E4399">
              <w:t>.</w:t>
            </w:r>
          </w:p>
        </w:tc>
        <w:tc>
          <w:tcPr>
            <w:tcW w:w="4596" w:type="dxa"/>
            <w:gridSpan w:val="4"/>
            <w:vMerge/>
            <w:shd w:val="clear" w:color="auto" w:fill="EDF1F9"/>
          </w:tcPr>
          <w:p w14:paraId="1DEDE8B3" w14:textId="77777777" w:rsidR="00591782" w:rsidRDefault="00591782" w:rsidP="00591782">
            <w:pPr>
              <w:spacing w:after="120" w:line="300" w:lineRule="atLeast"/>
              <w:jc w:val="both"/>
              <w:rPr>
                <w:noProof/>
              </w:rPr>
            </w:pPr>
          </w:p>
        </w:tc>
      </w:tr>
    </w:tbl>
    <w:p w14:paraId="47791B1A" w14:textId="60AE0194" w:rsidR="00550294" w:rsidRPr="00BD3154" w:rsidRDefault="00550294" w:rsidP="001335D1">
      <w:pPr>
        <w:pStyle w:val="Titre2"/>
        <w:spacing w:after="120"/>
        <w:ind w:left="1138" w:hanging="288"/>
      </w:pPr>
      <w:bookmarkStart w:id="124" w:name="_Toc234853909"/>
      <w:r w:rsidRPr="00BD3154">
        <w:t>Renforcement des capacités</w:t>
      </w:r>
      <w:bookmarkEnd w:id="124"/>
      <w:r w:rsidRPr="00BD3154">
        <w:t xml:space="preserve"> </w:t>
      </w:r>
    </w:p>
    <w:p w14:paraId="7AD35A8B" w14:textId="77777777" w:rsidR="009918B2" w:rsidRDefault="004955AB" w:rsidP="001335D1">
      <w:pPr>
        <w:pStyle w:val="NormalWeb"/>
        <w:spacing w:before="0" w:beforeAutospacing="0" w:after="120" w:afterAutospacing="0" w:line="300" w:lineRule="atLeast"/>
        <w:jc w:val="both"/>
        <w:rPr>
          <w:rFonts w:asciiTheme="minorHAnsi" w:hAnsiTheme="minorHAnsi" w:cstheme="minorHAnsi"/>
          <w:sz w:val="22"/>
          <w:szCs w:val="22"/>
        </w:rPr>
      </w:pPr>
      <w:r w:rsidRPr="004955AB">
        <w:rPr>
          <w:rFonts w:asciiTheme="minorHAnsi" w:hAnsiTheme="minorHAnsi" w:cstheme="minorHAnsi"/>
          <w:sz w:val="22"/>
          <w:szCs w:val="22"/>
        </w:rPr>
        <w:t xml:space="preserve">Pour le domaine du renforcement des capacités, et à la suite des discussions menées avec </w:t>
      </w:r>
      <w:r>
        <w:rPr>
          <w:rFonts w:asciiTheme="minorHAnsi" w:hAnsiTheme="minorHAnsi" w:cstheme="minorHAnsi"/>
          <w:sz w:val="22"/>
          <w:szCs w:val="22"/>
        </w:rPr>
        <w:t>l’AEDD</w:t>
      </w:r>
      <w:r w:rsidRPr="004955AB">
        <w:rPr>
          <w:rFonts w:asciiTheme="minorHAnsi" w:hAnsiTheme="minorHAnsi" w:cstheme="minorHAnsi"/>
          <w:sz w:val="22"/>
          <w:szCs w:val="22"/>
        </w:rPr>
        <w:t>, il a été décidé de ne pas le considérer comme un domaine distinct</w:t>
      </w:r>
      <w:r w:rsidR="003E4399">
        <w:rPr>
          <w:rFonts w:asciiTheme="minorHAnsi" w:hAnsiTheme="minorHAnsi" w:cstheme="minorHAnsi"/>
          <w:sz w:val="22"/>
          <w:szCs w:val="22"/>
        </w:rPr>
        <w:t xml:space="preserve">. </w:t>
      </w:r>
      <w:r w:rsidRPr="004955AB">
        <w:rPr>
          <w:rFonts w:asciiTheme="minorHAnsi" w:hAnsiTheme="minorHAnsi" w:cstheme="minorHAnsi"/>
          <w:sz w:val="22"/>
          <w:szCs w:val="22"/>
        </w:rPr>
        <w:t>Le renforcement des capacités sera plutôt intégré comme composante transversale au sein de chaque secteur</w:t>
      </w:r>
      <w:r w:rsidR="003E4399">
        <w:rPr>
          <w:rFonts w:asciiTheme="minorHAnsi" w:hAnsiTheme="minorHAnsi" w:cstheme="minorHAnsi"/>
          <w:sz w:val="22"/>
          <w:szCs w:val="22"/>
        </w:rPr>
        <w:t xml:space="preserve">. </w:t>
      </w:r>
      <w:r w:rsidRPr="004955AB">
        <w:rPr>
          <w:rFonts w:asciiTheme="minorHAnsi" w:hAnsiTheme="minorHAnsi" w:cstheme="minorHAnsi"/>
          <w:sz w:val="22"/>
          <w:szCs w:val="22"/>
        </w:rPr>
        <w:t>À ce titre, les projets de renforcement des capacités proposés par les parties prenantes ont été inclus dans les secteurs auxquels ils se rattachent</w:t>
      </w:r>
      <w:r w:rsidR="009918B2">
        <w:rPr>
          <w:rFonts w:asciiTheme="minorHAnsi" w:hAnsiTheme="minorHAnsi" w:cstheme="minorHAnsi"/>
          <w:sz w:val="22"/>
          <w:szCs w:val="22"/>
        </w:rPr>
        <w:br w:type="page"/>
      </w:r>
    </w:p>
    <w:p w14:paraId="76C703BF" w14:textId="3A8B4148" w:rsidR="007F2775" w:rsidRDefault="00ED3357" w:rsidP="00ED3357">
      <w:pPr>
        <w:pStyle w:val="Titre1"/>
      </w:pPr>
      <w:bookmarkStart w:id="125" w:name="_Toc234853910"/>
      <w:r>
        <w:lastRenderedPageBreak/>
        <w:t>Conclusion générale</w:t>
      </w:r>
      <w:bookmarkEnd w:id="125"/>
    </w:p>
    <w:p w14:paraId="6397B5A8" w14:textId="77777777" w:rsidR="001F3863" w:rsidRPr="001F3863" w:rsidRDefault="001F3863" w:rsidP="001F3863">
      <w:pPr>
        <w:rPr>
          <w:lang w:eastAsia="en-US"/>
        </w:rPr>
      </w:pPr>
      <w:r w:rsidRPr="001F3863">
        <w:rPr>
          <w:lang w:eastAsia="en-US"/>
        </w:rPr>
        <w:t>Le présent rapport constitue une étape préparatoire à l’élaboration de la CDN 3.0 du Mali. Il a permis de consolider les informations disponibles, d’analyser les mesures proposées par les secteurs concernés et d’évaluer leur contribution potentielle aux objectifs climatiques du pays à l’horizon 2035.</w:t>
      </w:r>
    </w:p>
    <w:p w14:paraId="4E20E8EA" w14:textId="77777777" w:rsidR="001F3863" w:rsidRPr="001F3863" w:rsidRDefault="001F3863" w:rsidP="001F3863">
      <w:pPr>
        <w:rPr>
          <w:lang w:eastAsia="en-US"/>
        </w:rPr>
      </w:pPr>
      <w:r w:rsidRPr="001F3863">
        <w:rPr>
          <w:lang w:eastAsia="en-US"/>
        </w:rPr>
        <w:t>L’analyse a couvert les principaux secteurs d’atténuation, notamment l’énergie, l’agriculture, les forêts et les déchets, ainsi que les secteurs prioritaires de l’adaptation, tels que l’agriculture, l’eau, l’énergie, la météorologie, la biodiversité, les infrastructures, les déchets, les collectivités territoriales et la société civile. Les besoins liés au financement climatique et au renforcement des capacités ont également été pris en compte.</w:t>
      </w:r>
    </w:p>
    <w:p w14:paraId="27B2D877" w14:textId="77777777" w:rsidR="007E761B" w:rsidRPr="007E761B" w:rsidRDefault="007E761B" w:rsidP="007E761B">
      <w:pPr>
        <w:jc w:val="both"/>
        <w:rPr>
          <w:lang w:eastAsia="en-US"/>
        </w:rPr>
      </w:pPr>
      <w:r w:rsidRPr="007E761B">
        <w:rPr>
          <w:lang w:eastAsia="en-US"/>
        </w:rPr>
        <w:t>Les contributions sectorielles d’atténuation sont les suivantes : l’énergie contribuerait à hauteur de 5 197 kt CO₂éq/an, soit une réduction de 23,11 % ; l’agriculture représenterait la contribution la plus importante, avec 10 505 kt CO₂éq/an, soit une réduction de 27 % ; les déchets contribueraient à hauteur de 830 kt CO₂éq/an, soit une réduction de 24,7 %. Ensemble, ces trois secteurs émetteurs permettraient une réduction totale de 16 532 kt CO₂éq/an, soit 25,5 % par rapport au scénario de référence.</w:t>
      </w:r>
    </w:p>
    <w:p w14:paraId="5EF05C45" w14:textId="1BE8A36B" w:rsidR="007E761B" w:rsidRDefault="007E761B" w:rsidP="007E761B">
      <w:pPr>
        <w:jc w:val="both"/>
        <w:rPr>
          <w:lang w:eastAsia="en-US"/>
        </w:rPr>
      </w:pPr>
      <w:r w:rsidRPr="007E761B">
        <w:rPr>
          <w:lang w:eastAsia="en-US"/>
        </w:rPr>
        <w:t>Le secteur des forêts joue un rôle spécifique, car il agit comme un puits net de carbone. Sa contribution permettrait de renforcer la séquestration de 67 314 kt CO₂éq/an, soit une amélioration de 25,78 % du puits forestier par rapport au scénario de référence.</w:t>
      </w:r>
      <w:r w:rsidR="000028D9">
        <w:rPr>
          <w:lang w:eastAsia="en-US"/>
        </w:rPr>
        <w:t xml:space="preserve"> </w:t>
      </w:r>
      <w:r w:rsidRPr="007E761B">
        <w:rPr>
          <w:lang w:eastAsia="en-US"/>
        </w:rPr>
        <w:t>Ainsi, en intégrant les forêts, l’objectif national global atteint 83 846 kt CO₂éq/an, soit une réduction de 42,7 %</w:t>
      </w:r>
      <w:r w:rsidR="000028D9">
        <w:rPr>
          <w:lang w:eastAsia="en-US"/>
        </w:rPr>
        <w:t xml:space="preserve"> à l’horizon 2035</w:t>
      </w:r>
      <w:r w:rsidRPr="007E761B">
        <w:rPr>
          <w:lang w:eastAsia="en-US"/>
        </w:rPr>
        <w:t xml:space="preserve">. </w:t>
      </w:r>
    </w:p>
    <w:p w14:paraId="020F4562" w14:textId="3F1BBDD2" w:rsidR="00B17D10" w:rsidRPr="007E761B" w:rsidRDefault="00B17D10" w:rsidP="007E761B">
      <w:pPr>
        <w:jc w:val="both"/>
        <w:rPr>
          <w:lang w:eastAsia="en-US"/>
        </w:rPr>
      </w:pPr>
      <w:r w:rsidRPr="00B17D10">
        <w:rPr>
          <w:lang w:eastAsia="en-US"/>
        </w:rPr>
        <w:t>Les estimations</w:t>
      </w:r>
      <w:r>
        <w:rPr>
          <w:lang w:eastAsia="en-US"/>
        </w:rPr>
        <w:t xml:space="preserve"> d’atténuation</w:t>
      </w:r>
      <w:r w:rsidRPr="00B17D10">
        <w:rPr>
          <w:lang w:eastAsia="en-US"/>
        </w:rPr>
        <w:t xml:space="preserve"> ont été réalisées à partir d’outils et de méthodes reconnus. Le modèle LEAP a été utilisé pour le secteur de l’énergie et l’élaboration des scénarios de référence. L’outil EX-ACT a été mobilisé pour l’agriculture et les forêts. Pour le secteur des déchets, les calculs se sont appuyés sur les lignes directrices du GIEC, complétées par les approches issues du Mécanisme pour un Développement Propre. Cette approche méthodologique permet d’assurer une meilleure comparabilité des résultats entre les secteurs et de renforcer la crédibilité technique des engagements proposés.</w:t>
      </w:r>
    </w:p>
    <w:p w14:paraId="583A8460" w14:textId="77777777" w:rsidR="001F3863" w:rsidRPr="001F3863" w:rsidRDefault="001F3863" w:rsidP="001134D7">
      <w:pPr>
        <w:jc w:val="both"/>
        <w:rPr>
          <w:lang w:eastAsia="en-US"/>
        </w:rPr>
      </w:pPr>
      <w:r w:rsidRPr="001134D7">
        <w:rPr>
          <w:lang w:eastAsia="en-US"/>
        </w:rPr>
        <w:t>Le rapport met également en évidence la forte vulnérabilité du Mali face aux effets du changement climatique, notamment les sécheresses, les inondations, le stress hydrique, la dégradation des terres et la fragilisation des infrastructures. Les mesures d’adaptation identifiées visent ainsi à renforcer la résilience des secteurs et des territoires les plus exposés.</w:t>
      </w:r>
    </w:p>
    <w:p w14:paraId="71227EED" w14:textId="53140BA0" w:rsidR="009918B2" w:rsidRPr="009918B2" w:rsidRDefault="009918B2" w:rsidP="00F7130F">
      <w:pPr>
        <w:jc w:val="both"/>
        <w:rPr>
          <w:lang w:eastAsia="en-US"/>
        </w:rPr>
      </w:pPr>
      <w:r w:rsidRPr="009918B2">
        <w:rPr>
          <w:lang w:eastAsia="en-US"/>
        </w:rPr>
        <w:t>Les projets et mesures d’adaptation identifiés dans le rapport visent donc à renforcer la résilience des territoires et des secteurs les plus exposés. Ils concernent notamment l’agriculture, l’eau, l’énergie, la météorologie, la biodiversité, les infrastructures, les déchets, ainsi que l’implication de la société civile et des collectivités territoriales. Ces actions doivent permettre de mieux anticiper les risques climatiques, de réduire les pertes économiques et sociales, et d’améliorer la capacité du pays à faire face aux impacts actuels et futurs du changement climatique.</w:t>
      </w:r>
    </w:p>
    <w:p w14:paraId="536C44AE" w14:textId="57FD5929" w:rsidR="009918B2" w:rsidRPr="009918B2" w:rsidRDefault="001134D7" w:rsidP="009918B2">
      <w:pPr>
        <w:jc w:val="both"/>
        <w:rPr>
          <w:lang w:eastAsia="en-US"/>
        </w:rPr>
      </w:pPr>
      <w:r>
        <w:rPr>
          <w:lang w:eastAsia="en-US"/>
        </w:rPr>
        <w:t>Les résultats issus</w:t>
      </w:r>
      <w:r w:rsidR="00E86F7F">
        <w:rPr>
          <w:lang w:eastAsia="en-US"/>
        </w:rPr>
        <w:t xml:space="preserve"> de cette évaluation sectorielle con</w:t>
      </w:r>
      <w:r w:rsidR="009918B2" w:rsidRPr="009918B2">
        <w:rPr>
          <w:lang w:eastAsia="en-US"/>
        </w:rPr>
        <w:t>stitue</w:t>
      </w:r>
      <w:r w:rsidR="00E86F7F">
        <w:rPr>
          <w:lang w:eastAsia="en-US"/>
        </w:rPr>
        <w:t>nt</w:t>
      </w:r>
      <w:r w:rsidR="009918B2" w:rsidRPr="009918B2">
        <w:rPr>
          <w:lang w:eastAsia="en-US"/>
        </w:rPr>
        <w:t xml:space="preserve"> un outil d’aide à la décision pour la formulation </w:t>
      </w:r>
      <w:r>
        <w:rPr>
          <w:lang w:eastAsia="en-US"/>
        </w:rPr>
        <w:t xml:space="preserve">des mesures d’atténuation </w:t>
      </w:r>
      <w:r w:rsidR="00DF3986">
        <w:rPr>
          <w:lang w:eastAsia="en-US"/>
        </w:rPr>
        <w:t xml:space="preserve">et d’adaptation </w:t>
      </w:r>
      <w:r>
        <w:rPr>
          <w:lang w:eastAsia="en-US"/>
        </w:rPr>
        <w:t>de la</w:t>
      </w:r>
      <w:r w:rsidR="009918B2" w:rsidRPr="009918B2">
        <w:rPr>
          <w:lang w:eastAsia="en-US"/>
        </w:rPr>
        <w:t xml:space="preserve"> CDN 3.0 du Mali. </w:t>
      </w:r>
    </w:p>
    <w:p w14:paraId="3391C5EA" w14:textId="77777777" w:rsidR="009918B2" w:rsidRDefault="009918B2" w:rsidP="009918B2">
      <w:pPr>
        <w:rPr>
          <w:lang w:eastAsia="en-US"/>
        </w:rPr>
      </w:pPr>
    </w:p>
    <w:sectPr w:rsidR="009918B2" w:rsidSect="00C42595">
      <w:pgSz w:w="12240" w:h="15840" w:code="1"/>
      <w:pgMar w:top="1412" w:right="1412" w:bottom="1412" w:left="141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01696" w14:textId="77777777" w:rsidR="00991695" w:rsidRPr="008F3344" w:rsidRDefault="00991695">
      <w:pPr>
        <w:spacing w:after="0" w:line="240" w:lineRule="auto"/>
      </w:pPr>
      <w:r w:rsidRPr="008F3344">
        <w:separator/>
      </w:r>
    </w:p>
  </w:endnote>
  <w:endnote w:type="continuationSeparator" w:id="0">
    <w:p w14:paraId="0B00AF85" w14:textId="77777777" w:rsidR="00991695" w:rsidRPr="008F3344" w:rsidRDefault="00991695">
      <w:pPr>
        <w:spacing w:after="0" w:line="240" w:lineRule="auto"/>
      </w:pPr>
      <w:r w:rsidRPr="008F3344">
        <w:continuationSeparator/>
      </w:r>
    </w:p>
  </w:endnote>
  <w:endnote w:type="continuationNotice" w:id="1">
    <w:p w14:paraId="019A1917" w14:textId="77777777" w:rsidR="00991695" w:rsidRPr="008F3344" w:rsidRDefault="009916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roman"/>
    <w:notTrueType/>
    <w:pitch w:val="default"/>
  </w:font>
  <w:font w:name="SymbolMT">
    <w:altName w:val="Cambria"/>
    <w:charset w:val="A1"/>
    <w:family w:val="auto"/>
    <w:pitch w:val="default"/>
    <w:sig w:usb0="00000081" w:usb1="00000000" w:usb2="00000000" w:usb3="00000000" w:csb0="00000008"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Traditional Arabic">
    <w:panose1 w:val="02020603050405020304"/>
    <w:charset w:val="00"/>
    <w:family w:val="roman"/>
    <w:pitch w:val="variable"/>
    <w:sig w:usb0="00002003" w:usb1="8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CF4F" w14:textId="023D21A9" w:rsidR="005C7CE4" w:rsidRPr="005C7CE4" w:rsidRDefault="005C7CE4" w:rsidP="00E33553">
    <w:pPr>
      <w:spacing w:after="0"/>
      <w:jc w:val="right"/>
      <w:rPr>
        <w:sz w:val="20"/>
        <w:szCs w:val="20"/>
      </w:rPr>
    </w:pPr>
    <w:r w:rsidRPr="005C7CE4">
      <w:rPr>
        <w:spacing w:val="30"/>
        <w:sz w:val="20"/>
        <w:szCs w:val="20"/>
      </w:rPr>
      <w:t>Page</w:t>
    </w:r>
    <w:r w:rsidRPr="005C7CE4">
      <w:rPr>
        <w:sz w:val="20"/>
        <w:szCs w:val="20"/>
      </w:rPr>
      <w:t xml:space="preserve"> </w:t>
    </w:r>
    <w:r w:rsidRPr="005C7CE4">
      <w:rPr>
        <w:b/>
        <w:bCs/>
        <w:sz w:val="20"/>
        <w:szCs w:val="20"/>
      </w:rPr>
      <w:fldChar w:fldCharType="begin"/>
    </w:r>
    <w:r w:rsidRPr="005C7CE4">
      <w:rPr>
        <w:b/>
        <w:bCs/>
        <w:sz w:val="20"/>
        <w:szCs w:val="20"/>
      </w:rPr>
      <w:instrText>PAGE   \* MERGEFORMAT</w:instrText>
    </w:r>
    <w:r w:rsidRPr="005C7CE4">
      <w:rPr>
        <w:b/>
        <w:bCs/>
        <w:sz w:val="20"/>
        <w:szCs w:val="20"/>
      </w:rPr>
      <w:fldChar w:fldCharType="separate"/>
    </w:r>
    <w:r w:rsidRPr="005C7CE4">
      <w:rPr>
        <w:b/>
        <w:bCs/>
        <w:sz w:val="20"/>
        <w:szCs w:val="20"/>
      </w:rPr>
      <w:t>2</w:t>
    </w:r>
    <w:r w:rsidRPr="005C7CE4">
      <w:rPr>
        <w:b/>
        <w:bCs/>
        <w:sz w:val="20"/>
        <w:szCs w:val="20"/>
      </w:rPr>
      <w:fldChar w:fldCharType="end"/>
    </w:r>
    <w:r w:rsidRPr="005C7CE4">
      <w:rPr>
        <w:sz w:val="20"/>
        <w:szCs w:val="20"/>
      </w:rPr>
      <w:t xml:space="preserve"> | </w:t>
    </w:r>
    <w:r w:rsidRPr="005C7CE4">
      <w:rPr>
        <w:b/>
        <w:bCs/>
        <w:sz w:val="20"/>
        <w:szCs w:val="20"/>
      </w:rPr>
      <w:fldChar w:fldCharType="begin"/>
    </w:r>
    <w:r w:rsidRPr="005C7CE4">
      <w:rPr>
        <w:b/>
        <w:bCs/>
        <w:sz w:val="20"/>
        <w:szCs w:val="20"/>
      </w:rPr>
      <w:instrText>NUMPAGES  \* Arabic  \* MERGEFORMAT</w:instrText>
    </w:r>
    <w:r w:rsidRPr="005C7CE4">
      <w:rPr>
        <w:b/>
        <w:bCs/>
        <w:sz w:val="20"/>
        <w:szCs w:val="20"/>
      </w:rPr>
      <w:fldChar w:fldCharType="separate"/>
    </w:r>
    <w:r w:rsidRPr="005C7CE4">
      <w:rPr>
        <w:b/>
        <w:bCs/>
        <w:sz w:val="20"/>
        <w:szCs w:val="20"/>
      </w:rPr>
      <w:t>12</w:t>
    </w:r>
    <w:r w:rsidRPr="005C7CE4">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20606" w14:textId="77777777" w:rsidR="00991695" w:rsidRPr="008F3344" w:rsidRDefault="00991695">
      <w:pPr>
        <w:spacing w:after="0" w:line="240" w:lineRule="auto"/>
      </w:pPr>
      <w:r w:rsidRPr="008F3344">
        <w:separator/>
      </w:r>
    </w:p>
  </w:footnote>
  <w:footnote w:type="continuationSeparator" w:id="0">
    <w:p w14:paraId="5303459F" w14:textId="77777777" w:rsidR="00991695" w:rsidRPr="008F3344" w:rsidRDefault="00991695">
      <w:pPr>
        <w:spacing w:after="0" w:line="240" w:lineRule="auto"/>
      </w:pPr>
      <w:r w:rsidRPr="008F3344">
        <w:continuationSeparator/>
      </w:r>
    </w:p>
  </w:footnote>
  <w:footnote w:type="continuationNotice" w:id="1">
    <w:p w14:paraId="7BC0CA73" w14:textId="77777777" w:rsidR="00991695" w:rsidRPr="008F3344" w:rsidRDefault="00991695">
      <w:pPr>
        <w:spacing w:after="0" w:line="240" w:lineRule="auto"/>
      </w:pPr>
    </w:p>
  </w:footnote>
  <w:footnote w:id="2">
    <w:p w14:paraId="49F21105" w14:textId="086EDA66" w:rsidR="000C1B3B" w:rsidRDefault="000C1B3B">
      <w:pPr>
        <w:pStyle w:val="Notedebasdepage"/>
      </w:pPr>
      <w:r>
        <w:rPr>
          <w:rStyle w:val="Appelnotedebasdep"/>
        </w:rPr>
        <w:footnoteRef/>
      </w:r>
      <w:r>
        <w:t xml:space="preserve"> </w:t>
      </w:r>
      <w:r w:rsidRPr="00D13B37">
        <w:t>QUATRIÈME COMMUNICATION NATIONALE DU MALI DANS LE CADRE DE LA CONVENTION-CADRE DES NATIONS UNIES SUR LES CHANGEMENTS CLIMATIQUES</w:t>
      </w:r>
    </w:p>
  </w:footnote>
  <w:footnote w:id="3">
    <w:p w14:paraId="02AFCE19" w14:textId="7973A709" w:rsidR="005D3F1E" w:rsidRDefault="005D3F1E">
      <w:pPr>
        <w:pStyle w:val="Notedebasdepage"/>
      </w:pPr>
      <w:r>
        <w:rPr>
          <w:rStyle w:val="Appelnotedebasdep"/>
        </w:rPr>
        <w:footnoteRef/>
      </w:r>
      <w:r>
        <w:t xml:space="preserve"> </w:t>
      </w:r>
      <w:r w:rsidRPr="00695AAA">
        <w:t>QUATRIÈME COMMUNICATION NATIONALE DU MALI DANS LE CADRE DE LA CONVENTION-CADRE DES NATIONS UNIES SUR LES CHANGEMENTS CLIMATIQUES</w:t>
      </w:r>
    </w:p>
  </w:footnote>
  <w:footnote w:id="4">
    <w:p w14:paraId="28BB231A" w14:textId="57AA3846" w:rsidR="00D33AB2" w:rsidRPr="00CA266D" w:rsidRDefault="00D33AB2" w:rsidP="00FA2EB2">
      <w:pPr>
        <w:pStyle w:val="Notedebasdepage"/>
        <w:jc w:val="both"/>
        <w:rPr>
          <w:sz w:val="18"/>
          <w:szCs w:val="18"/>
        </w:rPr>
      </w:pPr>
      <w:r>
        <w:rPr>
          <w:rStyle w:val="Appelnotedebasdep"/>
        </w:rPr>
        <w:footnoteRef/>
      </w:r>
      <w:r>
        <w:t xml:space="preserve"> </w:t>
      </w:r>
      <w:r w:rsidR="00176A49" w:rsidRPr="00176A49">
        <w:rPr>
          <w:sz w:val="18"/>
          <w:szCs w:val="18"/>
        </w:rPr>
        <w:t>Quatrième communication nationale du mali dans le cadre de la convention-cadre des nations unies sur les changements climatiques</w:t>
      </w:r>
    </w:p>
  </w:footnote>
  <w:footnote w:id="5">
    <w:p w14:paraId="3A7E993E" w14:textId="029BF0F9" w:rsidR="00BC1496" w:rsidRPr="006C7435" w:rsidRDefault="00BC1496" w:rsidP="00B32C3C">
      <w:pPr>
        <w:pStyle w:val="Notedebasdepage"/>
        <w:rPr>
          <w:sz w:val="18"/>
          <w:szCs w:val="18"/>
        </w:rPr>
      </w:pPr>
      <w:r w:rsidRPr="006C7435">
        <w:rPr>
          <w:rStyle w:val="Appelnotedebasdep"/>
          <w:sz w:val="18"/>
          <w:szCs w:val="18"/>
        </w:rPr>
        <w:footnoteRef/>
      </w:r>
      <w:r w:rsidRPr="006C7435">
        <w:rPr>
          <w:sz w:val="18"/>
          <w:szCs w:val="18"/>
        </w:rPr>
        <w:t xml:space="preserve"> </w:t>
      </w:r>
      <w:r w:rsidR="00B32C3C" w:rsidRPr="006C7435">
        <w:rPr>
          <w:sz w:val="18"/>
          <w:szCs w:val="18"/>
        </w:rPr>
        <w:t>Dans ce tableau, le signe (–) indique une séquestration du carbone, c’est-à-dire une absorption des émissions par les sols, les arbres ou les écosystèmes. Il ne s’agit donc pas d’une valeur négative au sens mathématique, mais d’un effet positif pour l’atténuation du changement climatique.</w:t>
      </w:r>
    </w:p>
  </w:footnote>
  <w:footnote w:id="6">
    <w:p w14:paraId="48F447F8" w14:textId="770D324E" w:rsidR="00F55D3D" w:rsidRPr="00443A9C" w:rsidRDefault="00F55D3D">
      <w:pPr>
        <w:pStyle w:val="Notedebasdepage"/>
        <w:rPr>
          <w:sz w:val="18"/>
          <w:szCs w:val="18"/>
        </w:rPr>
      </w:pPr>
      <w:r w:rsidRPr="00443A9C">
        <w:rPr>
          <w:rStyle w:val="Appelnotedebasdep"/>
          <w:sz w:val="18"/>
          <w:szCs w:val="18"/>
        </w:rPr>
        <w:footnoteRef/>
      </w:r>
      <w:r w:rsidRPr="00443A9C">
        <w:rPr>
          <w:sz w:val="18"/>
          <w:szCs w:val="18"/>
        </w:rPr>
        <w:t xml:space="preserve"> https://unfccc.int/sites/default/files/resource/QCN_RAPPORT%20FINAL_04_12_2025%20VF.pdf</w:t>
      </w:r>
    </w:p>
  </w:footnote>
  <w:footnote w:id="7">
    <w:p w14:paraId="54A85551" w14:textId="493AD896" w:rsidR="00882986" w:rsidRPr="00882986" w:rsidRDefault="00D64246" w:rsidP="00882986">
      <w:pPr>
        <w:pStyle w:val="NormalWeb"/>
        <w:spacing w:before="0" w:beforeAutospacing="0" w:after="0" w:afterAutospacing="0"/>
        <w:rPr>
          <w:sz w:val="22"/>
          <w:szCs w:val="22"/>
        </w:rPr>
      </w:pPr>
      <w:r>
        <w:rPr>
          <w:rStyle w:val="Appelnotedebasdep"/>
        </w:rPr>
        <w:footnoteRef/>
      </w:r>
      <w:r>
        <w:t xml:space="preserve"> </w:t>
      </w:r>
      <w:r w:rsidR="00882986" w:rsidRPr="00882986">
        <w:rPr>
          <w:rFonts w:ascii="Calibri" w:eastAsia="Calibri" w:hAnsi="Calibri" w:cs="Calibri"/>
          <w:sz w:val="18"/>
          <w:szCs w:val="18"/>
        </w:rPr>
        <w:t>Intitulé du projet proposé par le consultant en l’absence d’un intitulé au niveau de la fiche projet</w:t>
      </w:r>
    </w:p>
    <w:p w14:paraId="151B4A03" w14:textId="73969BCC" w:rsidR="00D64246" w:rsidRDefault="00D64246">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C5D80" w14:textId="1A8EE789" w:rsidR="009E505F" w:rsidRPr="00E33553" w:rsidRDefault="00E33553" w:rsidP="00E33553">
    <w:pPr>
      <w:pBdr>
        <w:left w:val="single" w:sz="12" w:space="11" w:color="5B9BD5" w:themeColor="accent1"/>
      </w:pBdr>
      <w:tabs>
        <w:tab w:val="left" w:pos="7840"/>
      </w:tabs>
      <w:spacing w:after="0"/>
      <w:rPr>
        <w:rFonts w:eastAsiaTheme="majorEastAsia"/>
        <w:color w:val="2E74B5" w:themeColor="accent1" w:themeShade="BF"/>
      </w:rPr>
    </w:pPr>
    <w:r w:rsidRPr="00E92810">
      <w:rPr>
        <w:rFonts w:asciiTheme="majorHAnsi" w:eastAsiaTheme="majorEastAsia" w:hAnsiTheme="majorHAnsi" w:cstheme="majorBidi"/>
        <w:noProof/>
        <w:color w:val="2E74B5" w:themeColor="accent1" w:themeShade="BF"/>
        <w:sz w:val="26"/>
        <w:szCs w:val="26"/>
        <w14:ligatures w14:val="standardContextual"/>
      </w:rPr>
      <mc:AlternateContent>
        <mc:Choice Requires="wpg">
          <w:drawing>
            <wp:anchor distT="0" distB="0" distL="114300" distR="114300" simplePos="0" relativeHeight="251658240" behindDoc="1" locked="0" layoutInCell="1" allowOverlap="1" wp14:anchorId="2DE3830C" wp14:editId="43E6F042">
              <wp:simplePos x="0" y="0"/>
              <wp:positionH relativeFrom="column">
                <wp:posOffset>5730875</wp:posOffset>
              </wp:positionH>
              <wp:positionV relativeFrom="paragraph">
                <wp:posOffset>-108585</wp:posOffset>
              </wp:positionV>
              <wp:extent cx="1003300" cy="387350"/>
              <wp:effectExtent l="0" t="0" r="0" b="0"/>
              <wp:wrapNone/>
              <wp:docPr id="862318291" name="Groupe 2"/>
              <wp:cNvGraphicFramePr/>
              <a:graphic xmlns:a="http://schemas.openxmlformats.org/drawingml/2006/main">
                <a:graphicData uri="http://schemas.microsoft.com/office/word/2010/wordprocessingGroup">
                  <wpg:wgp>
                    <wpg:cNvGrpSpPr/>
                    <wpg:grpSpPr>
                      <a:xfrm>
                        <a:off x="0" y="0"/>
                        <a:ext cx="1003300" cy="387350"/>
                        <a:chOff x="0" y="0"/>
                        <a:chExt cx="2291715" cy="1024890"/>
                      </a:xfrm>
                    </wpg:grpSpPr>
                    <pic:pic xmlns:pic="http://schemas.openxmlformats.org/drawingml/2006/picture">
                      <pic:nvPicPr>
                        <pic:cNvPr id="213784377" name="Picture 54" descr="A blue outline of a continen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2010" cy="1024890"/>
                        </a:xfrm>
                        <a:prstGeom prst="rect">
                          <a:avLst/>
                        </a:prstGeom>
                      </pic:spPr>
                    </pic:pic>
                    <pic:pic xmlns:pic="http://schemas.openxmlformats.org/drawingml/2006/picture">
                      <pic:nvPicPr>
                        <pic:cNvPr id="1951118370" name="Picture 53" descr="Blue text on a black background&#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869950" y="120650"/>
                          <a:ext cx="1421765" cy="75882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7A2438D2" id="Groupe 2" o:spid="_x0000_s1026" style="position:absolute;margin-left:451.25pt;margin-top:-8.55pt;width:79pt;height:30.5pt;z-index:-251658240;mso-width-relative:margin;mso-height-relative:margin" coordsize="22917,10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 o:spid="_x0000_s1027" type="#_x0000_t75" alt="A blue outline of a continent&#10;&#10;Description automatically generated" style="position:absolute;width:8420;height:10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">
                <v:imagedata r:id="rId3" o:title="A blue outline of a continent&#10;&#10;Description automatically generated"/>
              </v:shape>
              <v:shape id="Picture 53" o:spid="_x0000_s1028" type="#_x0000_t75" alt="Blue text on a black background&#10;&#10;Description automatically generated" style="position:absolute;left:8699;top:1206;width:14218;height:7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">
                <v:imagedata r:id="rId4" o:title="Blue text on a black background&#10;&#10;Description automatically generated"/>
              </v:shape>
            </v:group>
          </w:pict>
        </mc:Fallback>
      </mc:AlternateContent>
    </w:r>
    <w:sdt>
      <w:sdtPr>
        <w:rPr>
          <w:rFonts w:eastAsiaTheme="majorEastAsia"/>
          <w:color w:val="2E74B5" w:themeColor="accent1" w:themeShade="BF"/>
          <w:sz w:val="20"/>
          <w:szCs w:val="20"/>
        </w:rPr>
        <w:alias w:val="Titre"/>
        <w:tag w:val=""/>
        <w:id w:val="-932208079"/>
        <w:dataBinding w:prefixMappings="xmlns:ns0='http://purl.org/dc/elements/1.1/' xmlns:ns1='http://schemas.openxmlformats.org/package/2006/metadata/core-properties' " w:xpath="/ns1:coreProperties[1]/ns0:title[1]" w:storeItemID="{6C3C8BC8-F283-45AE-878A-BAB7291924A1}"/>
        <w:text/>
      </w:sdtPr>
      <w:sdtContent>
        <w:r w:rsidRPr="00E33553">
          <w:rPr>
            <w:rFonts w:eastAsiaTheme="majorEastAsia"/>
            <w:color w:val="2E74B5" w:themeColor="accent1" w:themeShade="BF"/>
            <w:sz w:val="20"/>
            <w:szCs w:val="20"/>
          </w:rPr>
          <w:t>Rappo</w:t>
        </w:r>
        <w:r w:rsidR="001642EF">
          <w:rPr>
            <w:rFonts w:eastAsiaTheme="majorEastAsia"/>
            <w:color w:val="2E74B5" w:themeColor="accent1" w:themeShade="BF"/>
            <w:sz w:val="20"/>
            <w:szCs w:val="20"/>
          </w:rPr>
          <w:t xml:space="preserve">rt </w:t>
        </w:r>
        <w:r w:rsidR="00974B19">
          <w:rPr>
            <w:rFonts w:eastAsiaTheme="majorEastAsia"/>
            <w:color w:val="2E74B5" w:themeColor="accent1" w:themeShade="BF"/>
            <w:sz w:val="20"/>
            <w:szCs w:val="20"/>
          </w:rPr>
          <w:t>de collecte des données</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4ED"/>
    <w:multiLevelType w:val="hybridMultilevel"/>
    <w:tmpl w:val="C14634BE"/>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6723AC"/>
    <w:multiLevelType w:val="hybridMultilevel"/>
    <w:tmpl w:val="46D49250"/>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020E2D"/>
    <w:multiLevelType w:val="multilevel"/>
    <w:tmpl w:val="ED103450"/>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pStyle w:val="ExhibitHeading4"/>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08BB16C9"/>
    <w:multiLevelType w:val="multilevel"/>
    <w:tmpl w:val="A7086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B788F"/>
    <w:multiLevelType w:val="multilevel"/>
    <w:tmpl w:val="939092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pStyle w:val="ExhibitHeading5"/>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AD54744"/>
    <w:multiLevelType w:val="multilevel"/>
    <w:tmpl w:val="8C6CB6F2"/>
    <w:lvl w:ilvl="0">
      <w:start w:val="1"/>
      <w:numFmt w:val="bullet"/>
      <w:pStyle w:val="TableBullet1Normal"/>
      <w:lvlText w:val="−"/>
      <w:lvlJc w:val="left"/>
      <w:pPr>
        <w:ind w:left="720" w:hanging="360"/>
      </w:pPr>
      <w:rPr>
        <w:rFonts w:ascii="Calibri" w:eastAsia="Calibri" w:hAnsi="Calibri" w:cs="Calibri"/>
      </w:rPr>
    </w:lvl>
    <w:lvl w:ilvl="1">
      <w:start w:val="1"/>
      <w:numFmt w:val="bullet"/>
      <w:pStyle w:val="TableBullet2Normal"/>
      <w:lvlText w:val="−"/>
      <w:lvlJc w:val="left"/>
      <w:pPr>
        <w:ind w:left="1440" w:hanging="360"/>
      </w:pPr>
      <w:rPr>
        <w:rFonts w:ascii="Calibri" w:eastAsia="Calibri" w:hAnsi="Calibri" w:cs="Calibri"/>
      </w:rPr>
    </w:lvl>
    <w:lvl w:ilvl="2">
      <w:start w:val="1"/>
      <w:numFmt w:val="bullet"/>
      <w:pStyle w:val="TableBullet3Normal"/>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B196B51"/>
    <w:multiLevelType w:val="multilevel"/>
    <w:tmpl w:val="89EEDB7C"/>
    <w:lvl w:ilvl="0">
      <w:start w:val="1"/>
      <w:numFmt w:val="decimal"/>
      <w:lvlText w:val="III.%1."/>
      <w:lvlJc w:val="left"/>
      <w:pPr>
        <w:ind w:left="1080" w:hanging="360"/>
      </w:pPr>
    </w:lvl>
    <w:lvl w:ilvl="1">
      <w:start w:val="1"/>
      <w:numFmt w:val="decimal"/>
      <w:pStyle w:val="Achievement"/>
      <w:lvlText w:val="III.%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C169C0"/>
    <w:multiLevelType w:val="multilevel"/>
    <w:tmpl w:val="4DBEDF7E"/>
    <w:lvl w:ilvl="0">
      <w:start w:val="1"/>
      <w:numFmt w:val="bullet"/>
      <w:pStyle w:val="Table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F961A44"/>
    <w:multiLevelType w:val="hybridMultilevel"/>
    <w:tmpl w:val="CF8817C0"/>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AD32B8"/>
    <w:multiLevelType w:val="hybridMultilevel"/>
    <w:tmpl w:val="9268064C"/>
    <w:lvl w:ilvl="0" w:tplc="2C4A78A6">
      <w:start w:val="1"/>
      <w:numFmt w:val="bullet"/>
      <w:lvlText w:val="-"/>
      <w:lvlJc w:val="left"/>
      <w:pPr>
        <w:ind w:left="720"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D80716"/>
    <w:multiLevelType w:val="multilevel"/>
    <w:tmpl w:val="066EFA06"/>
    <w:lvl w:ilvl="0">
      <w:start w:val="1"/>
      <w:numFmt w:val="bullet"/>
      <w:pStyle w:val="Listepuces"/>
      <w:lvlText w:val="●"/>
      <w:lvlJc w:val="left"/>
      <w:pPr>
        <w:ind w:left="720" w:hanging="360"/>
      </w:pPr>
      <w:rPr>
        <w:rFonts w:ascii="Noto Sans Symbols" w:eastAsia="Noto Sans Symbols" w:hAnsi="Noto Sans Symbols" w:cs="Noto Sans Symbols"/>
      </w:rPr>
    </w:lvl>
    <w:lvl w:ilvl="1">
      <w:start w:val="1"/>
      <w:numFmt w:val="bullet"/>
      <w:pStyle w:val="Listepuces2"/>
      <w:lvlText w:val="o"/>
      <w:lvlJc w:val="left"/>
      <w:pPr>
        <w:ind w:left="1440" w:hanging="360"/>
      </w:pPr>
      <w:rPr>
        <w:rFonts w:ascii="Courier New" w:eastAsia="Courier New" w:hAnsi="Courier New" w:cs="Courier New"/>
      </w:rPr>
    </w:lvl>
    <w:lvl w:ilvl="2">
      <w:start w:val="1"/>
      <w:numFmt w:val="bullet"/>
      <w:pStyle w:val="Listepuces3"/>
      <w:lvlText w:val="▪"/>
      <w:lvlJc w:val="left"/>
      <w:pPr>
        <w:ind w:left="2160" w:hanging="360"/>
      </w:pPr>
      <w:rPr>
        <w:rFonts w:ascii="Noto Sans Symbols" w:eastAsia="Noto Sans Symbols" w:hAnsi="Noto Sans Symbols" w:cs="Noto Sans Symbols"/>
      </w:rPr>
    </w:lvl>
    <w:lvl w:ilvl="3">
      <w:start w:val="1"/>
      <w:numFmt w:val="bullet"/>
      <w:pStyle w:val="Listepuces4"/>
      <w:lvlText w:val="●"/>
      <w:lvlJc w:val="left"/>
      <w:pPr>
        <w:ind w:left="2880" w:hanging="360"/>
      </w:pPr>
      <w:rPr>
        <w:rFonts w:ascii="Noto Sans Symbols" w:eastAsia="Noto Sans Symbols" w:hAnsi="Noto Sans Symbols" w:cs="Noto Sans Symbols"/>
      </w:rPr>
    </w:lvl>
    <w:lvl w:ilvl="4">
      <w:start w:val="1"/>
      <w:numFmt w:val="bullet"/>
      <w:pStyle w:val="Listepuces5"/>
      <w:lvlText w:val="o"/>
      <w:lvlJc w:val="left"/>
      <w:pPr>
        <w:ind w:left="3600" w:hanging="360"/>
      </w:pPr>
      <w:rPr>
        <w:rFonts w:ascii="Courier New" w:eastAsia="Courier New" w:hAnsi="Courier New" w:cs="Courier New"/>
      </w:rPr>
    </w:lvl>
    <w:lvl w:ilvl="5">
      <w:start w:val="1"/>
      <w:numFmt w:val="bullet"/>
      <w:pStyle w:val="ListBullet6"/>
      <w:lvlText w:val="▪"/>
      <w:lvlJc w:val="left"/>
      <w:pPr>
        <w:ind w:left="4320" w:hanging="360"/>
      </w:pPr>
      <w:rPr>
        <w:rFonts w:ascii="Noto Sans Symbols" w:eastAsia="Noto Sans Symbols" w:hAnsi="Noto Sans Symbols" w:cs="Noto Sans Symbols"/>
      </w:rPr>
    </w:lvl>
    <w:lvl w:ilvl="6">
      <w:start w:val="1"/>
      <w:numFmt w:val="bullet"/>
      <w:pStyle w:val="ListBullet7"/>
      <w:lvlText w:val="●"/>
      <w:lvlJc w:val="left"/>
      <w:pPr>
        <w:ind w:left="5040" w:hanging="360"/>
      </w:pPr>
      <w:rPr>
        <w:rFonts w:ascii="Noto Sans Symbols" w:eastAsia="Noto Sans Symbols" w:hAnsi="Noto Sans Symbols" w:cs="Noto Sans Symbols"/>
      </w:rPr>
    </w:lvl>
    <w:lvl w:ilvl="7">
      <w:start w:val="1"/>
      <w:numFmt w:val="bullet"/>
      <w:pStyle w:val="ListBullet8"/>
      <w:lvlText w:val="o"/>
      <w:lvlJc w:val="left"/>
      <w:pPr>
        <w:ind w:left="5760" w:hanging="360"/>
      </w:pPr>
      <w:rPr>
        <w:rFonts w:ascii="Courier New" w:eastAsia="Courier New" w:hAnsi="Courier New" w:cs="Courier New"/>
      </w:rPr>
    </w:lvl>
    <w:lvl w:ilvl="8">
      <w:start w:val="1"/>
      <w:numFmt w:val="bullet"/>
      <w:pStyle w:val="ListBullet9"/>
      <w:lvlText w:val="▪"/>
      <w:lvlJc w:val="left"/>
      <w:pPr>
        <w:ind w:left="6480" w:hanging="360"/>
      </w:pPr>
      <w:rPr>
        <w:rFonts w:ascii="Noto Sans Symbols" w:eastAsia="Noto Sans Symbols" w:hAnsi="Noto Sans Symbols" w:cs="Noto Sans Symbols"/>
      </w:rPr>
    </w:lvl>
  </w:abstractNum>
  <w:abstractNum w:abstractNumId="11" w15:restartNumberingAfterBreak="0">
    <w:nsid w:val="149B2A5C"/>
    <w:multiLevelType w:val="multilevel"/>
    <w:tmpl w:val="8B4C7CB6"/>
    <w:lvl w:ilvl="0">
      <w:start w:val="1"/>
      <w:numFmt w:val="bullet"/>
      <w:pStyle w:val="StyleArial10ptBlackJustified"/>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5B504D6"/>
    <w:multiLevelType w:val="hybridMultilevel"/>
    <w:tmpl w:val="67A24056"/>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655AEE"/>
    <w:multiLevelType w:val="hybridMultilevel"/>
    <w:tmpl w:val="539CE3D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A706F37"/>
    <w:multiLevelType w:val="multilevel"/>
    <w:tmpl w:val="1BAC1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004B4C"/>
    <w:multiLevelType w:val="hybridMultilevel"/>
    <w:tmpl w:val="02A019DE"/>
    <w:lvl w:ilvl="0" w:tplc="6F605570">
      <w:start w:val="1"/>
      <w:numFmt w:val="decimal"/>
      <w:pStyle w:val="Titre3"/>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FE3D0C"/>
    <w:multiLevelType w:val="hybridMultilevel"/>
    <w:tmpl w:val="5DE242F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CAF7569"/>
    <w:multiLevelType w:val="hybridMultilevel"/>
    <w:tmpl w:val="2056FE20"/>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EE3808"/>
    <w:multiLevelType w:val="multilevel"/>
    <w:tmpl w:val="B4F83CCE"/>
    <w:lvl w:ilvl="0">
      <w:start w:val="1"/>
      <w:numFmt w:val="bullet"/>
      <w:pStyle w:val="Listenumros"/>
      <w:lvlText w:val="●"/>
      <w:lvlJc w:val="left"/>
      <w:pPr>
        <w:ind w:left="720" w:hanging="360"/>
      </w:pPr>
      <w:rPr>
        <w:rFonts w:ascii="Noto Sans Symbols" w:eastAsia="Noto Sans Symbols" w:hAnsi="Noto Sans Symbols" w:cs="Noto Sans Symbols"/>
      </w:rPr>
    </w:lvl>
    <w:lvl w:ilvl="1">
      <w:start w:val="1"/>
      <w:numFmt w:val="bullet"/>
      <w:pStyle w:val="Listenumros2"/>
      <w:lvlText w:val="o"/>
      <w:lvlJc w:val="left"/>
      <w:pPr>
        <w:ind w:left="1440" w:hanging="360"/>
      </w:pPr>
      <w:rPr>
        <w:rFonts w:ascii="Courier New" w:eastAsia="Courier New" w:hAnsi="Courier New" w:cs="Courier New"/>
      </w:rPr>
    </w:lvl>
    <w:lvl w:ilvl="2">
      <w:start w:val="1"/>
      <w:numFmt w:val="bullet"/>
      <w:pStyle w:val="Listenumros3"/>
      <w:lvlText w:val="▪"/>
      <w:lvlJc w:val="left"/>
      <w:pPr>
        <w:ind w:left="2160" w:hanging="360"/>
      </w:pPr>
      <w:rPr>
        <w:rFonts w:ascii="Noto Sans Symbols" w:eastAsia="Noto Sans Symbols" w:hAnsi="Noto Sans Symbols" w:cs="Noto Sans Symbols"/>
      </w:rPr>
    </w:lvl>
    <w:lvl w:ilvl="3">
      <w:start w:val="1"/>
      <w:numFmt w:val="bullet"/>
      <w:pStyle w:val="Listenumros4"/>
      <w:lvlText w:val="●"/>
      <w:lvlJc w:val="left"/>
      <w:pPr>
        <w:ind w:left="2880" w:hanging="360"/>
      </w:pPr>
      <w:rPr>
        <w:rFonts w:ascii="Noto Sans Symbols" w:eastAsia="Noto Sans Symbols" w:hAnsi="Noto Sans Symbols" w:cs="Noto Sans Symbols"/>
      </w:rPr>
    </w:lvl>
    <w:lvl w:ilvl="4">
      <w:start w:val="1"/>
      <w:numFmt w:val="bullet"/>
      <w:pStyle w:val="Listenumros5"/>
      <w:lvlText w:val="o"/>
      <w:lvlJc w:val="left"/>
      <w:pPr>
        <w:ind w:left="3600" w:hanging="360"/>
      </w:pPr>
      <w:rPr>
        <w:rFonts w:ascii="Courier New" w:eastAsia="Courier New" w:hAnsi="Courier New" w:cs="Courier New"/>
      </w:rPr>
    </w:lvl>
    <w:lvl w:ilvl="5">
      <w:start w:val="1"/>
      <w:numFmt w:val="bullet"/>
      <w:pStyle w:val="ListNumber6"/>
      <w:lvlText w:val="▪"/>
      <w:lvlJc w:val="left"/>
      <w:pPr>
        <w:ind w:left="4320" w:hanging="360"/>
      </w:pPr>
      <w:rPr>
        <w:rFonts w:ascii="Noto Sans Symbols" w:eastAsia="Noto Sans Symbols" w:hAnsi="Noto Sans Symbols" w:cs="Noto Sans Symbols"/>
      </w:rPr>
    </w:lvl>
    <w:lvl w:ilvl="6">
      <w:start w:val="1"/>
      <w:numFmt w:val="bullet"/>
      <w:pStyle w:val="ListNumber7"/>
      <w:lvlText w:val="●"/>
      <w:lvlJc w:val="left"/>
      <w:pPr>
        <w:ind w:left="5040" w:hanging="360"/>
      </w:pPr>
      <w:rPr>
        <w:rFonts w:ascii="Noto Sans Symbols" w:eastAsia="Noto Sans Symbols" w:hAnsi="Noto Sans Symbols" w:cs="Noto Sans Symbols"/>
      </w:rPr>
    </w:lvl>
    <w:lvl w:ilvl="7">
      <w:start w:val="1"/>
      <w:numFmt w:val="bullet"/>
      <w:pStyle w:val="ListNumber8"/>
      <w:lvlText w:val="o"/>
      <w:lvlJc w:val="left"/>
      <w:pPr>
        <w:ind w:left="5760" w:hanging="360"/>
      </w:pPr>
      <w:rPr>
        <w:rFonts w:ascii="Courier New" w:eastAsia="Courier New" w:hAnsi="Courier New" w:cs="Courier New"/>
      </w:rPr>
    </w:lvl>
    <w:lvl w:ilvl="8">
      <w:start w:val="1"/>
      <w:numFmt w:val="bullet"/>
      <w:pStyle w:val="ListNumber9"/>
      <w:lvlText w:val="▪"/>
      <w:lvlJc w:val="left"/>
      <w:pPr>
        <w:ind w:left="6480" w:hanging="360"/>
      </w:pPr>
      <w:rPr>
        <w:rFonts w:ascii="Noto Sans Symbols" w:eastAsia="Noto Sans Symbols" w:hAnsi="Noto Sans Symbols" w:cs="Noto Sans Symbols"/>
      </w:rPr>
    </w:lvl>
  </w:abstractNum>
  <w:abstractNum w:abstractNumId="19" w15:restartNumberingAfterBreak="0">
    <w:nsid w:val="30171393"/>
    <w:multiLevelType w:val="hybridMultilevel"/>
    <w:tmpl w:val="AEE86B8A"/>
    <w:lvl w:ilvl="0" w:tplc="040C0001">
      <w:start w:val="1"/>
      <w:numFmt w:val="bullet"/>
      <w:lvlText w:val=""/>
      <w:lvlJc w:val="left"/>
      <w:pPr>
        <w:ind w:left="432" w:hanging="252"/>
      </w:pPr>
      <w:rPr>
        <w:rFonts w:ascii="Symbol" w:hAnsi="Symbol" w:hint="default"/>
        <w:b/>
        <w:bCs/>
        <w:color w:val="C85A2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2A47407"/>
    <w:multiLevelType w:val="hybridMultilevel"/>
    <w:tmpl w:val="15C483BA"/>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073690"/>
    <w:multiLevelType w:val="hybridMultilevel"/>
    <w:tmpl w:val="BE64A054"/>
    <w:lvl w:ilvl="0" w:tplc="5E4E3624">
      <w:start w:val="1"/>
      <w:numFmt w:val="bullet"/>
      <w:lvlText w:val="•"/>
      <w:lvlJc w:val="left"/>
      <w:pPr>
        <w:ind w:left="432" w:hanging="252"/>
      </w:pPr>
      <w:rPr>
        <w:b/>
        <w:bCs/>
        <w:color w:val="C85A2A"/>
      </w:rPr>
    </w:lvl>
    <w:lvl w:ilvl="1" w:tplc="8EC8F0CC">
      <w:numFmt w:val="decimal"/>
      <w:lvlText w:val=""/>
      <w:lvlJc w:val="left"/>
    </w:lvl>
    <w:lvl w:ilvl="2" w:tplc="7FB8428C">
      <w:numFmt w:val="decimal"/>
      <w:lvlText w:val=""/>
      <w:lvlJc w:val="left"/>
    </w:lvl>
    <w:lvl w:ilvl="3" w:tplc="701EA9F8">
      <w:numFmt w:val="decimal"/>
      <w:lvlText w:val=""/>
      <w:lvlJc w:val="left"/>
    </w:lvl>
    <w:lvl w:ilvl="4" w:tplc="F9085986">
      <w:numFmt w:val="decimal"/>
      <w:lvlText w:val=""/>
      <w:lvlJc w:val="left"/>
    </w:lvl>
    <w:lvl w:ilvl="5" w:tplc="D7CE98CC">
      <w:numFmt w:val="decimal"/>
      <w:lvlText w:val=""/>
      <w:lvlJc w:val="left"/>
    </w:lvl>
    <w:lvl w:ilvl="6" w:tplc="316E97C4">
      <w:numFmt w:val="decimal"/>
      <w:lvlText w:val=""/>
      <w:lvlJc w:val="left"/>
    </w:lvl>
    <w:lvl w:ilvl="7" w:tplc="D3004A12">
      <w:numFmt w:val="decimal"/>
      <w:lvlText w:val=""/>
      <w:lvlJc w:val="left"/>
    </w:lvl>
    <w:lvl w:ilvl="8" w:tplc="EA4CEF8E">
      <w:numFmt w:val="decimal"/>
      <w:lvlText w:val=""/>
      <w:lvlJc w:val="left"/>
    </w:lvl>
  </w:abstractNum>
  <w:abstractNum w:abstractNumId="22" w15:restartNumberingAfterBreak="0">
    <w:nsid w:val="39C86E41"/>
    <w:multiLevelType w:val="multilevel"/>
    <w:tmpl w:val="032039C8"/>
    <w:lvl w:ilvl="0">
      <w:start w:val="1"/>
      <w:numFmt w:val="bullet"/>
      <w:pStyle w:val="ListAlpha"/>
      <w:lvlText w:val="•"/>
      <w:lvlJc w:val="left"/>
      <w:pPr>
        <w:ind w:left="720" w:hanging="360"/>
      </w:pPr>
      <w:rPr>
        <w:rFonts w:ascii="Arial" w:eastAsia="Arial" w:hAnsi="Arial" w:cs="Arial"/>
      </w:rPr>
    </w:lvl>
    <w:lvl w:ilvl="1">
      <w:start w:val="1"/>
      <w:numFmt w:val="bullet"/>
      <w:pStyle w:val="ListAlpha2"/>
      <w:lvlText w:val="•"/>
      <w:lvlJc w:val="left"/>
      <w:pPr>
        <w:ind w:left="1440" w:hanging="360"/>
      </w:pPr>
      <w:rPr>
        <w:rFonts w:ascii="Arial" w:eastAsia="Arial" w:hAnsi="Arial" w:cs="Arial"/>
      </w:rPr>
    </w:lvl>
    <w:lvl w:ilvl="2">
      <w:start w:val="1"/>
      <w:numFmt w:val="bullet"/>
      <w:pStyle w:val="ListAlpha3"/>
      <w:lvlText w:val="•"/>
      <w:lvlJc w:val="left"/>
      <w:pPr>
        <w:ind w:left="2160" w:hanging="360"/>
      </w:pPr>
      <w:rPr>
        <w:rFonts w:ascii="Arial" w:eastAsia="Arial" w:hAnsi="Arial" w:cs="Arial"/>
      </w:rPr>
    </w:lvl>
    <w:lvl w:ilvl="3">
      <w:start w:val="1"/>
      <w:numFmt w:val="bullet"/>
      <w:pStyle w:val="ListAlpha4"/>
      <w:lvlText w:val="•"/>
      <w:lvlJc w:val="left"/>
      <w:pPr>
        <w:ind w:left="2880" w:hanging="360"/>
      </w:pPr>
      <w:rPr>
        <w:rFonts w:ascii="Arial" w:eastAsia="Arial" w:hAnsi="Arial" w:cs="Arial"/>
      </w:rPr>
    </w:lvl>
    <w:lvl w:ilvl="4">
      <w:start w:val="1"/>
      <w:numFmt w:val="bullet"/>
      <w:pStyle w:val="ListAlpha5"/>
      <w:lvlText w:val="•"/>
      <w:lvlJc w:val="left"/>
      <w:pPr>
        <w:ind w:left="3600" w:hanging="360"/>
      </w:pPr>
      <w:rPr>
        <w:rFonts w:ascii="Arial" w:eastAsia="Arial" w:hAnsi="Arial" w:cs="Arial"/>
      </w:rPr>
    </w:lvl>
    <w:lvl w:ilvl="5">
      <w:start w:val="1"/>
      <w:numFmt w:val="bullet"/>
      <w:pStyle w:val="ListAlpha6"/>
      <w:lvlText w:val="•"/>
      <w:lvlJc w:val="left"/>
      <w:pPr>
        <w:ind w:left="4320" w:hanging="360"/>
      </w:pPr>
      <w:rPr>
        <w:rFonts w:ascii="Arial" w:eastAsia="Arial" w:hAnsi="Arial" w:cs="Arial"/>
      </w:rPr>
    </w:lvl>
    <w:lvl w:ilvl="6">
      <w:start w:val="1"/>
      <w:numFmt w:val="bullet"/>
      <w:pStyle w:val="ListAlpha7"/>
      <w:lvlText w:val="•"/>
      <w:lvlJc w:val="left"/>
      <w:pPr>
        <w:ind w:left="5040" w:hanging="360"/>
      </w:pPr>
      <w:rPr>
        <w:rFonts w:ascii="Arial" w:eastAsia="Arial" w:hAnsi="Arial" w:cs="Arial"/>
      </w:rPr>
    </w:lvl>
    <w:lvl w:ilvl="7">
      <w:start w:val="1"/>
      <w:numFmt w:val="bullet"/>
      <w:pStyle w:val="ListAlpha8"/>
      <w:lvlText w:val="•"/>
      <w:lvlJc w:val="left"/>
      <w:pPr>
        <w:ind w:left="5760" w:hanging="360"/>
      </w:pPr>
      <w:rPr>
        <w:rFonts w:ascii="Arial" w:eastAsia="Arial" w:hAnsi="Arial" w:cs="Arial"/>
      </w:rPr>
    </w:lvl>
    <w:lvl w:ilvl="8">
      <w:start w:val="1"/>
      <w:numFmt w:val="bullet"/>
      <w:pStyle w:val="ListAlpha9"/>
      <w:lvlText w:val="•"/>
      <w:lvlJc w:val="left"/>
      <w:pPr>
        <w:ind w:left="6480" w:hanging="360"/>
      </w:pPr>
      <w:rPr>
        <w:rFonts w:ascii="Arial" w:eastAsia="Arial" w:hAnsi="Arial" w:cs="Arial"/>
      </w:rPr>
    </w:lvl>
  </w:abstractNum>
  <w:abstractNum w:abstractNumId="23" w15:restartNumberingAfterBreak="0">
    <w:nsid w:val="3F35047E"/>
    <w:multiLevelType w:val="hybridMultilevel"/>
    <w:tmpl w:val="0184A5A4"/>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CE4D73"/>
    <w:multiLevelType w:val="multilevel"/>
    <w:tmpl w:val="F758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841FEC"/>
    <w:multiLevelType w:val="multilevel"/>
    <w:tmpl w:val="F85CAD50"/>
    <w:lvl w:ilvl="0">
      <w:start w:val="1"/>
      <w:numFmt w:val="decimal"/>
      <w:pStyle w:val="PwCBullet"/>
      <w:lvlText w:val="I.%1."/>
      <w:lvlJc w:val="left"/>
      <w:pPr>
        <w:ind w:left="1080" w:hanging="360"/>
      </w:pPr>
    </w:lvl>
    <w:lvl w:ilvl="1">
      <w:start w:val="1"/>
      <w:numFmt w:val="decimal"/>
      <w:lvlText w:val="II.%2."/>
      <w:lvlJc w:val="left"/>
      <w:pPr>
        <w:ind w:left="-1080" w:hanging="360"/>
      </w:pPr>
    </w:lvl>
    <w:lvl w:ilvl="2">
      <w:start w:val="1"/>
      <w:numFmt w:val="lowerRoman"/>
      <w:lvlText w:val="%3."/>
      <w:lvlJc w:val="right"/>
      <w:pPr>
        <w:ind w:left="-360" w:hanging="180"/>
      </w:pPr>
    </w:lvl>
    <w:lvl w:ilvl="3">
      <w:start w:val="1"/>
      <w:numFmt w:val="decimal"/>
      <w:lvlText w:val="%4."/>
      <w:lvlJc w:val="left"/>
      <w:pPr>
        <w:ind w:left="360" w:hanging="360"/>
      </w:pPr>
    </w:lvl>
    <w:lvl w:ilvl="4">
      <w:start w:val="1"/>
      <w:numFmt w:val="lowerLetter"/>
      <w:lvlText w:val="%5."/>
      <w:lvlJc w:val="left"/>
      <w:pPr>
        <w:ind w:left="1080" w:hanging="360"/>
      </w:pPr>
    </w:lvl>
    <w:lvl w:ilvl="5">
      <w:start w:val="1"/>
      <w:numFmt w:val="lowerRoman"/>
      <w:lvlText w:val="%6."/>
      <w:lvlJc w:val="right"/>
      <w:pPr>
        <w:ind w:left="1800" w:hanging="180"/>
      </w:pPr>
    </w:lvl>
    <w:lvl w:ilvl="6">
      <w:start w:val="1"/>
      <w:numFmt w:val="decimal"/>
      <w:lvlText w:val="%7."/>
      <w:lvlJc w:val="left"/>
      <w:pPr>
        <w:ind w:left="2520" w:hanging="360"/>
      </w:pPr>
    </w:lvl>
    <w:lvl w:ilvl="7">
      <w:start w:val="1"/>
      <w:numFmt w:val="lowerLetter"/>
      <w:lvlText w:val="%8."/>
      <w:lvlJc w:val="left"/>
      <w:pPr>
        <w:ind w:left="3240" w:hanging="360"/>
      </w:pPr>
    </w:lvl>
    <w:lvl w:ilvl="8">
      <w:start w:val="1"/>
      <w:numFmt w:val="lowerRoman"/>
      <w:lvlText w:val="%9."/>
      <w:lvlJc w:val="right"/>
      <w:pPr>
        <w:ind w:left="3960" w:hanging="180"/>
      </w:pPr>
    </w:lvl>
  </w:abstractNum>
  <w:abstractNum w:abstractNumId="26" w15:restartNumberingAfterBreak="0">
    <w:nsid w:val="4B067629"/>
    <w:multiLevelType w:val="multilevel"/>
    <w:tmpl w:val="C79E71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pStyle w:val="ExhibitHeading3"/>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CD12F8F"/>
    <w:multiLevelType w:val="hybridMultilevel"/>
    <w:tmpl w:val="65281AAA"/>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500912"/>
    <w:multiLevelType w:val="hybridMultilevel"/>
    <w:tmpl w:val="4E3EFAB4"/>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40157E"/>
    <w:multiLevelType w:val="hybridMultilevel"/>
    <w:tmpl w:val="71E61D7C"/>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0D2BEF"/>
    <w:multiLevelType w:val="multilevel"/>
    <w:tmpl w:val="6B9477E8"/>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AppendixHeading2"/>
      <w:lvlText w:val="o"/>
      <w:lvlJc w:val="left"/>
      <w:pPr>
        <w:ind w:left="1440" w:hanging="360"/>
      </w:pPr>
      <w:rPr>
        <w:rFonts w:ascii="Courier New" w:eastAsia="Courier New" w:hAnsi="Courier New" w:cs="Courier New"/>
      </w:rPr>
    </w:lvl>
    <w:lvl w:ilvl="2">
      <w:start w:val="1"/>
      <w:numFmt w:val="bullet"/>
      <w:pStyle w:val="AppendixHeading3"/>
      <w:lvlText w:val="▪"/>
      <w:lvlJc w:val="left"/>
      <w:pPr>
        <w:ind w:left="2160" w:hanging="360"/>
      </w:pPr>
      <w:rPr>
        <w:rFonts w:ascii="Noto Sans Symbols" w:eastAsia="Noto Sans Symbols" w:hAnsi="Noto Sans Symbols" w:cs="Noto Sans Symbols"/>
      </w:rPr>
    </w:lvl>
    <w:lvl w:ilvl="3">
      <w:start w:val="1"/>
      <w:numFmt w:val="bullet"/>
      <w:pStyle w:val="AppendixHeading4"/>
      <w:lvlText w:val="●"/>
      <w:lvlJc w:val="left"/>
      <w:pPr>
        <w:ind w:left="2880" w:hanging="360"/>
      </w:pPr>
      <w:rPr>
        <w:rFonts w:ascii="Noto Sans Symbols" w:eastAsia="Noto Sans Symbols" w:hAnsi="Noto Sans Symbols" w:cs="Noto Sans Symbols"/>
      </w:rPr>
    </w:lvl>
    <w:lvl w:ilvl="4">
      <w:start w:val="1"/>
      <w:numFmt w:val="bullet"/>
      <w:pStyle w:val="AppendixHeading5"/>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6BC39A5"/>
    <w:multiLevelType w:val="hybridMultilevel"/>
    <w:tmpl w:val="816A444E"/>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0725B2"/>
    <w:multiLevelType w:val="hybridMultilevel"/>
    <w:tmpl w:val="CE8A35D4"/>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512FA2"/>
    <w:multiLevelType w:val="multilevel"/>
    <w:tmpl w:val="380A2B2C"/>
    <w:lvl w:ilvl="0">
      <w:start w:val="1"/>
      <w:numFmt w:val="upperRoman"/>
      <w:lvlText w:val="%1."/>
      <w:lvlJc w:val="left"/>
      <w:pPr>
        <w:ind w:left="851" w:hanging="284"/>
      </w:pPr>
      <w:rPr>
        <w:rFonts w:hint="default"/>
      </w:rPr>
    </w:lvl>
    <w:lvl w:ilvl="1">
      <w:start w:val="1"/>
      <w:numFmt w:val="decimal"/>
      <w:lvlText w:val="%1.%2."/>
      <w:lvlJc w:val="left"/>
      <w:pPr>
        <w:ind w:left="1134" w:hanging="283"/>
      </w:pPr>
      <w:rPr>
        <w:rFonts w:hint="default"/>
      </w:rPr>
    </w:lvl>
    <w:lvl w:ilvl="2">
      <w:start w:val="1"/>
      <w:numFmt w:val="decimal"/>
      <w:lvlText w:val="5.1.%3."/>
      <w:lvlJc w:val="left"/>
      <w:pPr>
        <w:ind w:left="1834" w:hanging="360"/>
      </w:pPr>
      <w:rPr>
        <w:rFonts w:hint="default"/>
      </w:rPr>
    </w:lvl>
    <w:lvl w:ilvl="3">
      <w:start w:val="1"/>
      <w:numFmt w:val="decimal"/>
      <w:lvlText w:val="%1.%2.%3.%4."/>
      <w:lvlJc w:val="left"/>
      <w:pPr>
        <w:ind w:left="2268" w:hanging="1417"/>
      </w:pPr>
      <w:rPr>
        <w:rFonts w:hint="default"/>
      </w:rPr>
    </w:lvl>
    <w:lvl w:ilvl="4">
      <w:start w:val="1"/>
      <w:numFmt w:val="lowerLetter"/>
      <w:pStyle w:val="IFCTITRE4"/>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34" w15:restartNumberingAfterBreak="0">
    <w:nsid w:val="5A1E6D2F"/>
    <w:multiLevelType w:val="hybridMultilevel"/>
    <w:tmpl w:val="E2D241C6"/>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C90B2E"/>
    <w:multiLevelType w:val="multilevel"/>
    <w:tmpl w:val="241CB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C01EE6"/>
    <w:multiLevelType w:val="hybridMultilevel"/>
    <w:tmpl w:val="3A0EA58A"/>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172E5A"/>
    <w:multiLevelType w:val="hybridMultilevel"/>
    <w:tmpl w:val="E360642E"/>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5274E0"/>
    <w:multiLevelType w:val="multilevel"/>
    <w:tmpl w:val="18DC2724"/>
    <w:lvl w:ilvl="0">
      <w:start w:val="1"/>
      <w:numFmt w:val="bullet"/>
      <w:pStyle w:val="CharCharCharChar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19C5F29"/>
    <w:multiLevelType w:val="multilevel"/>
    <w:tmpl w:val="CB38CE98"/>
    <w:lvl w:ilvl="0">
      <w:start w:val="1"/>
      <w:numFmt w:val="decimal"/>
      <w:pStyle w:val="Titre1"/>
      <w:lvlText w:val="%1."/>
      <w:lvlJc w:val="left"/>
      <w:pPr>
        <w:ind w:left="8222" w:hanging="284"/>
      </w:pPr>
    </w:lvl>
    <w:lvl w:ilvl="1">
      <w:start w:val="1"/>
      <w:numFmt w:val="decimal"/>
      <w:pStyle w:val="Titre2"/>
      <w:lvlText w:val="%1.%2."/>
      <w:lvlJc w:val="left"/>
      <w:pPr>
        <w:ind w:left="1134" w:hanging="283"/>
      </w:pPr>
      <w:rPr>
        <w:b w:val="0"/>
        <w:bCs w:val="0"/>
      </w:rPr>
    </w:lvl>
    <w:lvl w:ilvl="2">
      <w:start w:val="1"/>
      <w:numFmt w:val="decimal"/>
      <w:lvlText w:val="%1.%2.%3"/>
      <w:lvlJc w:val="right"/>
      <w:pPr>
        <w:tabs>
          <w:tab w:val="num" w:pos="1430"/>
        </w:tabs>
        <w:ind w:left="1544" w:hanging="284"/>
      </w:pPr>
    </w:lvl>
    <w:lvl w:ilvl="3">
      <w:start w:val="1"/>
      <w:numFmt w:val="decimal"/>
      <w:lvlText w:val="%1.%2.%3.%4"/>
      <w:lvlJc w:val="left"/>
      <w:pPr>
        <w:ind w:left="2268" w:hanging="1417"/>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40" w15:restartNumberingAfterBreak="0">
    <w:nsid w:val="630624EC"/>
    <w:multiLevelType w:val="multilevel"/>
    <w:tmpl w:val="08D2BB52"/>
    <w:lvl w:ilvl="0">
      <w:start w:val="5"/>
      <w:numFmt w:val="decimal"/>
      <w:lvlText w:val="%1"/>
      <w:lvlJc w:val="left"/>
      <w:pPr>
        <w:ind w:left="444" w:hanging="444"/>
      </w:pPr>
      <w:rPr>
        <w:rFonts w:hint="default"/>
      </w:rPr>
    </w:lvl>
    <w:lvl w:ilvl="1">
      <w:start w:val="1"/>
      <w:numFmt w:val="decimal"/>
      <w:pStyle w:val="IFCTITRE2"/>
      <w:lvlText w:val="4.%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6449007E"/>
    <w:multiLevelType w:val="multilevel"/>
    <w:tmpl w:val="FC38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6BB528D"/>
    <w:multiLevelType w:val="hybridMultilevel"/>
    <w:tmpl w:val="4DF2BC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8485079"/>
    <w:multiLevelType w:val="hybridMultilevel"/>
    <w:tmpl w:val="F5FC5194"/>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572AB5"/>
    <w:multiLevelType w:val="multilevel"/>
    <w:tmpl w:val="306C275C"/>
    <w:lvl w:ilvl="0">
      <w:start w:val="1"/>
      <w:numFmt w:val="bullet"/>
      <w:pStyle w:val="nbul"/>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Georgia" w:eastAsia="Georgia" w:hAnsi="Georgia" w:cs="Georgi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C566D18"/>
    <w:multiLevelType w:val="hybridMultilevel"/>
    <w:tmpl w:val="EB969B7C"/>
    <w:lvl w:ilvl="0" w:tplc="0B10AF3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CC75E06"/>
    <w:multiLevelType w:val="hybridMultilevel"/>
    <w:tmpl w:val="ADA2B1F4"/>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F71690"/>
    <w:multiLevelType w:val="multilevel"/>
    <w:tmpl w:val="7EBE9EF4"/>
    <w:lvl w:ilvl="0">
      <w:start w:val="1"/>
      <w:numFmt w:val="bullet"/>
      <w:pStyle w:val="ListRoman"/>
      <w:lvlText w:val="●"/>
      <w:lvlJc w:val="left"/>
      <w:pPr>
        <w:ind w:left="720" w:hanging="360"/>
      </w:pPr>
      <w:rPr>
        <w:rFonts w:ascii="Noto Sans Symbols" w:eastAsia="Noto Sans Symbols" w:hAnsi="Noto Sans Symbols" w:cs="Noto Sans Symbols"/>
      </w:rPr>
    </w:lvl>
    <w:lvl w:ilvl="1">
      <w:start w:val="1"/>
      <w:numFmt w:val="bullet"/>
      <w:pStyle w:val="ListRoman2"/>
      <w:lvlText w:val="o"/>
      <w:lvlJc w:val="left"/>
      <w:pPr>
        <w:ind w:left="1440" w:hanging="360"/>
      </w:pPr>
      <w:rPr>
        <w:rFonts w:ascii="Courier New" w:eastAsia="Courier New" w:hAnsi="Courier New" w:cs="Courier New"/>
      </w:rPr>
    </w:lvl>
    <w:lvl w:ilvl="2">
      <w:start w:val="1"/>
      <w:numFmt w:val="bullet"/>
      <w:pStyle w:val="ListRoman3"/>
      <w:lvlText w:val="▪"/>
      <w:lvlJc w:val="left"/>
      <w:pPr>
        <w:ind w:left="2160" w:hanging="360"/>
      </w:pPr>
      <w:rPr>
        <w:rFonts w:ascii="Noto Sans Symbols" w:eastAsia="Noto Sans Symbols" w:hAnsi="Noto Sans Symbols" w:cs="Noto Sans Symbols"/>
      </w:rPr>
    </w:lvl>
    <w:lvl w:ilvl="3">
      <w:start w:val="1"/>
      <w:numFmt w:val="bullet"/>
      <w:pStyle w:val="ListRoman4"/>
      <w:lvlText w:val="●"/>
      <w:lvlJc w:val="left"/>
      <w:pPr>
        <w:ind w:left="2880" w:hanging="360"/>
      </w:pPr>
      <w:rPr>
        <w:rFonts w:ascii="Noto Sans Symbols" w:eastAsia="Noto Sans Symbols" w:hAnsi="Noto Sans Symbols" w:cs="Noto Sans Symbols"/>
      </w:rPr>
    </w:lvl>
    <w:lvl w:ilvl="4">
      <w:start w:val="1"/>
      <w:numFmt w:val="bullet"/>
      <w:pStyle w:val="ListRoman5"/>
      <w:lvlText w:val="o"/>
      <w:lvlJc w:val="left"/>
      <w:pPr>
        <w:ind w:left="3600" w:hanging="360"/>
      </w:pPr>
      <w:rPr>
        <w:rFonts w:ascii="Courier New" w:eastAsia="Courier New" w:hAnsi="Courier New" w:cs="Courier New"/>
      </w:rPr>
    </w:lvl>
    <w:lvl w:ilvl="5">
      <w:start w:val="1"/>
      <w:numFmt w:val="bullet"/>
      <w:pStyle w:val="ListRoman6"/>
      <w:lvlText w:val="▪"/>
      <w:lvlJc w:val="left"/>
      <w:pPr>
        <w:ind w:left="4320" w:hanging="360"/>
      </w:pPr>
      <w:rPr>
        <w:rFonts w:ascii="Noto Sans Symbols" w:eastAsia="Noto Sans Symbols" w:hAnsi="Noto Sans Symbols" w:cs="Noto Sans Symbols"/>
      </w:rPr>
    </w:lvl>
    <w:lvl w:ilvl="6">
      <w:start w:val="1"/>
      <w:numFmt w:val="bullet"/>
      <w:pStyle w:val="ListRoman7"/>
      <w:lvlText w:val="●"/>
      <w:lvlJc w:val="left"/>
      <w:pPr>
        <w:ind w:left="5040" w:hanging="360"/>
      </w:pPr>
      <w:rPr>
        <w:rFonts w:ascii="Noto Sans Symbols" w:eastAsia="Noto Sans Symbols" w:hAnsi="Noto Sans Symbols" w:cs="Noto Sans Symbols"/>
      </w:rPr>
    </w:lvl>
    <w:lvl w:ilvl="7">
      <w:start w:val="1"/>
      <w:numFmt w:val="bullet"/>
      <w:pStyle w:val="ListRoman8"/>
      <w:lvlText w:val="o"/>
      <w:lvlJc w:val="left"/>
      <w:pPr>
        <w:ind w:left="5760" w:hanging="360"/>
      </w:pPr>
      <w:rPr>
        <w:rFonts w:ascii="Courier New" w:eastAsia="Courier New" w:hAnsi="Courier New" w:cs="Courier New"/>
      </w:rPr>
    </w:lvl>
    <w:lvl w:ilvl="8">
      <w:start w:val="1"/>
      <w:numFmt w:val="bullet"/>
      <w:pStyle w:val="ListRoman9"/>
      <w:lvlText w:val="▪"/>
      <w:lvlJc w:val="left"/>
      <w:pPr>
        <w:ind w:left="6480" w:hanging="360"/>
      </w:pPr>
      <w:rPr>
        <w:rFonts w:ascii="Noto Sans Symbols" w:eastAsia="Noto Sans Symbols" w:hAnsi="Noto Sans Symbols" w:cs="Noto Sans Symbols"/>
      </w:rPr>
    </w:lvl>
  </w:abstractNum>
  <w:abstractNum w:abstractNumId="48" w15:restartNumberingAfterBreak="0">
    <w:nsid w:val="6DE65D7D"/>
    <w:multiLevelType w:val="hybridMultilevel"/>
    <w:tmpl w:val="95845522"/>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1DE2CF0"/>
    <w:multiLevelType w:val="hybridMultilevel"/>
    <w:tmpl w:val="57B0771C"/>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A1655B"/>
    <w:multiLevelType w:val="multilevel"/>
    <w:tmpl w:val="2264D238"/>
    <w:lvl w:ilvl="0">
      <w:start w:val="1"/>
      <w:numFmt w:val="decimal"/>
      <w:pStyle w:val="TitreIFC1"/>
      <w:lvlText w:val="IV.%1."/>
      <w:lvlJc w:val="left"/>
      <w:pPr>
        <w:ind w:left="144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IV.%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3443926"/>
    <w:multiLevelType w:val="hybridMultilevel"/>
    <w:tmpl w:val="0B3428EC"/>
    <w:lvl w:ilvl="0" w:tplc="0B7C125A">
      <w:start w:val="1"/>
      <w:numFmt w:val="bullet"/>
      <w:pStyle w:val="Bullet"/>
      <w:lvlText w:val=""/>
      <w:lvlJc w:val="left"/>
      <w:pPr>
        <w:tabs>
          <w:tab w:val="num" w:pos="357"/>
        </w:tabs>
        <w:ind w:left="357" w:hanging="357"/>
      </w:pPr>
      <w:rPr>
        <w:rFonts w:ascii="Symbol" w:hAnsi="Symbol" w:hint="default"/>
      </w:rPr>
    </w:lvl>
    <w:lvl w:ilvl="1" w:tplc="42E24412">
      <w:start w:val="1"/>
      <w:numFmt w:val="decimal"/>
      <w:lvlText w:val="%2."/>
      <w:lvlJc w:val="left"/>
      <w:pPr>
        <w:tabs>
          <w:tab w:val="num" w:pos="1440"/>
        </w:tabs>
        <w:ind w:left="1440" w:hanging="360"/>
      </w:pPr>
      <w:rPr>
        <w:rFonts w:hint="default"/>
      </w:rPr>
    </w:lvl>
    <w:lvl w:ilvl="2" w:tplc="DDE645D6">
      <w:start w:val="1"/>
      <w:numFmt w:val="bullet"/>
      <w:lvlText w:val=""/>
      <w:lvlJc w:val="left"/>
      <w:pPr>
        <w:tabs>
          <w:tab w:val="num" w:pos="2160"/>
        </w:tabs>
        <w:ind w:left="2160" w:hanging="360"/>
      </w:pPr>
      <w:rPr>
        <w:rFonts w:ascii="Wingdings" w:hAnsi="Wingdings" w:hint="default"/>
      </w:rPr>
    </w:lvl>
    <w:lvl w:ilvl="3" w:tplc="73228374">
      <w:start w:val="1"/>
      <w:numFmt w:val="lowerLetter"/>
      <w:lvlText w:val="(%4)"/>
      <w:lvlJc w:val="left"/>
      <w:pPr>
        <w:tabs>
          <w:tab w:val="num" w:pos="2880"/>
        </w:tabs>
        <w:ind w:left="2880" w:hanging="360"/>
      </w:pPr>
      <w:rPr>
        <w:rFonts w:hint="default"/>
      </w:rPr>
    </w:lvl>
    <w:lvl w:ilvl="4" w:tplc="62302DDC" w:tentative="1">
      <w:start w:val="1"/>
      <w:numFmt w:val="bullet"/>
      <w:lvlText w:val="o"/>
      <w:lvlJc w:val="left"/>
      <w:pPr>
        <w:tabs>
          <w:tab w:val="num" w:pos="3600"/>
        </w:tabs>
        <w:ind w:left="3600" w:hanging="360"/>
      </w:pPr>
      <w:rPr>
        <w:rFonts w:ascii="Courier New" w:hAnsi="Courier New" w:cs="Courier New" w:hint="default"/>
      </w:rPr>
    </w:lvl>
    <w:lvl w:ilvl="5" w:tplc="B8EA5C06" w:tentative="1">
      <w:start w:val="1"/>
      <w:numFmt w:val="bullet"/>
      <w:lvlText w:val=""/>
      <w:lvlJc w:val="left"/>
      <w:pPr>
        <w:tabs>
          <w:tab w:val="num" w:pos="4320"/>
        </w:tabs>
        <w:ind w:left="4320" w:hanging="360"/>
      </w:pPr>
      <w:rPr>
        <w:rFonts w:ascii="Wingdings" w:hAnsi="Wingdings" w:hint="default"/>
      </w:rPr>
    </w:lvl>
    <w:lvl w:ilvl="6" w:tplc="D7CAD8BE" w:tentative="1">
      <w:start w:val="1"/>
      <w:numFmt w:val="bullet"/>
      <w:lvlText w:val=""/>
      <w:lvlJc w:val="left"/>
      <w:pPr>
        <w:tabs>
          <w:tab w:val="num" w:pos="5040"/>
        </w:tabs>
        <w:ind w:left="5040" w:hanging="360"/>
      </w:pPr>
      <w:rPr>
        <w:rFonts w:ascii="Symbol" w:hAnsi="Symbol" w:hint="default"/>
      </w:rPr>
    </w:lvl>
    <w:lvl w:ilvl="7" w:tplc="93E67E1C" w:tentative="1">
      <w:start w:val="1"/>
      <w:numFmt w:val="bullet"/>
      <w:lvlText w:val="o"/>
      <w:lvlJc w:val="left"/>
      <w:pPr>
        <w:tabs>
          <w:tab w:val="num" w:pos="5760"/>
        </w:tabs>
        <w:ind w:left="5760" w:hanging="360"/>
      </w:pPr>
      <w:rPr>
        <w:rFonts w:ascii="Courier New" w:hAnsi="Courier New" w:cs="Courier New" w:hint="default"/>
      </w:rPr>
    </w:lvl>
    <w:lvl w:ilvl="8" w:tplc="649896D4"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35D1408"/>
    <w:multiLevelType w:val="hybridMultilevel"/>
    <w:tmpl w:val="5B788F0E"/>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73EF6D3D"/>
    <w:multiLevelType w:val="hybridMultilevel"/>
    <w:tmpl w:val="0FC4419C"/>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6211E58"/>
    <w:multiLevelType w:val="multilevel"/>
    <w:tmpl w:val="B9BE2A86"/>
    <w:lvl w:ilvl="0">
      <w:start w:val="1"/>
      <w:numFmt w:val="bullet"/>
      <w:pStyle w:val="tablefill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7823235E"/>
    <w:multiLevelType w:val="hybridMultilevel"/>
    <w:tmpl w:val="29E0C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9713CD1"/>
    <w:multiLevelType w:val="hybridMultilevel"/>
    <w:tmpl w:val="97C84DD6"/>
    <w:lvl w:ilvl="0" w:tplc="2C4A78A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B610198"/>
    <w:multiLevelType w:val="hybridMultilevel"/>
    <w:tmpl w:val="88303E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91765924">
    <w:abstractNumId w:val="38"/>
  </w:num>
  <w:num w:numId="2" w16cid:durableId="1161577827">
    <w:abstractNumId w:val="11"/>
  </w:num>
  <w:num w:numId="3" w16cid:durableId="1714186599">
    <w:abstractNumId w:val="44"/>
  </w:num>
  <w:num w:numId="4" w16cid:durableId="861822867">
    <w:abstractNumId w:val="7"/>
  </w:num>
  <w:num w:numId="5" w16cid:durableId="2065712369">
    <w:abstractNumId w:val="30"/>
  </w:num>
  <w:num w:numId="6" w16cid:durableId="1724792428">
    <w:abstractNumId w:val="26"/>
  </w:num>
  <w:num w:numId="7" w16cid:durableId="1963883027">
    <w:abstractNumId w:val="4"/>
  </w:num>
  <w:num w:numId="8" w16cid:durableId="540483682">
    <w:abstractNumId w:val="10"/>
  </w:num>
  <w:num w:numId="9" w16cid:durableId="210265081">
    <w:abstractNumId w:val="18"/>
  </w:num>
  <w:num w:numId="10" w16cid:durableId="1671446027">
    <w:abstractNumId w:val="54"/>
  </w:num>
  <w:num w:numId="11" w16cid:durableId="1954747530">
    <w:abstractNumId w:val="47"/>
  </w:num>
  <w:num w:numId="12" w16cid:durableId="2070031604">
    <w:abstractNumId w:val="25"/>
  </w:num>
  <w:num w:numId="13" w16cid:durableId="412702307">
    <w:abstractNumId w:val="50"/>
  </w:num>
  <w:num w:numId="14" w16cid:durableId="1530989778">
    <w:abstractNumId w:val="33"/>
  </w:num>
  <w:num w:numId="15" w16cid:durableId="988561107">
    <w:abstractNumId w:val="2"/>
  </w:num>
  <w:num w:numId="16" w16cid:durableId="590889496">
    <w:abstractNumId w:val="22"/>
  </w:num>
  <w:num w:numId="17" w16cid:durableId="304551382">
    <w:abstractNumId w:val="5"/>
  </w:num>
  <w:num w:numId="18" w16cid:durableId="1176458683">
    <w:abstractNumId w:val="6"/>
  </w:num>
  <w:num w:numId="19" w16cid:durableId="265116293">
    <w:abstractNumId w:val="40"/>
  </w:num>
  <w:num w:numId="20" w16cid:durableId="732123002">
    <w:abstractNumId w:val="51"/>
  </w:num>
  <w:num w:numId="21" w16cid:durableId="99225712">
    <w:abstractNumId w:val="39"/>
  </w:num>
  <w:num w:numId="22" w16cid:durableId="1998219038">
    <w:abstractNumId w:val="23"/>
  </w:num>
  <w:num w:numId="23" w16cid:durableId="523205542">
    <w:abstractNumId w:val="36"/>
  </w:num>
  <w:num w:numId="24" w16cid:durableId="1912151228">
    <w:abstractNumId w:val="8"/>
  </w:num>
  <w:num w:numId="25" w16cid:durableId="1462726005">
    <w:abstractNumId w:val="37"/>
  </w:num>
  <w:num w:numId="26" w16cid:durableId="258370148">
    <w:abstractNumId w:val="31"/>
  </w:num>
  <w:num w:numId="27" w16cid:durableId="2093041036">
    <w:abstractNumId w:val="28"/>
  </w:num>
  <w:num w:numId="28" w16cid:durableId="1275672558">
    <w:abstractNumId w:val="49"/>
  </w:num>
  <w:num w:numId="29" w16cid:durableId="265582791">
    <w:abstractNumId w:val="17"/>
  </w:num>
  <w:num w:numId="30" w16cid:durableId="192614495">
    <w:abstractNumId w:val="29"/>
  </w:num>
  <w:num w:numId="31" w16cid:durableId="1405641727">
    <w:abstractNumId w:val="53"/>
  </w:num>
  <w:num w:numId="32" w16cid:durableId="1925144518">
    <w:abstractNumId w:val="56"/>
  </w:num>
  <w:num w:numId="33" w16cid:durableId="609244965">
    <w:abstractNumId w:val="48"/>
  </w:num>
  <w:num w:numId="34" w16cid:durableId="28378841">
    <w:abstractNumId w:val="32"/>
  </w:num>
  <w:num w:numId="35" w16cid:durableId="358312112">
    <w:abstractNumId w:val="43"/>
  </w:num>
  <w:num w:numId="36" w16cid:durableId="1245266024">
    <w:abstractNumId w:val="12"/>
  </w:num>
  <w:num w:numId="37" w16cid:durableId="1364209497">
    <w:abstractNumId w:val="13"/>
  </w:num>
  <w:num w:numId="38" w16cid:durableId="213525308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13362076">
    <w:abstractNumId w:val="3"/>
  </w:num>
  <w:num w:numId="40" w16cid:durableId="1504860623">
    <w:abstractNumId w:val="16"/>
  </w:num>
  <w:num w:numId="41" w16cid:durableId="111754650">
    <w:abstractNumId w:val="45"/>
  </w:num>
  <w:num w:numId="42" w16cid:durableId="480005630">
    <w:abstractNumId w:val="34"/>
  </w:num>
  <w:num w:numId="43" w16cid:durableId="149715787">
    <w:abstractNumId w:val="27"/>
  </w:num>
  <w:num w:numId="44" w16cid:durableId="171528355">
    <w:abstractNumId w:val="35"/>
  </w:num>
  <w:num w:numId="45" w16cid:durableId="2062241431">
    <w:abstractNumId w:val="9"/>
  </w:num>
  <w:num w:numId="46" w16cid:durableId="1522090928">
    <w:abstractNumId w:val="42"/>
  </w:num>
  <w:num w:numId="47" w16cid:durableId="1179005303">
    <w:abstractNumId w:val="46"/>
  </w:num>
  <w:num w:numId="48" w16cid:durableId="1736202294">
    <w:abstractNumId w:val="41"/>
  </w:num>
  <w:num w:numId="49" w16cid:durableId="1644653878">
    <w:abstractNumId w:val="0"/>
  </w:num>
  <w:num w:numId="50" w16cid:durableId="898246611">
    <w:abstractNumId w:val="52"/>
  </w:num>
  <w:num w:numId="51" w16cid:durableId="549924766">
    <w:abstractNumId w:val="1"/>
  </w:num>
  <w:num w:numId="52" w16cid:durableId="663166009">
    <w:abstractNumId w:val="21"/>
    <w:lvlOverride w:ilvl="0">
      <w:startOverride w:val="1"/>
    </w:lvlOverride>
  </w:num>
  <w:num w:numId="53" w16cid:durableId="390806733">
    <w:abstractNumId w:val="21"/>
  </w:num>
  <w:num w:numId="54" w16cid:durableId="813907500">
    <w:abstractNumId w:val="19"/>
  </w:num>
  <w:num w:numId="55" w16cid:durableId="1217354821">
    <w:abstractNumId w:val="15"/>
  </w:num>
  <w:num w:numId="56" w16cid:durableId="1786193938">
    <w:abstractNumId w:val="57"/>
  </w:num>
  <w:num w:numId="57" w16cid:durableId="856576638">
    <w:abstractNumId w:val="55"/>
  </w:num>
  <w:num w:numId="58" w16cid:durableId="118957667">
    <w:abstractNumId w:val="24"/>
  </w:num>
  <w:num w:numId="59" w16cid:durableId="1554466214">
    <w:abstractNumId w:val="20"/>
  </w:num>
  <w:num w:numId="60" w16cid:durableId="1702246351">
    <w:abstractNumId w:val="1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a0MDQxszQyMLMwMbBQ0lEKTi0uzszPAykwqwUAscqWMSwAAAA="/>
  </w:docVars>
  <w:rsids>
    <w:rsidRoot w:val="000334A0"/>
    <w:rsid w:val="00000022"/>
    <w:rsid w:val="0000008E"/>
    <w:rsid w:val="00000136"/>
    <w:rsid w:val="0000031F"/>
    <w:rsid w:val="0000094C"/>
    <w:rsid w:val="00000E82"/>
    <w:rsid w:val="0000114F"/>
    <w:rsid w:val="00001383"/>
    <w:rsid w:val="0000166E"/>
    <w:rsid w:val="000017A7"/>
    <w:rsid w:val="00001908"/>
    <w:rsid w:val="000019E1"/>
    <w:rsid w:val="00001C50"/>
    <w:rsid w:val="000020C9"/>
    <w:rsid w:val="000028D9"/>
    <w:rsid w:val="00002CFB"/>
    <w:rsid w:val="00002ECB"/>
    <w:rsid w:val="00002F1C"/>
    <w:rsid w:val="00003063"/>
    <w:rsid w:val="00003311"/>
    <w:rsid w:val="000033E4"/>
    <w:rsid w:val="000033F2"/>
    <w:rsid w:val="000037DE"/>
    <w:rsid w:val="000039BF"/>
    <w:rsid w:val="00003A34"/>
    <w:rsid w:val="00003F25"/>
    <w:rsid w:val="00004290"/>
    <w:rsid w:val="000043C5"/>
    <w:rsid w:val="0000440A"/>
    <w:rsid w:val="00004546"/>
    <w:rsid w:val="00004886"/>
    <w:rsid w:val="000048AD"/>
    <w:rsid w:val="00004B45"/>
    <w:rsid w:val="00004F05"/>
    <w:rsid w:val="00004F16"/>
    <w:rsid w:val="00005059"/>
    <w:rsid w:val="00005075"/>
    <w:rsid w:val="000050F7"/>
    <w:rsid w:val="00005649"/>
    <w:rsid w:val="000056BB"/>
    <w:rsid w:val="000056FF"/>
    <w:rsid w:val="00005A2F"/>
    <w:rsid w:val="00005D0D"/>
    <w:rsid w:val="00005E0E"/>
    <w:rsid w:val="00005FA1"/>
    <w:rsid w:val="0000608D"/>
    <w:rsid w:val="000064EE"/>
    <w:rsid w:val="000068B6"/>
    <w:rsid w:val="00006A47"/>
    <w:rsid w:val="00006AC3"/>
    <w:rsid w:val="00006C3E"/>
    <w:rsid w:val="00006D32"/>
    <w:rsid w:val="000074CD"/>
    <w:rsid w:val="000076D7"/>
    <w:rsid w:val="00007831"/>
    <w:rsid w:val="000079D0"/>
    <w:rsid w:val="000079E1"/>
    <w:rsid w:val="0001056A"/>
    <w:rsid w:val="00010583"/>
    <w:rsid w:val="00010922"/>
    <w:rsid w:val="00010BA9"/>
    <w:rsid w:val="00010D33"/>
    <w:rsid w:val="00010DF1"/>
    <w:rsid w:val="00010E67"/>
    <w:rsid w:val="00011418"/>
    <w:rsid w:val="0001160B"/>
    <w:rsid w:val="000117BE"/>
    <w:rsid w:val="00011964"/>
    <w:rsid w:val="000120BB"/>
    <w:rsid w:val="000121A3"/>
    <w:rsid w:val="0001234A"/>
    <w:rsid w:val="00012618"/>
    <w:rsid w:val="000126E3"/>
    <w:rsid w:val="00012BB8"/>
    <w:rsid w:val="000130B9"/>
    <w:rsid w:val="00013B6B"/>
    <w:rsid w:val="00013C46"/>
    <w:rsid w:val="00013E48"/>
    <w:rsid w:val="000140F2"/>
    <w:rsid w:val="000141B7"/>
    <w:rsid w:val="000143A5"/>
    <w:rsid w:val="0001454A"/>
    <w:rsid w:val="000145EF"/>
    <w:rsid w:val="00014620"/>
    <w:rsid w:val="000147DB"/>
    <w:rsid w:val="000149F6"/>
    <w:rsid w:val="00014AC3"/>
    <w:rsid w:val="00014E6D"/>
    <w:rsid w:val="00014F77"/>
    <w:rsid w:val="00014FF3"/>
    <w:rsid w:val="00015056"/>
    <w:rsid w:val="0001506E"/>
    <w:rsid w:val="00015683"/>
    <w:rsid w:val="000157D6"/>
    <w:rsid w:val="00015862"/>
    <w:rsid w:val="00015929"/>
    <w:rsid w:val="00015932"/>
    <w:rsid w:val="00015DBA"/>
    <w:rsid w:val="00015DCD"/>
    <w:rsid w:val="00015DD5"/>
    <w:rsid w:val="00015DDD"/>
    <w:rsid w:val="00015F1A"/>
    <w:rsid w:val="0001617D"/>
    <w:rsid w:val="000161BA"/>
    <w:rsid w:val="0001627F"/>
    <w:rsid w:val="000162FB"/>
    <w:rsid w:val="00016526"/>
    <w:rsid w:val="00016626"/>
    <w:rsid w:val="000166B7"/>
    <w:rsid w:val="00016BF2"/>
    <w:rsid w:val="00016C60"/>
    <w:rsid w:val="00016C9A"/>
    <w:rsid w:val="00016FE8"/>
    <w:rsid w:val="00017134"/>
    <w:rsid w:val="000175AB"/>
    <w:rsid w:val="0001763C"/>
    <w:rsid w:val="000177AF"/>
    <w:rsid w:val="000178C3"/>
    <w:rsid w:val="00017A16"/>
    <w:rsid w:val="0002016B"/>
    <w:rsid w:val="00020415"/>
    <w:rsid w:val="0002046E"/>
    <w:rsid w:val="00020472"/>
    <w:rsid w:val="000208B7"/>
    <w:rsid w:val="00020A16"/>
    <w:rsid w:val="00020A81"/>
    <w:rsid w:val="00020A83"/>
    <w:rsid w:val="00020CF1"/>
    <w:rsid w:val="0002107B"/>
    <w:rsid w:val="00021212"/>
    <w:rsid w:val="00021A92"/>
    <w:rsid w:val="00021B81"/>
    <w:rsid w:val="00021C8D"/>
    <w:rsid w:val="00021E1D"/>
    <w:rsid w:val="00021E4B"/>
    <w:rsid w:val="0002235E"/>
    <w:rsid w:val="0002253C"/>
    <w:rsid w:val="0002254C"/>
    <w:rsid w:val="00022C31"/>
    <w:rsid w:val="00022C48"/>
    <w:rsid w:val="0002315F"/>
    <w:rsid w:val="000231A6"/>
    <w:rsid w:val="000232BC"/>
    <w:rsid w:val="000233E9"/>
    <w:rsid w:val="000238EF"/>
    <w:rsid w:val="00023CB2"/>
    <w:rsid w:val="00023D55"/>
    <w:rsid w:val="00024115"/>
    <w:rsid w:val="000242FC"/>
    <w:rsid w:val="000243D1"/>
    <w:rsid w:val="000246CB"/>
    <w:rsid w:val="000247BE"/>
    <w:rsid w:val="00024A3B"/>
    <w:rsid w:val="00024C3E"/>
    <w:rsid w:val="00024D2C"/>
    <w:rsid w:val="00024E0F"/>
    <w:rsid w:val="000250DA"/>
    <w:rsid w:val="00025267"/>
    <w:rsid w:val="000254A6"/>
    <w:rsid w:val="00025589"/>
    <w:rsid w:val="0002627D"/>
    <w:rsid w:val="0002684F"/>
    <w:rsid w:val="0002686F"/>
    <w:rsid w:val="000269CF"/>
    <w:rsid w:val="00026AA6"/>
    <w:rsid w:val="00026ADD"/>
    <w:rsid w:val="00026AEA"/>
    <w:rsid w:val="00026F48"/>
    <w:rsid w:val="00027150"/>
    <w:rsid w:val="000273B3"/>
    <w:rsid w:val="00027957"/>
    <w:rsid w:val="0002796D"/>
    <w:rsid w:val="00027D61"/>
    <w:rsid w:val="00027E93"/>
    <w:rsid w:val="00027FDE"/>
    <w:rsid w:val="00027FE2"/>
    <w:rsid w:val="0003000F"/>
    <w:rsid w:val="00030085"/>
    <w:rsid w:val="000304FC"/>
    <w:rsid w:val="00030690"/>
    <w:rsid w:val="00031441"/>
    <w:rsid w:val="0003144C"/>
    <w:rsid w:val="0003204A"/>
    <w:rsid w:val="0003215A"/>
    <w:rsid w:val="00032316"/>
    <w:rsid w:val="00032663"/>
    <w:rsid w:val="0003267A"/>
    <w:rsid w:val="000327AC"/>
    <w:rsid w:val="00032880"/>
    <w:rsid w:val="00032B03"/>
    <w:rsid w:val="00032BC3"/>
    <w:rsid w:val="00032F07"/>
    <w:rsid w:val="00033196"/>
    <w:rsid w:val="000333D2"/>
    <w:rsid w:val="000334A0"/>
    <w:rsid w:val="000339B2"/>
    <w:rsid w:val="00033D41"/>
    <w:rsid w:val="00033D92"/>
    <w:rsid w:val="00033EF7"/>
    <w:rsid w:val="000340EE"/>
    <w:rsid w:val="00034B42"/>
    <w:rsid w:val="00034BFB"/>
    <w:rsid w:val="00034BFC"/>
    <w:rsid w:val="00035153"/>
    <w:rsid w:val="00035253"/>
    <w:rsid w:val="0003529A"/>
    <w:rsid w:val="00035B7A"/>
    <w:rsid w:val="00035E86"/>
    <w:rsid w:val="000365DA"/>
    <w:rsid w:val="00036857"/>
    <w:rsid w:val="0003699A"/>
    <w:rsid w:val="00036AA2"/>
    <w:rsid w:val="00036B0E"/>
    <w:rsid w:val="00036B3A"/>
    <w:rsid w:val="00036B41"/>
    <w:rsid w:val="00036FF7"/>
    <w:rsid w:val="00037198"/>
    <w:rsid w:val="00037418"/>
    <w:rsid w:val="00037566"/>
    <w:rsid w:val="00037A89"/>
    <w:rsid w:val="00037C4A"/>
    <w:rsid w:val="00037D5D"/>
    <w:rsid w:val="00037D5E"/>
    <w:rsid w:val="00037FB1"/>
    <w:rsid w:val="0004008E"/>
    <w:rsid w:val="000400AA"/>
    <w:rsid w:val="00040446"/>
    <w:rsid w:val="000405E9"/>
    <w:rsid w:val="0004069F"/>
    <w:rsid w:val="00040794"/>
    <w:rsid w:val="00040847"/>
    <w:rsid w:val="00040EFF"/>
    <w:rsid w:val="00040F27"/>
    <w:rsid w:val="00040FA2"/>
    <w:rsid w:val="00041325"/>
    <w:rsid w:val="00041812"/>
    <w:rsid w:val="00041C54"/>
    <w:rsid w:val="00041E44"/>
    <w:rsid w:val="000422D3"/>
    <w:rsid w:val="00042E89"/>
    <w:rsid w:val="000431CE"/>
    <w:rsid w:val="00043362"/>
    <w:rsid w:val="000435BF"/>
    <w:rsid w:val="00043876"/>
    <w:rsid w:val="0004396D"/>
    <w:rsid w:val="00043C52"/>
    <w:rsid w:val="00043CF2"/>
    <w:rsid w:val="00043D6A"/>
    <w:rsid w:val="0004415D"/>
    <w:rsid w:val="00044227"/>
    <w:rsid w:val="00044879"/>
    <w:rsid w:val="00044E3C"/>
    <w:rsid w:val="0004504C"/>
    <w:rsid w:val="00045131"/>
    <w:rsid w:val="00045714"/>
    <w:rsid w:val="0004594C"/>
    <w:rsid w:val="000459AE"/>
    <w:rsid w:val="00045B7C"/>
    <w:rsid w:val="00045C36"/>
    <w:rsid w:val="00046444"/>
    <w:rsid w:val="0004658A"/>
    <w:rsid w:val="000466E5"/>
    <w:rsid w:val="00046AA4"/>
    <w:rsid w:val="00046F88"/>
    <w:rsid w:val="00047001"/>
    <w:rsid w:val="00047123"/>
    <w:rsid w:val="0004736A"/>
    <w:rsid w:val="00047547"/>
    <w:rsid w:val="0004786D"/>
    <w:rsid w:val="00047A22"/>
    <w:rsid w:val="00047A6B"/>
    <w:rsid w:val="00047AB2"/>
    <w:rsid w:val="00047F6D"/>
    <w:rsid w:val="0005053C"/>
    <w:rsid w:val="00050595"/>
    <w:rsid w:val="0005066D"/>
    <w:rsid w:val="00050BED"/>
    <w:rsid w:val="00050C2E"/>
    <w:rsid w:val="00050E00"/>
    <w:rsid w:val="000514F1"/>
    <w:rsid w:val="00051C0A"/>
    <w:rsid w:val="00051DDC"/>
    <w:rsid w:val="0005200C"/>
    <w:rsid w:val="000526B0"/>
    <w:rsid w:val="00052C2F"/>
    <w:rsid w:val="00052FAF"/>
    <w:rsid w:val="00053119"/>
    <w:rsid w:val="0005349E"/>
    <w:rsid w:val="00053B08"/>
    <w:rsid w:val="00053CB1"/>
    <w:rsid w:val="00054113"/>
    <w:rsid w:val="000541D7"/>
    <w:rsid w:val="0005424C"/>
    <w:rsid w:val="00054404"/>
    <w:rsid w:val="00054B10"/>
    <w:rsid w:val="00054B76"/>
    <w:rsid w:val="00054DD0"/>
    <w:rsid w:val="00055508"/>
    <w:rsid w:val="00055FA2"/>
    <w:rsid w:val="00056092"/>
    <w:rsid w:val="00056184"/>
    <w:rsid w:val="0005624F"/>
    <w:rsid w:val="000562B9"/>
    <w:rsid w:val="00056350"/>
    <w:rsid w:val="000563CC"/>
    <w:rsid w:val="00056A25"/>
    <w:rsid w:val="00056AE4"/>
    <w:rsid w:val="00056B2D"/>
    <w:rsid w:val="00056CAA"/>
    <w:rsid w:val="00056D21"/>
    <w:rsid w:val="00056D32"/>
    <w:rsid w:val="00057157"/>
    <w:rsid w:val="00057188"/>
    <w:rsid w:val="000572EB"/>
    <w:rsid w:val="00057511"/>
    <w:rsid w:val="00057598"/>
    <w:rsid w:val="00057784"/>
    <w:rsid w:val="00057D10"/>
    <w:rsid w:val="00060128"/>
    <w:rsid w:val="000607B1"/>
    <w:rsid w:val="00060866"/>
    <w:rsid w:val="00060B9E"/>
    <w:rsid w:val="00060DDB"/>
    <w:rsid w:val="00060E73"/>
    <w:rsid w:val="00061152"/>
    <w:rsid w:val="000613EE"/>
    <w:rsid w:val="00061889"/>
    <w:rsid w:val="00061EB0"/>
    <w:rsid w:val="00061F06"/>
    <w:rsid w:val="000620E6"/>
    <w:rsid w:val="00062184"/>
    <w:rsid w:val="000624E7"/>
    <w:rsid w:val="00062637"/>
    <w:rsid w:val="00062DB2"/>
    <w:rsid w:val="000631D7"/>
    <w:rsid w:val="00063243"/>
    <w:rsid w:val="000633F1"/>
    <w:rsid w:val="00063532"/>
    <w:rsid w:val="0006386C"/>
    <w:rsid w:val="00063BE8"/>
    <w:rsid w:val="00063E3F"/>
    <w:rsid w:val="00063E59"/>
    <w:rsid w:val="00063E5A"/>
    <w:rsid w:val="0006409A"/>
    <w:rsid w:val="000641D0"/>
    <w:rsid w:val="000644E1"/>
    <w:rsid w:val="0006464A"/>
    <w:rsid w:val="000648D1"/>
    <w:rsid w:val="0006496D"/>
    <w:rsid w:val="000649C3"/>
    <w:rsid w:val="00065667"/>
    <w:rsid w:val="00065696"/>
    <w:rsid w:val="00065DEC"/>
    <w:rsid w:val="00066102"/>
    <w:rsid w:val="000668C1"/>
    <w:rsid w:val="00066F79"/>
    <w:rsid w:val="00067013"/>
    <w:rsid w:val="00067378"/>
    <w:rsid w:val="0006772A"/>
    <w:rsid w:val="000677E0"/>
    <w:rsid w:val="00067ACD"/>
    <w:rsid w:val="00067C91"/>
    <w:rsid w:val="00067CBA"/>
    <w:rsid w:val="00067E27"/>
    <w:rsid w:val="00070354"/>
    <w:rsid w:val="0007042D"/>
    <w:rsid w:val="000705BD"/>
    <w:rsid w:val="000706C7"/>
    <w:rsid w:val="00070705"/>
    <w:rsid w:val="00070AF1"/>
    <w:rsid w:val="00070C40"/>
    <w:rsid w:val="00070C83"/>
    <w:rsid w:val="00070D30"/>
    <w:rsid w:val="00070EB9"/>
    <w:rsid w:val="0007136D"/>
    <w:rsid w:val="000719BC"/>
    <w:rsid w:val="00071B6A"/>
    <w:rsid w:val="00071F3A"/>
    <w:rsid w:val="000723B6"/>
    <w:rsid w:val="000724BF"/>
    <w:rsid w:val="00072678"/>
    <w:rsid w:val="000726D1"/>
    <w:rsid w:val="000727A6"/>
    <w:rsid w:val="000728AD"/>
    <w:rsid w:val="00072D8D"/>
    <w:rsid w:val="00072F13"/>
    <w:rsid w:val="000732E9"/>
    <w:rsid w:val="0007331E"/>
    <w:rsid w:val="000735F4"/>
    <w:rsid w:val="00073A1E"/>
    <w:rsid w:val="00073AEE"/>
    <w:rsid w:val="00073BCE"/>
    <w:rsid w:val="00074238"/>
    <w:rsid w:val="0007429C"/>
    <w:rsid w:val="000743EF"/>
    <w:rsid w:val="0007446F"/>
    <w:rsid w:val="00074803"/>
    <w:rsid w:val="00074951"/>
    <w:rsid w:val="00074AB6"/>
    <w:rsid w:val="00074BBE"/>
    <w:rsid w:val="00074F21"/>
    <w:rsid w:val="000756C7"/>
    <w:rsid w:val="0007584B"/>
    <w:rsid w:val="000758C6"/>
    <w:rsid w:val="00075C56"/>
    <w:rsid w:val="00075FEF"/>
    <w:rsid w:val="00076110"/>
    <w:rsid w:val="0007629C"/>
    <w:rsid w:val="00076589"/>
    <w:rsid w:val="00076621"/>
    <w:rsid w:val="000767C0"/>
    <w:rsid w:val="00076A1E"/>
    <w:rsid w:val="00076B70"/>
    <w:rsid w:val="00076D42"/>
    <w:rsid w:val="0007723A"/>
    <w:rsid w:val="00077290"/>
    <w:rsid w:val="00077379"/>
    <w:rsid w:val="000778B8"/>
    <w:rsid w:val="00077AEC"/>
    <w:rsid w:val="00080554"/>
    <w:rsid w:val="000805DE"/>
    <w:rsid w:val="0008067E"/>
    <w:rsid w:val="00080801"/>
    <w:rsid w:val="0008085E"/>
    <w:rsid w:val="00080958"/>
    <w:rsid w:val="000809CC"/>
    <w:rsid w:val="00080BEF"/>
    <w:rsid w:val="00080CAA"/>
    <w:rsid w:val="000811E6"/>
    <w:rsid w:val="00081524"/>
    <w:rsid w:val="0008161D"/>
    <w:rsid w:val="00081676"/>
    <w:rsid w:val="0008176F"/>
    <w:rsid w:val="00081AA0"/>
    <w:rsid w:val="00081BF7"/>
    <w:rsid w:val="00081F1C"/>
    <w:rsid w:val="00082307"/>
    <w:rsid w:val="000825E0"/>
    <w:rsid w:val="00082A46"/>
    <w:rsid w:val="00082C61"/>
    <w:rsid w:val="00082C7C"/>
    <w:rsid w:val="00082F4B"/>
    <w:rsid w:val="0008308E"/>
    <w:rsid w:val="000831AA"/>
    <w:rsid w:val="000831F4"/>
    <w:rsid w:val="00083591"/>
    <w:rsid w:val="000835FC"/>
    <w:rsid w:val="0008362A"/>
    <w:rsid w:val="00083CE5"/>
    <w:rsid w:val="00083D26"/>
    <w:rsid w:val="00083FCA"/>
    <w:rsid w:val="0008404F"/>
    <w:rsid w:val="00084144"/>
    <w:rsid w:val="00084A31"/>
    <w:rsid w:val="00085018"/>
    <w:rsid w:val="0008510B"/>
    <w:rsid w:val="00085199"/>
    <w:rsid w:val="000852AA"/>
    <w:rsid w:val="00085375"/>
    <w:rsid w:val="00085AF8"/>
    <w:rsid w:val="00085BA4"/>
    <w:rsid w:val="00085C0B"/>
    <w:rsid w:val="00085C57"/>
    <w:rsid w:val="00085CD0"/>
    <w:rsid w:val="00086066"/>
    <w:rsid w:val="00086205"/>
    <w:rsid w:val="00086416"/>
    <w:rsid w:val="00086BDA"/>
    <w:rsid w:val="00086D21"/>
    <w:rsid w:val="00086EDC"/>
    <w:rsid w:val="00086F1F"/>
    <w:rsid w:val="00087E04"/>
    <w:rsid w:val="00087F74"/>
    <w:rsid w:val="00087FC1"/>
    <w:rsid w:val="000907DB"/>
    <w:rsid w:val="000916A7"/>
    <w:rsid w:val="000918B6"/>
    <w:rsid w:val="00091AE3"/>
    <w:rsid w:val="00091FF2"/>
    <w:rsid w:val="0009242D"/>
    <w:rsid w:val="00092554"/>
    <w:rsid w:val="0009258E"/>
    <w:rsid w:val="000925D9"/>
    <w:rsid w:val="0009267B"/>
    <w:rsid w:val="000927FD"/>
    <w:rsid w:val="00092B5D"/>
    <w:rsid w:val="00092D23"/>
    <w:rsid w:val="000930A9"/>
    <w:rsid w:val="000930E9"/>
    <w:rsid w:val="000931ED"/>
    <w:rsid w:val="00093326"/>
    <w:rsid w:val="00093343"/>
    <w:rsid w:val="0009352F"/>
    <w:rsid w:val="0009366A"/>
    <w:rsid w:val="000939AA"/>
    <w:rsid w:val="00093B4C"/>
    <w:rsid w:val="00094232"/>
    <w:rsid w:val="00094249"/>
    <w:rsid w:val="00094377"/>
    <w:rsid w:val="00094486"/>
    <w:rsid w:val="00095425"/>
    <w:rsid w:val="00095464"/>
    <w:rsid w:val="000954D9"/>
    <w:rsid w:val="000957F3"/>
    <w:rsid w:val="00095BEE"/>
    <w:rsid w:val="00095DAE"/>
    <w:rsid w:val="00095F52"/>
    <w:rsid w:val="0009617A"/>
    <w:rsid w:val="000965A7"/>
    <w:rsid w:val="000969BA"/>
    <w:rsid w:val="00096A26"/>
    <w:rsid w:val="00096AA3"/>
    <w:rsid w:val="00096CE4"/>
    <w:rsid w:val="00097194"/>
    <w:rsid w:val="00097271"/>
    <w:rsid w:val="00097612"/>
    <w:rsid w:val="0009763E"/>
    <w:rsid w:val="0009790E"/>
    <w:rsid w:val="00097C42"/>
    <w:rsid w:val="00097D83"/>
    <w:rsid w:val="00097FF8"/>
    <w:rsid w:val="000A0067"/>
    <w:rsid w:val="000A05FE"/>
    <w:rsid w:val="000A064C"/>
    <w:rsid w:val="000A091C"/>
    <w:rsid w:val="000A09C5"/>
    <w:rsid w:val="000A0ACA"/>
    <w:rsid w:val="000A0DEF"/>
    <w:rsid w:val="000A132B"/>
    <w:rsid w:val="000A1682"/>
    <w:rsid w:val="000A183A"/>
    <w:rsid w:val="000A1A6D"/>
    <w:rsid w:val="000A1A9E"/>
    <w:rsid w:val="000A2826"/>
    <w:rsid w:val="000A2ACA"/>
    <w:rsid w:val="000A2F6C"/>
    <w:rsid w:val="000A2F8B"/>
    <w:rsid w:val="000A302E"/>
    <w:rsid w:val="000A3065"/>
    <w:rsid w:val="000A32B5"/>
    <w:rsid w:val="000A3412"/>
    <w:rsid w:val="000A3567"/>
    <w:rsid w:val="000A35B7"/>
    <w:rsid w:val="000A36E1"/>
    <w:rsid w:val="000A3759"/>
    <w:rsid w:val="000A3812"/>
    <w:rsid w:val="000A3DF9"/>
    <w:rsid w:val="000A3E56"/>
    <w:rsid w:val="000A3ECA"/>
    <w:rsid w:val="000A422E"/>
    <w:rsid w:val="000A45A1"/>
    <w:rsid w:val="000A4A39"/>
    <w:rsid w:val="000A4C2B"/>
    <w:rsid w:val="000A4CEC"/>
    <w:rsid w:val="000A4E45"/>
    <w:rsid w:val="000A4F31"/>
    <w:rsid w:val="000A5363"/>
    <w:rsid w:val="000A53FD"/>
    <w:rsid w:val="000A55B1"/>
    <w:rsid w:val="000A5633"/>
    <w:rsid w:val="000A5788"/>
    <w:rsid w:val="000A5832"/>
    <w:rsid w:val="000A598E"/>
    <w:rsid w:val="000A5A43"/>
    <w:rsid w:val="000A5B11"/>
    <w:rsid w:val="000A5BC1"/>
    <w:rsid w:val="000A5F71"/>
    <w:rsid w:val="000A62BF"/>
    <w:rsid w:val="000A634C"/>
    <w:rsid w:val="000A634D"/>
    <w:rsid w:val="000A65A4"/>
    <w:rsid w:val="000A6C82"/>
    <w:rsid w:val="000A6E75"/>
    <w:rsid w:val="000A7608"/>
    <w:rsid w:val="000A7DF1"/>
    <w:rsid w:val="000A7F56"/>
    <w:rsid w:val="000B01AC"/>
    <w:rsid w:val="000B0398"/>
    <w:rsid w:val="000B050F"/>
    <w:rsid w:val="000B0632"/>
    <w:rsid w:val="000B065F"/>
    <w:rsid w:val="000B0A2D"/>
    <w:rsid w:val="000B1455"/>
    <w:rsid w:val="000B15FB"/>
    <w:rsid w:val="000B1769"/>
    <w:rsid w:val="000B1844"/>
    <w:rsid w:val="000B1B46"/>
    <w:rsid w:val="000B1C6B"/>
    <w:rsid w:val="000B1D21"/>
    <w:rsid w:val="000B1D3E"/>
    <w:rsid w:val="000B221F"/>
    <w:rsid w:val="000B2CFF"/>
    <w:rsid w:val="000B2D17"/>
    <w:rsid w:val="000B2D5E"/>
    <w:rsid w:val="000B3616"/>
    <w:rsid w:val="000B3855"/>
    <w:rsid w:val="000B3B86"/>
    <w:rsid w:val="000B3BF9"/>
    <w:rsid w:val="000B412A"/>
    <w:rsid w:val="000B43B1"/>
    <w:rsid w:val="000B43F5"/>
    <w:rsid w:val="000B441F"/>
    <w:rsid w:val="000B44D2"/>
    <w:rsid w:val="000B4643"/>
    <w:rsid w:val="000B4F0F"/>
    <w:rsid w:val="000B4F47"/>
    <w:rsid w:val="000B4F80"/>
    <w:rsid w:val="000B4FD7"/>
    <w:rsid w:val="000B535D"/>
    <w:rsid w:val="000B540B"/>
    <w:rsid w:val="000B5410"/>
    <w:rsid w:val="000B5466"/>
    <w:rsid w:val="000B5BE3"/>
    <w:rsid w:val="000B638F"/>
    <w:rsid w:val="000B64FA"/>
    <w:rsid w:val="000B657B"/>
    <w:rsid w:val="000B6AE3"/>
    <w:rsid w:val="000B6C9C"/>
    <w:rsid w:val="000B6E8A"/>
    <w:rsid w:val="000B6F8B"/>
    <w:rsid w:val="000B70D3"/>
    <w:rsid w:val="000B71F4"/>
    <w:rsid w:val="000B7318"/>
    <w:rsid w:val="000B763D"/>
    <w:rsid w:val="000B7DA6"/>
    <w:rsid w:val="000B7E07"/>
    <w:rsid w:val="000B7E53"/>
    <w:rsid w:val="000B7E67"/>
    <w:rsid w:val="000B7F77"/>
    <w:rsid w:val="000B7FFB"/>
    <w:rsid w:val="000C0504"/>
    <w:rsid w:val="000C08ED"/>
    <w:rsid w:val="000C0909"/>
    <w:rsid w:val="000C0DD6"/>
    <w:rsid w:val="000C0DE1"/>
    <w:rsid w:val="000C13F6"/>
    <w:rsid w:val="000C1484"/>
    <w:rsid w:val="000C1784"/>
    <w:rsid w:val="000C19CB"/>
    <w:rsid w:val="000C1B3B"/>
    <w:rsid w:val="000C1E7F"/>
    <w:rsid w:val="000C1EC3"/>
    <w:rsid w:val="000C2491"/>
    <w:rsid w:val="000C25A4"/>
    <w:rsid w:val="000C2A72"/>
    <w:rsid w:val="000C2C94"/>
    <w:rsid w:val="000C2E50"/>
    <w:rsid w:val="000C303A"/>
    <w:rsid w:val="000C35B8"/>
    <w:rsid w:val="000C397B"/>
    <w:rsid w:val="000C3E29"/>
    <w:rsid w:val="000C4156"/>
    <w:rsid w:val="000C43B7"/>
    <w:rsid w:val="000C43DF"/>
    <w:rsid w:val="000C464B"/>
    <w:rsid w:val="000C4714"/>
    <w:rsid w:val="000C49D4"/>
    <w:rsid w:val="000C4A60"/>
    <w:rsid w:val="000C4A97"/>
    <w:rsid w:val="000C4E70"/>
    <w:rsid w:val="000C502C"/>
    <w:rsid w:val="000C5134"/>
    <w:rsid w:val="000C5317"/>
    <w:rsid w:val="000C544D"/>
    <w:rsid w:val="000C559B"/>
    <w:rsid w:val="000C5BA1"/>
    <w:rsid w:val="000C5D7F"/>
    <w:rsid w:val="000C628A"/>
    <w:rsid w:val="000C66EC"/>
    <w:rsid w:val="000C686D"/>
    <w:rsid w:val="000C70B8"/>
    <w:rsid w:val="000C7181"/>
    <w:rsid w:val="000C720A"/>
    <w:rsid w:val="000C73C1"/>
    <w:rsid w:val="000C7609"/>
    <w:rsid w:val="000C7821"/>
    <w:rsid w:val="000C78AA"/>
    <w:rsid w:val="000C7993"/>
    <w:rsid w:val="000C7F1E"/>
    <w:rsid w:val="000D001D"/>
    <w:rsid w:val="000D0043"/>
    <w:rsid w:val="000D0261"/>
    <w:rsid w:val="000D0553"/>
    <w:rsid w:val="000D082A"/>
    <w:rsid w:val="000D08BB"/>
    <w:rsid w:val="000D09F8"/>
    <w:rsid w:val="000D0DE0"/>
    <w:rsid w:val="000D0E52"/>
    <w:rsid w:val="000D0EDC"/>
    <w:rsid w:val="000D1051"/>
    <w:rsid w:val="000D1391"/>
    <w:rsid w:val="000D13F3"/>
    <w:rsid w:val="000D166D"/>
    <w:rsid w:val="000D1A46"/>
    <w:rsid w:val="000D1A9E"/>
    <w:rsid w:val="000D1AEE"/>
    <w:rsid w:val="000D1FE6"/>
    <w:rsid w:val="000D20CD"/>
    <w:rsid w:val="000D267F"/>
    <w:rsid w:val="000D271D"/>
    <w:rsid w:val="000D2C2F"/>
    <w:rsid w:val="000D2DEF"/>
    <w:rsid w:val="000D3275"/>
    <w:rsid w:val="000D3526"/>
    <w:rsid w:val="000D3776"/>
    <w:rsid w:val="000D394B"/>
    <w:rsid w:val="000D3B20"/>
    <w:rsid w:val="000D3E22"/>
    <w:rsid w:val="000D42FC"/>
    <w:rsid w:val="000D481E"/>
    <w:rsid w:val="000D4CCF"/>
    <w:rsid w:val="000D5489"/>
    <w:rsid w:val="000D5A5E"/>
    <w:rsid w:val="000D5C6B"/>
    <w:rsid w:val="000D5E29"/>
    <w:rsid w:val="000D5FD8"/>
    <w:rsid w:val="000D611D"/>
    <w:rsid w:val="000D61B5"/>
    <w:rsid w:val="000D645E"/>
    <w:rsid w:val="000D6481"/>
    <w:rsid w:val="000D66D2"/>
    <w:rsid w:val="000D6752"/>
    <w:rsid w:val="000D6CD2"/>
    <w:rsid w:val="000D6F15"/>
    <w:rsid w:val="000D7239"/>
    <w:rsid w:val="000D7815"/>
    <w:rsid w:val="000D7A57"/>
    <w:rsid w:val="000D7CD6"/>
    <w:rsid w:val="000D7D12"/>
    <w:rsid w:val="000D7D84"/>
    <w:rsid w:val="000E0274"/>
    <w:rsid w:val="000E04BF"/>
    <w:rsid w:val="000E0615"/>
    <w:rsid w:val="000E0939"/>
    <w:rsid w:val="000E0CCB"/>
    <w:rsid w:val="000E0D5E"/>
    <w:rsid w:val="000E0DEB"/>
    <w:rsid w:val="000E0E74"/>
    <w:rsid w:val="000E13C5"/>
    <w:rsid w:val="000E14FE"/>
    <w:rsid w:val="000E1848"/>
    <w:rsid w:val="000E1A7B"/>
    <w:rsid w:val="000E1B63"/>
    <w:rsid w:val="000E1E44"/>
    <w:rsid w:val="000E1EAE"/>
    <w:rsid w:val="000E1F21"/>
    <w:rsid w:val="000E287F"/>
    <w:rsid w:val="000E29EB"/>
    <w:rsid w:val="000E2A20"/>
    <w:rsid w:val="000E2BC8"/>
    <w:rsid w:val="000E2E0F"/>
    <w:rsid w:val="000E2E64"/>
    <w:rsid w:val="000E2F08"/>
    <w:rsid w:val="000E3040"/>
    <w:rsid w:val="000E35A4"/>
    <w:rsid w:val="000E364B"/>
    <w:rsid w:val="000E3688"/>
    <w:rsid w:val="000E3885"/>
    <w:rsid w:val="000E3AD0"/>
    <w:rsid w:val="000E3E62"/>
    <w:rsid w:val="000E3FF4"/>
    <w:rsid w:val="000E42D5"/>
    <w:rsid w:val="000E4365"/>
    <w:rsid w:val="000E438E"/>
    <w:rsid w:val="000E497D"/>
    <w:rsid w:val="000E5004"/>
    <w:rsid w:val="000E5578"/>
    <w:rsid w:val="000E5717"/>
    <w:rsid w:val="000E5AFD"/>
    <w:rsid w:val="000E5B6A"/>
    <w:rsid w:val="000E66FD"/>
    <w:rsid w:val="000E6A57"/>
    <w:rsid w:val="000E6D41"/>
    <w:rsid w:val="000E6DD1"/>
    <w:rsid w:val="000E6E70"/>
    <w:rsid w:val="000E6FB3"/>
    <w:rsid w:val="000E7043"/>
    <w:rsid w:val="000E7080"/>
    <w:rsid w:val="000E711D"/>
    <w:rsid w:val="000E7152"/>
    <w:rsid w:val="000E7221"/>
    <w:rsid w:val="000E7337"/>
    <w:rsid w:val="000E744B"/>
    <w:rsid w:val="000E7659"/>
    <w:rsid w:val="000E7A1A"/>
    <w:rsid w:val="000E7BBA"/>
    <w:rsid w:val="000F00FA"/>
    <w:rsid w:val="000F0158"/>
    <w:rsid w:val="000F02DC"/>
    <w:rsid w:val="000F04F2"/>
    <w:rsid w:val="000F05D8"/>
    <w:rsid w:val="000F0717"/>
    <w:rsid w:val="000F0978"/>
    <w:rsid w:val="000F0A01"/>
    <w:rsid w:val="000F0D71"/>
    <w:rsid w:val="000F0F60"/>
    <w:rsid w:val="000F1158"/>
    <w:rsid w:val="000F12E4"/>
    <w:rsid w:val="000F1311"/>
    <w:rsid w:val="000F1691"/>
    <w:rsid w:val="000F17F2"/>
    <w:rsid w:val="000F18A2"/>
    <w:rsid w:val="000F18AC"/>
    <w:rsid w:val="000F1C58"/>
    <w:rsid w:val="000F20F5"/>
    <w:rsid w:val="000F22F3"/>
    <w:rsid w:val="000F270F"/>
    <w:rsid w:val="000F2810"/>
    <w:rsid w:val="000F2B13"/>
    <w:rsid w:val="000F2D29"/>
    <w:rsid w:val="000F2FE0"/>
    <w:rsid w:val="000F349F"/>
    <w:rsid w:val="000F3521"/>
    <w:rsid w:val="000F3B00"/>
    <w:rsid w:val="000F3F50"/>
    <w:rsid w:val="000F41DF"/>
    <w:rsid w:val="000F4437"/>
    <w:rsid w:val="000F44A3"/>
    <w:rsid w:val="000F46A6"/>
    <w:rsid w:val="000F4730"/>
    <w:rsid w:val="000F4774"/>
    <w:rsid w:val="000F4983"/>
    <w:rsid w:val="000F4EB8"/>
    <w:rsid w:val="000F4F87"/>
    <w:rsid w:val="000F526B"/>
    <w:rsid w:val="000F5A52"/>
    <w:rsid w:val="000F5FFF"/>
    <w:rsid w:val="000F600A"/>
    <w:rsid w:val="000F62A4"/>
    <w:rsid w:val="000F6ABF"/>
    <w:rsid w:val="000F6AEF"/>
    <w:rsid w:val="000F6BCF"/>
    <w:rsid w:val="000F6C4C"/>
    <w:rsid w:val="000F6F5C"/>
    <w:rsid w:val="000F7672"/>
    <w:rsid w:val="000F7741"/>
    <w:rsid w:val="000F776D"/>
    <w:rsid w:val="000F7938"/>
    <w:rsid w:val="000F79D6"/>
    <w:rsid w:val="000F7BE8"/>
    <w:rsid w:val="000F7C36"/>
    <w:rsid w:val="000F7D1E"/>
    <w:rsid w:val="000F7E3F"/>
    <w:rsid w:val="001005C4"/>
    <w:rsid w:val="00100F9D"/>
    <w:rsid w:val="0010113A"/>
    <w:rsid w:val="001012BD"/>
    <w:rsid w:val="001012C9"/>
    <w:rsid w:val="00101362"/>
    <w:rsid w:val="00101A08"/>
    <w:rsid w:val="00101CD7"/>
    <w:rsid w:val="0010202A"/>
    <w:rsid w:val="001021FC"/>
    <w:rsid w:val="0010238B"/>
    <w:rsid w:val="00102AA7"/>
    <w:rsid w:val="00102ADA"/>
    <w:rsid w:val="00102BBE"/>
    <w:rsid w:val="00102C5D"/>
    <w:rsid w:val="00102D62"/>
    <w:rsid w:val="00103055"/>
    <w:rsid w:val="0010306E"/>
    <w:rsid w:val="0010362A"/>
    <w:rsid w:val="0010365C"/>
    <w:rsid w:val="00103791"/>
    <w:rsid w:val="00103A8D"/>
    <w:rsid w:val="00103E65"/>
    <w:rsid w:val="00104098"/>
    <w:rsid w:val="00104370"/>
    <w:rsid w:val="00104471"/>
    <w:rsid w:val="00104542"/>
    <w:rsid w:val="00104617"/>
    <w:rsid w:val="00104ACE"/>
    <w:rsid w:val="00104B29"/>
    <w:rsid w:val="00105032"/>
    <w:rsid w:val="0010507D"/>
    <w:rsid w:val="00105184"/>
    <w:rsid w:val="001051DA"/>
    <w:rsid w:val="00105324"/>
    <w:rsid w:val="00105603"/>
    <w:rsid w:val="00105658"/>
    <w:rsid w:val="00105A1B"/>
    <w:rsid w:val="00105CA8"/>
    <w:rsid w:val="00105E33"/>
    <w:rsid w:val="00105F11"/>
    <w:rsid w:val="00106333"/>
    <w:rsid w:val="00106336"/>
    <w:rsid w:val="001064B6"/>
    <w:rsid w:val="00106543"/>
    <w:rsid w:val="001065DE"/>
    <w:rsid w:val="001066BF"/>
    <w:rsid w:val="001067A5"/>
    <w:rsid w:val="0010680B"/>
    <w:rsid w:val="00106DCB"/>
    <w:rsid w:val="00106EE1"/>
    <w:rsid w:val="00106F0D"/>
    <w:rsid w:val="00107064"/>
    <w:rsid w:val="001071DC"/>
    <w:rsid w:val="00107257"/>
    <w:rsid w:val="001072B6"/>
    <w:rsid w:val="001073CC"/>
    <w:rsid w:val="00107503"/>
    <w:rsid w:val="00107A52"/>
    <w:rsid w:val="00107C74"/>
    <w:rsid w:val="0011027B"/>
    <w:rsid w:val="0011069F"/>
    <w:rsid w:val="00110757"/>
    <w:rsid w:val="00110833"/>
    <w:rsid w:val="00110939"/>
    <w:rsid w:val="00110BB3"/>
    <w:rsid w:val="00110C8B"/>
    <w:rsid w:val="00110E1A"/>
    <w:rsid w:val="001110C3"/>
    <w:rsid w:val="0011111D"/>
    <w:rsid w:val="0011126E"/>
    <w:rsid w:val="00111646"/>
    <w:rsid w:val="00111791"/>
    <w:rsid w:val="001117D1"/>
    <w:rsid w:val="001117F7"/>
    <w:rsid w:val="001119FD"/>
    <w:rsid w:val="00111A73"/>
    <w:rsid w:val="00111AC1"/>
    <w:rsid w:val="001120BF"/>
    <w:rsid w:val="001120D2"/>
    <w:rsid w:val="00112931"/>
    <w:rsid w:val="00112A28"/>
    <w:rsid w:val="00112CAD"/>
    <w:rsid w:val="00112D85"/>
    <w:rsid w:val="0011304B"/>
    <w:rsid w:val="00113437"/>
    <w:rsid w:val="001134D7"/>
    <w:rsid w:val="0011366E"/>
    <w:rsid w:val="00113EAA"/>
    <w:rsid w:val="0011400A"/>
    <w:rsid w:val="00114027"/>
    <w:rsid w:val="0011421B"/>
    <w:rsid w:val="00114504"/>
    <w:rsid w:val="001145CC"/>
    <w:rsid w:val="0011484E"/>
    <w:rsid w:val="00114CBD"/>
    <w:rsid w:val="00114E26"/>
    <w:rsid w:val="001150BD"/>
    <w:rsid w:val="00115176"/>
    <w:rsid w:val="00115290"/>
    <w:rsid w:val="001152E9"/>
    <w:rsid w:val="00115408"/>
    <w:rsid w:val="00115C8A"/>
    <w:rsid w:val="00115EEC"/>
    <w:rsid w:val="00116045"/>
    <w:rsid w:val="001162EB"/>
    <w:rsid w:val="0011647D"/>
    <w:rsid w:val="001165B9"/>
    <w:rsid w:val="001166B0"/>
    <w:rsid w:val="00116985"/>
    <w:rsid w:val="00116A99"/>
    <w:rsid w:val="00116CD9"/>
    <w:rsid w:val="00116E38"/>
    <w:rsid w:val="00117331"/>
    <w:rsid w:val="001173CD"/>
    <w:rsid w:val="001173DE"/>
    <w:rsid w:val="001178A3"/>
    <w:rsid w:val="00117B78"/>
    <w:rsid w:val="00117DEF"/>
    <w:rsid w:val="001204D8"/>
    <w:rsid w:val="0012084F"/>
    <w:rsid w:val="00120AA3"/>
    <w:rsid w:val="00120ACC"/>
    <w:rsid w:val="00120B15"/>
    <w:rsid w:val="00120BEA"/>
    <w:rsid w:val="00120FA1"/>
    <w:rsid w:val="0012160D"/>
    <w:rsid w:val="0012175B"/>
    <w:rsid w:val="00121A74"/>
    <w:rsid w:val="00121D41"/>
    <w:rsid w:val="00121EF6"/>
    <w:rsid w:val="00122293"/>
    <w:rsid w:val="0012246B"/>
    <w:rsid w:val="001227A3"/>
    <w:rsid w:val="00122C30"/>
    <w:rsid w:val="00122FB7"/>
    <w:rsid w:val="00123016"/>
    <w:rsid w:val="001231D4"/>
    <w:rsid w:val="0012336F"/>
    <w:rsid w:val="001233BC"/>
    <w:rsid w:val="00123738"/>
    <w:rsid w:val="001238E7"/>
    <w:rsid w:val="00123AF0"/>
    <w:rsid w:val="00123C1F"/>
    <w:rsid w:val="00123F75"/>
    <w:rsid w:val="00124187"/>
    <w:rsid w:val="001242C9"/>
    <w:rsid w:val="00124571"/>
    <w:rsid w:val="0012469C"/>
    <w:rsid w:val="001247FD"/>
    <w:rsid w:val="00124AF6"/>
    <w:rsid w:val="00125275"/>
    <w:rsid w:val="001252D2"/>
    <w:rsid w:val="001254BC"/>
    <w:rsid w:val="00125B6D"/>
    <w:rsid w:val="0012661F"/>
    <w:rsid w:val="00126856"/>
    <w:rsid w:val="00126A5F"/>
    <w:rsid w:val="00126DE9"/>
    <w:rsid w:val="00127222"/>
    <w:rsid w:val="0012731B"/>
    <w:rsid w:val="00127455"/>
    <w:rsid w:val="001275C3"/>
    <w:rsid w:val="001275C8"/>
    <w:rsid w:val="00127A3D"/>
    <w:rsid w:val="00130135"/>
    <w:rsid w:val="0013022B"/>
    <w:rsid w:val="001305BA"/>
    <w:rsid w:val="00130616"/>
    <w:rsid w:val="0013077F"/>
    <w:rsid w:val="001308F0"/>
    <w:rsid w:val="00130A34"/>
    <w:rsid w:val="00130C28"/>
    <w:rsid w:val="00130F5C"/>
    <w:rsid w:val="00130F89"/>
    <w:rsid w:val="00130FF3"/>
    <w:rsid w:val="00131095"/>
    <w:rsid w:val="001310F8"/>
    <w:rsid w:val="0013131B"/>
    <w:rsid w:val="00131354"/>
    <w:rsid w:val="00131607"/>
    <w:rsid w:val="001318D5"/>
    <w:rsid w:val="00131FF0"/>
    <w:rsid w:val="00132441"/>
    <w:rsid w:val="001329EA"/>
    <w:rsid w:val="00132CC8"/>
    <w:rsid w:val="00133287"/>
    <w:rsid w:val="0013343F"/>
    <w:rsid w:val="001334F6"/>
    <w:rsid w:val="001335D1"/>
    <w:rsid w:val="001335FF"/>
    <w:rsid w:val="001337FF"/>
    <w:rsid w:val="00133B59"/>
    <w:rsid w:val="00133F36"/>
    <w:rsid w:val="00134102"/>
    <w:rsid w:val="0013426D"/>
    <w:rsid w:val="001342CC"/>
    <w:rsid w:val="0013430C"/>
    <w:rsid w:val="001349AC"/>
    <w:rsid w:val="001349C6"/>
    <w:rsid w:val="00134CEE"/>
    <w:rsid w:val="00134E9D"/>
    <w:rsid w:val="00134F53"/>
    <w:rsid w:val="0013523C"/>
    <w:rsid w:val="00135C0D"/>
    <w:rsid w:val="00135E29"/>
    <w:rsid w:val="00135FC6"/>
    <w:rsid w:val="00136522"/>
    <w:rsid w:val="00136644"/>
    <w:rsid w:val="0013668C"/>
    <w:rsid w:val="00136713"/>
    <w:rsid w:val="00137021"/>
    <w:rsid w:val="0013718A"/>
    <w:rsid w:val="00137481"/>
    <w:rsid w:val="001374A6"/>
    <w:rsid w:val="00137571"/>
    <w:rsid w:val="00137746"/>
    <w:rsid w:val="00137FD8"/>
    <w:rsid w:val="001403FA"/>
    <w:rsid w:val="001408E2"/>
    <w:rsid w:val="00141077"/>
    <w:rsid w:val="00141202"/>
    <w:rsid w:val="001414D3"/>
    <w:rsid w:val="001417B5"/>
    <w:rsid w:val="00141C7E"/>
    <w:rsid w:val="00141D1C"/>
    <w:rsid w:val="0014255A"/>
    <w:rsid w:val="00142682"/>
    <w:rsid w:val="00142B45"/>
    <w:rsid w:val="001430D0"/>
    <w:rsid w:val="00143247"/>
    <w:rsid w:val="001433C0"/>
    <w:rsid w:val="0014356C"/>
    <w:rsid w:val="00143637"/>
    <w:rsid w:val="001436AC"/>
    <w:rsid w:val="00143916"/>
    <w:rsid w:val="00143A85"/>
    <w:rsid w:val="00143C27"/>
    <w:rsid w:val="00143D24"/>
    <w:rsid w:val="00143D6B"/>
    <w:rsid w:val="00143F15"/>
    <w:rsid w:val="00143F40"/>
    <w:rsid w:val="00144620"/>
    <w:rsid w:val="00144782"/>
    <w:rsid w:val="001448CE"/>
    <w:rsid w:val="001449A0"/>
    <w:rsid w:val="001449AE"/>
    <w:rsid w:val="00144AE2"/>
    <w:rsid w:val="00145029"/>
    <w:rsid w:val="001450CB"/>
    <w:rsid w:val="00145269"/>
    <w:rsid w:val="00145333"/>
    <w:rsid w:val="0014533B"/>
    <w:rsid w:val="0014551D"/>
    <w:rsid w:val="0014583C"/>
    <w:rsid w:val="001458E5"/>
    <w:rsid w:val="001459F4"/>
    <w:rsid w:val="00145C19"/>
    <w:rsid w:val="00145CE0"/>
    <w:rsid w:val="00145E7E"/>
    <w:rsid w:val="00145F80"/>
    <w:rsid w:val="001466BE"/>
    <w:rsid w:val="00146CAC"/>
    <w:rsid w:val="00147370"/>
    <w:rsid w:val="001474C3"/>
    <w:rsid w:val="00147FF2"/>
    <w:rsid w:val="00150219"/>
    <w:rsid w:val="00150257"/>
    <w:rsid w:val="001504F7"/>
    <w:rsid w:val="00150612"/>
    <w:rsid w:val="00150AAC"/>
    <w:rsid w:val="00150BA2"/>
    <w:rsid w:val="00150BCB"/>
    <w:rsid w:val="00151274"/>
    <w:rsid w:val="001516E2"/>
    <w:rsid w:val="00151DD5"/>
    <w:rsid w:val="001524F4"/>
    <w:rsid w:val="00152734"/>
    <w:rsid w:val="00152EFD"/>
    <w:rsid w:val="001538D3"/>
    <w:rsid w:val="00153AF6"/>
    <w:rsid w:val="00153B0A"/>
    <w:rsid w:val="00153B44"/>
    <w:rsid w:val="00153F2B"/>
    <w:rsid w:val="00154245"/>
    <w:rsid w:val="00154664"/>
    <w:rsid w:val="00154A36"/>
    <w:rsid w:val="00154B29"/>
    <w:rsid w:val="00154B3D"/>
    <w:rsid w:val="00154B62"/>
    <w:rsid w:val="00154D41"/>
    <w:rsid w:val="00155434"/>
    <w:rsid w:val="0015560C"/>
    <w:rsid w:val="00155766"/>
    <w:rsid w:val="001559A7"/>
    <w:rsid w:val="00155C51"/>
    <w:rsid w:val="00155CAB"/>
    <w:rsid w:val="00156249"/>
    <w:rsid w:val="00156DC8"/>
    <w:rsid w:val="00156E29"/>
    <w:rsid w:val="00156E4E"/>
    <w:rsid w:val="00156E82"/>
    <w:rsid w:val="001571CC"/>
    <w:rsid w:val="0015721F"/>
    <w:rsid w:val="00157439"/>
    <w:rsid w:val="0015751E"/>
    <w:rsid w:val="00157A2E"/>
    <w:rsid w:val="00157BF2"/>
    <w:rsid w:val="00157C35"/>
    <w:rsid w:val="00157F76"/>
    <w:rsid w:val="0016002B"/>
    <w:rsid w:val="001603DF"/>
    <w:rsid w:val="00160534"/>
    <w:rsid w:val="00160ACF"/>
    <w:rsid w:val="00160C70"/>
    <w:rsid w:val="00160CC5"/>
    <w:rsid w:val="00160D5B"/>
    <w:rsid w:val="00160EC9"/>
    <w:rsid w:val="00161465"/>
    <w:rsid w:val="00161625"/>
    <w:rsid w:val="001616D5"/>
    <w:rsid w:val="00161A0B"/>
    <w:rsid w:val="0016209C"/>
    <w:rsid w:val="001621C7"/>
    <w:rsid w:val="00162308"/>
    <w:rsid w:val="001623F3"/>
    <w:rsid w:val="001625F7"/>
    <w:rsid w:val="0016269D"/>
    <w:rsid w:val="001626F6"/>
    <w:rsid w:val="001627BA"/>
    <w:rsid w:val="00162913"/>
    <w:rsid w:val="00162F8D"/>
    <w:rsid w:val="0016324F"/>
    <w:rsid w:val="001632B2"/>
    <w:rsid w:val="001632E9"/>
    <w:rsid w:val="001633C0"/>
    <w:rsid w:val="001633E7"/>
    <w:rsid w:val="001634E3"/>
    <w:rsid w:val="00163901"/>
    <w:rsid w:val="00163BD5"/>
    <w:rsid w:val="00163E4E"/>
    <w:rsid w:val="0016404E"/>
    <w:rsid w:val="001642EF"/>
    <w:rsid w:val="0016443F"/>
    <w:rsid w:val="00164587"/>
    <w:rsid w:val="00164637"/>
    <w:rsid w:val="001648B3"/>
    <w:rsid w:val="001648DC"/>
    <w:rsid w:val="001648E4"/>
    <w:rsid w:val="00164A45"/>
    <w:rsid w:val="00164B0F"/>
    <w:rsid w:val="00164C11"/>
    <w:rsid w:val="00164D4F"/>
    <w:rsid w:val="00165188"/>
    <w:rsid w:val="001653AB"/>
    <w:rsid w:val="001654CF"/>
    <w:rsid w:val="001657FF"/>
    <w:rsid w:val="001659DF"/>
    <w:rsid w:val="00165C78"/>
    <w:rsid w:val="00165D54"/>
    <w:rsid w:val="0016615A"/>
    <w:rsid w:val="00166263"/>
    <w:rsid w:val="00166327"/>
    <w:rsid w:val="001665B8"/>
    <w:rsid w:val="001667D0"/>
    <w:rsid w:val="0016692A"/>
    <w:rsid w:val="00166D18"/>
    <w:rsid w:val="00166EBC"/>
    <w:rsid w:val="00167185"/>
    <w:rsid w:val="001675AE"/>
    <w:rsid w:val="00167841"/>
    <w:rsid w:val="00167A30"/>
    <w:rsid w:val="00167AD1"/>
    <w:rsid w:val="00167E5B"/>
    <w:rsid w:val="00170146"/>
    <w:rsid w:val="001704D4"/>
    <w:rsid w:val="001706B2"/>
    <w:rsid w:val="001708FE"/>
    <w:rsid w:val="00170C8B"/>
    <w:rsid w:val="00170ED1"/>
    <w:rsid w:val="00171227"/>
    <w:rsid w:val="00171459"/>
    <w:rsid w:val="001717A2"/>
    <w:rsid w:val="001718FF"/>
    <w:rsid w:val="00171C40"/>
    <w:rsid w:val="00171D6F"/>
    <w:rsid w:val="00171F3F"/>
    <w:rsid w:val="00171FA5"/>
    <w:rsid w:val="00172287"/>
    <w:rsid w:val="0017272C"/>
    <w:rsid w:val="00172CDF"/>
    <w:rsid w:val="00172D4A"/>
    <w:rsid w:val="00172D6A"/>
    <w:rsid w:val="00172D8B"/>
    <w:rsid w:val="0017319E"/>
    <w:rsid w:val="00173705"/>
    <w:rsid w:val="0017393C"/>
    <w:rsid w:val="00173999"/>
    <w:rsid w:val="00173B1C"/>
    <w:rsid w:val="00173B62"/>
    <w:rsid w:val="00173CE5"/>
    <w:rsid w:val="00173FBB"/>
    <w:rsid w:val="0017443C"/>
    <w:rsid w:val="001744F8"/>
    <w:rsid w:val="001752CC"/>
    <w:rsid w:val="00175B24"/>
    <w:rsid w:val="00175B41"/>
    <w:rsid w:val="00175DCA"/>
    <w:rsid w:val="00175FA5"/>
    <w:rsid w:val="00176106"/>
    <w:rsid w:val="00176592"/>
    <w:rsid w:val="00176A49"/>
    <w:rsid w:val="00176A81"/>
    <w:rsid w:val="00176AA5"/>
    <w:rsid w:val="00176C83"/>
    <w:rsid w:val="00176CE5"/>
    <w:rsid w:val="00176D03"/>
    <w:rsid w:val="00176FF0"/>
    <w:rsid w:val="001771D4"/>
    <w:rsid w:val="00177277"/>
    <w:rsid w:val="001772DA"/>
    <w:rsid w:val="001772DE"/>
    <w:rsid w:val="00177364"/>
    <w:rsid w:val="001773FB"/>
    <w:rsid w:val="00177CA8"/>
    <w:rsid w:val="001802FE"/>
    <w:rsid w:val="00180443"/>
    <w:rsid w:val="00180530"/>
    <w:rsid w:val="0018057D"/>
    <w:rsid w:val="001807A8"/>
    <w:rsid w:val="00180858"/>
    <w:rsid w:val="00180886"/>
    <w:rsid w:val="001808A3"/>
    <w:rsid w:val="00180AC0"/>
    <w:rsid w:val="00180D84"/>
    <w:rsid w:val="00181F8D"/>
    <w:rsid w:val="00181FC4"/>
    <w:rsid w:val="00182245"/>
    <w:rsid w:val="001825D7"/>
    <w:rsid w:val="00182749"/>
    <w:rsid w:val="00182888"/>
    <w:rsid w:val="00182911"/>
    <w:rsid w:val="00182927"/>
    <w:rsid w:val="00182944"/>
    <w:rsid w:val="00182A07"/>
    <w:rsid w:val="00182A1D"/>
    <w:rsid w:val="00182B94"/>
    <w:rsid w:val="00182E03"/>
    <w:rsid w:val="00183C9F"/>
    <w:rsid w:val="00183E1C"/>
    <w:rsid w:val="00184071"/>
    <w:rsid w:val="00184739"/>
    <w:rsid w:val="00184A57"/>
    <w:rsid w:val="00184B1A"/>
    <w:rsid w:val="00184CF4"/>
    <w:rsid w:val="00184F1C"/>
    <w:rsid w:val="00184FE8"/>
    <w:rsid w:val="00184FF3"/>
    <w:rsid w:val="0018526A"/>
    <w:rsid w:val="001852AF"/>
    <w:rsid w:val="00185311"/>
    <w:rsid w:val="0018539F"/>
    <w:rsid w:val="00185653"/>
    <w:rsid w:val="001859CF"/>
    <w:rsid w:val="001860EC"/>
    <w:rsid w:val="0018610C"/>
    <w:rsid w:val="00186159"/>
    <w:rsid w:val="00186791"/>
    <w:rsid w:val="00186AD7"/>
    <w:rsid w:val="00186BF2"/>
    <w:rsid w:val="00186C37"/>
    <w:rsid w:val="00186CD2"/>
    <w:rsid w:val="00186E01"/>
    <w:rsid w:val="00186EFB"/>
    <w:rsid w:val="00187290"/>
    <w:rsid w:val="0018731C"/>
    <w:rsid w:val="00187584"/>
    <w:rsid w:val="0018772E"/>
    <w:rsid w:val="00187B70"/>
    <w:rsid w:val="00187B83"/>
    <w:rsid w:val="00187D9D"/>
    <w:rsid w:val="00187EAB"/>
    <w:rsid w:val="00190159"/>
    <w:rsid w:val="001905B5"/>
    <w:rsid w:val="001909FE"/>
    <w:rsid w:val="00190CBE"/>
    <w:rsid w:val="00190F15"/>
    <w:rsid w:val="00191227"/>
    <w:rsid w:val="00191285"/>
    <w:rsid w:val="001917C6"/>
    <w:rsid w:val="00191948"/>
    <w:rsid w:val="00191DF8"/>
    <w:rsid w:val="00191E54"/>
    <w:rsid w:val="00191EC3"/>
    <w:rsid w:val="00191F07"/>
    <w:rsid w:val="00192151"/>
    <w:rsid w:val="00192281"/>
    <w:rsid w:val="00192430"/>
    <w:rsid w:val="00192434"/>
    <w:rsid w:val="0019253E"/>
    <w:rsid w:val="00192898"/>
    <w:rsid w:val="00192A6B"/>
    <w:rsid w:val="00193044"/>
    <w:rsid w:val="00193314"/>
    <w:rsid w:val="00193328"/>
    <w:rsid w:val="00193C91"/>
    <w:rsid w:val="00193EEB"/>
    <w:rsid w:val="00194294"/>
    <w:rsid w:val="00194358"/>
    <w:rsid w:val="001944CD"/>
    <w:rsid w:val="00194688"/>
    <w:rsid w:val="00194704"/>
    <w:rsid w:val="00194AD1"/>
    <w:rsid w:val="00194C20"/>
    <w:rsid w:val="001951CE"/>
    <w:rsid w:val="00195B09"/>
    <w:rsid w:val="00195B9B"/>
    <w:rsid w:val="00195EF7"/>
    <w:rsid w:val="001960E6"/>
    <w:rsid w:val="001961AF"/>
    <w:rsid w:val="001964A9"/>
    <w:rsid w:val="001966D1"/>
    <w:rsid w:val="00196E7B"/>
    <w:rsid w:val="001974B7"/>
    <w:rsid w:val="0019756A"/>
    <w:rsid w:val="0019769E"/>
    <w:rsid w:val="00197755"/>
    <w:rsid w:val="00197864"/>
    <w:rsid w:val="001979C8"/>
    <w:rsid w:val="00197D8D"/>
    <w:rsid w:val="00197E20"/>
    <w:rsid w:val="001A03D4"/>
    <w:rsid w:val="001A056C"/>
    <w:rsid w:val="001A06E6"/>
    <w:rsid w:val="001A0AF9"/>
    <w:rsid w:val="001A0B56"/>
    <w:rsid w:val="001A0B6F"/>
    <w:rsid w:val="001A0DF9"/>
    <w:rsid w:val="001A0EAD"/>
    <w:rsid w:val="001A12C6"/>
    <w:rsid w:val="001A1C47"/>
    <w:rsid w:val="001A1EC3"/>
    <w:rsid w:val="001A2054"/>
    <w:rsid w:val="001A2381"/>
    <w:rsid w:val="001A253E"/>
    <w:rsid w:val="001A2683"/>
    <w:rsid w:val="001A2849"/>
    <w:rsid w:val="001A28B3"/>
    <w:rsid w:val="001A2BFE"/>
    <w:rsid w:val="001A30C2"/>
    <w:rsid w:val="001A30CB"/>
    <w:rsid w:val="001A3191"/>
    <w:rsid w:val="001A39D2"/>
    <w:rsid w:val="001A3B0F"/>
    <w:rsid w:val="001A3CCC"/>
    <w:rsid w:val="001A41FE"/>
    <w:rsid w:val="001A427D"/>
    <w:rsid w:val="001A4442"/>
    <w:rsid w:val="001A458B"/>
    <w:rsid w:val="001A46D2"/>
    <w:rsid w:val="001A47F7"/>
    <w:rsid w:val="001A4A79"/>
    <w:rsid w:val="001A4BB9"/>
    <w:rsid w:val="001A51C3"/>
    <w:rsid w:val="001A5233"/>
    <w:rsid w:val="001A5567"/>
    <w:rsid w:val="001A5D42"/>
    <w:rsid w:val="001A632D"/>
    <w:rsid w:val="001A66FC"/>
    <w:rsid w:val="001A676D"/>
    <w:rsid w:val="001A68E2"/>
    <w:rsid w:val="001A693C"/>
    <w:rsid w:val="001A6A04"/>
    <w:rsid w:val="001A6A73"/>
    <w:rsid w:val="001A6CB4"/>
    <w:rsid w:val="001A6D5C"/>
    <w:rsid w:val="001A6DD6"/>
    <w:rsid w:val="001A6DF0"/>
    <w:rsid w:val="001A71D7"/>
    <w:rsid w:val="001A7AC7"/>
    <w:rsid w:val="001A7BEF"/>
    <w:rsid w:val="001A7DFF"/>
    <w:rsid w:val="001B0038"/>
    <w:rsid w:val="001B0144"/>
    <w:rsid w:val="001B017D"/>
    <w:rsid w:val="001B02CC"/>
    <w:rsid w:val="001B0A43"/>
    <w:rsid w:val="001B0A59"/>
    <w:rsid w:val="001B0FFD"/>
    <w:rsid w:val="001B100D"/>
    <w:rsid w:val="001B13DC"/>
    <w:rsid w:val="001B14E8"/>
    <w:rsid w:val="001B170F"/>
    <w:rsid w:val="001B20EE"/>
    <w:rsid w:val="001B23C9"/>
    <w:rsid w:val="001B251B"/>
    <w:rsid w:val="001B280A"/>
    <w:rsid w:val="001B2823"/>
    <w:rsid w:val="001B28EC"/>
    <w:rsid w:val="001B2A8F"/>
    <w:rsid w:val="001B2E41"/>
    <w:rsid w:val="001B30F0"/>
    <w:rsid w:val="001B354D"/>
    <w:rsid w:val="001B367D"/>
    <w:rsid w:val="001B3842"/>
    <w:rsid w:val="001B3B85"/>
    <w:rsid w:val="001B3F89"/>
    <w:rsid w:val="001B400B"/>
    <w:rsid w:val="001B437D"/>
    <w:rsid w:val="001B4471"/>
    <w:rsid w:val="001B478A"/>
    <w:rsid w:val="001B488C"/>
    <w:rsid w:val="001B4A2E"/>
    <w:rsid w:val="001B4BFF"/>
    <w:rsid w:val="001B4C6F"/>
    <w:rsid w:val="001B50B5"/>
    <w:rsid w:val="001B52B7"/>
    <w:rsid w:val="001B5320"/>
    <w:rsid w:val="001B5474"/>
    <w:rsid w:val="001B5866"/>
    <w:rsid w:val="001B677E"/>
    <w:rsid w:val="001B681C"/>
    <w:rsid w:val="001B685F"/>
    <w:rsid w:val="001B69DC"/>
    <w:rsid w:val="001B7021"/>
    <w:rsid w:val="001B7142"/>
    <w:rsid w:val="001B7681"/>
    <w:rsid w:val="001B78BD"/>
    <w:rsid w:val="001B7950"/>
    <w:rsid w:val="001B7A2E"/>
    <w:rsid w:val="001C016A"/>
    <w:rsid w:val="001C0303"/>
    <w:rsid w:val="001C0373"/>
    <w:rsid w:val="001C03DF"/>
    <w:rsid w:val="001C076D"/>
    <w:rsid w:val="001C09E1"/>
    <w:rsid w:val="001C0ADD"/>
    <w:rsid w:val="001C0F40"/>
    <w:rsid w:val="001C13EF"/>
    <w:rsid w:val="001C1570"/>
    <w:rsid w:val="001C1625"/>
    <w:rsid w:val="001C16EC"/>
    <w:rsid w:val="001C1760"/>
    <w:rsid w:val="001C19D6"/>
    <w:rsid w:val="001C1E38"/>
    <w:rsid w:val="001C21D6"/>
    <w:rsid w:val="001C2290"/>
    <w:rsid w:val="001C2316"/>
    <w:rsid w:val="001C252A"/>
    <w:rsid w:val="001C26A0"/>
    <w:rsid w:val="001C279B"/>
    <w:rsid w:val="001C29AD"/>
    <w:rsid w:val="001C2CDB"/>
    <w:rsid w:val="001C2DD6"/>
    <w:rsid w:val="001C3056"/>
    <w:rsid w:val="001C335D"/>
    <w:rsid w:val="001C3495"/>
    <w:rsid w:val="001C379E"/>
    <w:rsid w:val="001C37A1"/>
    <w:rsid w:val="001C3954"/>
    <w:rsid w:val="001C3DF2"/>
    <w:rsid w:val="001C3E61"/>
    <w:rsid w:val="001C3EC9"/>
    <w:rsid w:val="001C405D"/>
    <w:rsid w:val="001C4062"/>
    <w:rsid w:val="001C4170"/>
    <w:rsid w:val="001C41C9"/>
    <w:rsid w:val="001C4485"/>
    <w:rsid w:val="001C4577"/>
    <w:rsid w:val="001C4579"/>
    <w:rsid w:val="001C4990"/>
    <w:rsid w:val="001C4AC5"/>
    <w:rsid w:val="001C4C5A"/>
    <w:rsid w:val="001C4F89"/>
    <w:rsid w:val="001C5099"/>
    <w:rsid w:val="001C5111"/>
    <w:rsid w:val="001C513E"/>
    <w:rsid w:val="001C519E"/>
    <w:rsid w:val="001C51B1"/>
    <w:rsid w:val="001C55E9"/>
    <w:rsid w:val="001C5828"/>
    <w:rsid w:val="001C5BBF"/>
    <w:rsid w:val="001C5BC5"/>
    <w:rsid w:val="001C5C70"/>
    <w:rsid w:val="001C5F34"/>
    <w:rsid w:val="001C62A8"/>
    <w:rsid w:val="001C6381"/>
    <w:rsid w:val="001C6503"/>
    <w:rsid w:val="001C66B9"/>
    <w:rsid w:val="001C70C5"/>
    <w:rsid w:val="001C769B"/>
    <w:rsid w:val="001C78AD"/>
    <w:rsid w:val="001C7E41"/>
    <w:rsid w:val="001C7F46"/>
    <w:rsid w:val="001D000D"/>
    <w:rsid w:val="001D09D2"/>
    <w:rsid w:val="001D0A10"/>
    <w:rsid w:val="001D0D0B"/>
    <w:rsid w:val="001D1386"/>
    <w:rsid w:val="001D17E1"/>
    <w:rsid w:val="001D1884"/>
    <w:rsid w:val="001D1AC5"/>
    <w:rsid w:val="001D1BCB"/>
    <w:rsid w:val="001D23BE"/>
    <w:rsid w:val="001D2D7B"/>
    <w:rsid w:val="001D302D"/>
    <w:rsid w:val="001D3064"/>
    <w:rsid w:val="001D309F"/>
    <w:rsid w:val="001D30EF"/>
    <w:rsid w:val="001D3AA7"/>
    <w:rsid w:val="001D3D91"/>
    <w:rsid w:val="001D40C9"/>
    <w:rsid w:val="001D41EC"/>
    <w:rsid w:val="001D43AF"/>
    <w:rsid w:val="001D459B"/>
    <w:rsid w:val="001D4A9F"/>
    <w:rsid w:val="001D4D40"/>
    <w:rsid w:val="001D4E6A"/>
    <w:rsid w:val="001D50E3"/>
    <w:rsid w:val="001D5132"/>
    <w:rsid w:val="001D5251"/>
    <w:rsid w:val="001D54B7"/>
    <w:rsid w:val="001D5835"/>
    <w:rsid w:val="001D5B54"/>
    <w:rsid w:val="001D5BC4"/>
    <w:rsid w:val="001D604E"/>
    <w:rsid w:val="001D60BB"/>
    <w:rsid w:val="001D6527"/>
    <w:rsid w:val="001D6585"/>
    <w:rsid w:val="001D659E"/>
    <w:rsid w:val="001D66EF"/>
    <w:rsid w:val="001D6723"/>
    <w:rsid w:val="001D6895"/>
    <w:rsid w:val="001D6B2A"/>
    <w:rsid w:val="001D6C04"/>
    <w:rsid w:val="001D6C48"/>
    <w:rsid w:val="001D726C"/>
    <w:rsid w:val="001D745B"/>
    <w:rsid w:val="001D74EA"/>
    <w:rsid w:val="001D778C"/>
    <w:rsid w:val="001D7AFD"/>
    <w:rsid w:val="001D7D5E"/>
    <w:rsid w:val="001E03B2"/>
    <w:rsid w:val="001E07B9"/>
    <w:rsid w:val="001E0C07"/>
    <w:rsid w:val="001E0C0F"/>
    <w:rsid w:val="001E0CE7"/>
    <w:rsid w:val="001E116D"/>
    <w:rsid w:val="001E1753"/>
    <w:rsid w:val="001E178B"/>
    <w:rsid w:val="001E18B9"/>
    <w:rsid w:val="001E1EC8"/>
    <w:rsid w:val="001E206C"/>
    <w:rsid w:val="001E253A"/>
    <w:rsid w:val="001E256B"/>
    <w:rsid w:val="001E26C7"/>
    <w:rsid w:val="001E28E0"/>
    <w:rsid w:val="001E2914"/>
    <w:rsid w:val="001E2951"/>
    <w:rsid w:val="001E295E"/>
    <w:rsid w:val="001E2B3E"/>
    <w:rsid w:val="001E2BF6"/>
    <w:rsid w:val="001E304F"/>
    <w:rsid w:val="001E311B"/>
    <w:rsid w:val="001E318D"/>
    <w:rsid w:val="001E351B"/>
    <w:rsid w:val="001E3690"/>
    <w:rsid w:val="001E3880"/>
    <w:rsid w:val="001E3972"/>
    <w:rsid w:val="001E3B44"/>
    <w:rsid w:val="001E4379"/>
    <w:rsid w:val="001E499F"/>
    <w:rsid w:val="001E4AB0"/>
    <w:rsid w:val="001E4C33"/>
    <w:rsid w:val="001E4E79"/>
    <w:rsid w:val="001E5266"/>
    <w:rsid w:val="001E5318"/>
    <w:rsid w:val="001E53A8"/>
    <w:rsid w:val="001E53B2"/>
    <w:rsid w:val="001E53B5"/>
    <w:rsid w:val="001E53E2"/>
    <w:rsid w:val="001E5503"/>
    <w:rsid w:val="001E5696"/>
    <w:rsid w:val="001E5716"/>
    <w:rsid w:val="001E5AE7"/>
    <w:rsid w:val="001E5EAD"/>
    <w:rsid w:val="001E6099"/>
    <w:rsid w:val="001E62E0"/>
    <w:rsid w:val="001E63EC"/>
    <w:rsid w:val="001E6564"/>
    <w:rsid w:val="001E6730"/>
    <w:rsid w:val="001E67B4"/>
    <w:rsid w:val="001E6F80"/>
    <w:rsid w:val="001E7136"/>
    <w:rsid w:val="001E73D7"/>
    <w:rsid w:val="001E7493"/>
    <w:rsid w:val="001E7512"/>
    <w:rsid w:val="001E7591"/>
    <w:rsid w:val="001E760B"/>
    <w:rsid w:val="001E76C1"/>
    <w:rsid w:val="001E7D91"/>
    <w:rsid w:val="001F00FB"/>
    <w:rsid w:val="001F02CD"/>
    <w:rsid w:val="001F05A9"/>
    <w:rsid w:val="001F0604"/>
    <w:rsid w:val="001F0CB2"/>
    <w:rsid w:val="001F0D47"/>
    <w:rsid w:val="001F0DD1"/>
    <w:rsid w:val="001F0DF3"/>
    <w:rsid w:val="001F128C"/>
    <w:rsid w:val="001F140C"/>
    <w:rsid w:val="001F1808"/>
    <w:rsid w:val="001F1DD6"/>
    <w:rsid w:val="001F2056"/>
    <w:rsid w:val="001F21EB"/>
    <w:rsid w:val="001F22CB"/>
    <w:rsid w:val="001F263B"/>
    <w:rsid w:val="001F2721"/>
    <w:rsid w:val="001F286E"/>
    <w:rsid w:val="001F28A6"/>
    <w:rsid w:val="001F2A9A"/>
    <w:rsid w:val="001F2CD4"/>
    <w:rsid w:val="001F2D05"/>
    <w:rsid w:val="001F3863"/>
    <w:rsid w:val="001F3991"/>
    <w:rsid w:val="001F3CBC"/>
    <w:rsid w:val="001F442B"/>
    <w:rsid w:val="001F4D01"/>
    <w:rsid w:val="001F4E0D"/>
    <w:rsid w:val="001F4EA0"/>
    <w:rsid w:val="001F50F3"/>
    <w:rsid w:val="001F548E"/>
    <w:rsid w:val="001F55A7"/>
    <w:rsid w:val="001F55BC"/>
    <w:rsid w:val="001F56BB"/>
    <w:rsid w:val="001F57BA"/>
    <w:rsid w:val="001F5C1D"/>
    <w:rsid w:val="001F5C99"/>
    <w:rsid w:val="001F5CB6"/>
    <w:rsid w:val="001F5DCF"/>
    <w:rsid w:val="001F5F0E"/>
    <w:rsid w:val="001F6035"/>
    <w:rsid w:val="001F64BE"/>
    <w:rsid w:val="001F64F0"/>
    <w:rsid w:val="001F6539"/>
    <w:rsid w:val="001F6B1F"/>
    <w:rsid w:val="001F6BB9"/>
    <w:rsid w:val="001F6BF3"/>
    <w:rsid w:val="001F6DC4"/>
    <w:rsid w:val="001F740F"/>
    <w:rsid w:val="001F7582"/>
    <w:rsid w:val="001F77D0"/>
    <w:rsid w:val="001F79A7"/>
    <w:rsid w:val="001F7B50"/>
    <w:rsid w:val="001F7ED9"/>
    <w:rsid w:val="00200465"/>
    <w:rsid w:val="00200569"/>
    <w:rsid w:val="002005F1"/>
    <w:rsid w:val="0020108C"/>
    <w:rsid w:val="002010EE"/>
    <w:rsid w:val="002016C6"/>
    <w:rsid w:val="00202105"/>
    <w:rsid w:val="002028E4"/>
    <w:rsid w:val="00202A7A"/>
    <w:rsid w:val="00202B17"/>
    <w:rsid w:val="00202BEE"/>
    <w:rsid w:val="00202C73"/>
    <w:rsid w:val="00202DDD"/>
    <w:rsid w:val="00202E65"/>
    <w:rsid w:val="00202F0C"/>
    <w:rsid w:val="00202F0F"/>
    <w:rsid w:val="00202FFF"/>
    <w:rsid w:val="00203163"/>
    <w:rsid w:val="002031DA"/>
    <w:rsid w:val="002032BF"/>
    <w:rsid w:val="00203506"/>
    <w:rsid w:val="00203A65"/>
    <w:rsid w:val="00203B1E"/>
    <w:rsid w:val="00203D72"/>
    <w:rsid w:val="00203DF1"/>
    <w:rsid w:val="0020406D"/>
    <w:rsid w:val="00204221"/>
    <w:rsid w:val="002043A2"/>
    <w:rsid w:val="002044F1"/>
    <w:rsid w:val="002049E0"/>
    <w:rsid w:val="00204A0E"/>
    <w:rsid w:val="00204AF2"/>
    <w:rsid w:val="00204BCC"/>
    <w:rsid w:val="00204E88"/>
    <w:rsid w:val="00204F6D"/>
    <w:rsid w:val="00205134"/>
    <w:rsid w:val="002053AA"/>
    <w:rsid w:val="002054CE"/>
    <w:rsid w:val="00205522"/>
    <w:rsid w:val="00205529"/>
    <w:rsid w:val="00205559"/>
    <w:rsid w:val="002055D0"/>
    <w:rsid w:val="00205881"/>
    <w:rsid w:val="00205903"/>
    <w:rsid w:val="00205A78"/>
    <w:rsid w:val="00205AA7"/>
    <w:rsid w:val="00205BF2"/>
    <w:rsid w:val="00206541"/>
    <w:rsid w:val="00206B8B"/>
    <w:rsid w:val="00206FF3"/>
    <w:rsid w:val="0020709E"/>
    <w:rsid w:val="002074E8"/>
    <w:rsid w:val="00207598"/>
    <w:rsid w:val="00207826"/>
    <w:rsid w:val="00207884"/>
    <w:rsid w:val="00207DF0"/>
    <w:rsid w:val="00207F11"/>
    <w:rsid w:val="00210212"/>
    <w:rsid w:val="00210482"/>
    <w:rsid w:val="00210732"/>
    <w:rsid w:val="002109C0"/>
    <w:rsid w:val="0021136E"/>
    <w:rsid w:val="00211C2D"/>
    <w:rsid w:val="002121FC"/>
    <w:rsid w:val="0021222F"/>
    <w:rsid w:val="0021233F"/>
    <w:rsid w:val="002127DC"/>
    <w:rsid w:val="00212B10"/>
    <w:rsid w:val="00212B24"/>
    <w:rsid w:val="00212B28"/>
    <w:rsid w:val="00213003"/>
    <w:rsid w:val="00213110"/>
    <w:rsid w:val="002132F4"/>
    <w:rsid w:val="00213607"/>
    <w:rsid w:val="00213D11"/>
    <w:rsid w:val="00213F05"/>
    <w:rsid w:val="00214042"/>
    <w:rsid w:val="0021406C"/>
    <w:rsid w:val="0021411E"/>
    <w:rsid w:val="002141A8"/>
    <w:rsid w:val="0021441D"/>
    <w:rsid w:val="002145F1"/>
    <w:rsid w:val="0021463C"/>
    <w:rsid w:val="0021494D"/>
    <w:rsid w:val="00214ABD"/>
    <w:rsid w:val="00214B9C"/>
    <w:rsid w:val="00214D26"/>
    <w:rsid w:val="00214E94"/>
    <w:rsid w:val="0021546F"/>
    <w:rsid w:val="00215B1D"/>
    <w:rsid w:val="002161D0"/>
    <w:rsid w:val="00216631"/>
    <w:rsid w:val="00216E38"/>
    <w:rsid w:val="00216EA6"/>
    <w:rsid w:val="0021703E"/>
    <w:rsid w:val="002170C6"/>
    <w:rsid w:val="00217100"/>
    <w:rsid w:val="002176B5"/>
    <w:rsid w:val="00217B38"/>
    <w:rsid w:val="00217B85"/>
    <w:rsid w:val="00217B9A"/>
    <w:rsid w:val="00217EEC"/>
    <w:rsid w:val="00220092"/>
    <w:rsid w:val="0022038E"/>
    <w:rsid w:val="00220773"/>
    <w:rsid w:val="002207CC"/>
    <w:rsid w:val="00220919"/>
    <w:rsid w:val="00220B8A"/>
    <w:rsid w:val="00220E46"/>
    <w:rsid w:val="00221541"/>
    <w:rsid w:val="002216BB"/>
    <w:rsid w:val="002216F8"/>
    <w:rsid w:val="0022170F"/>
    <w:rsid w:val="00221B53"/>
    <w:rsid w:val="00221C8A"/>
    <w:rsid w:val="0022211D"/>
    <w:rsid w:val="0022221B"/>
    <w:rsid w:val="0022238B"/>
    <w:rsid w:val="002226BD"/>
    <w:rsid w:val="00222CEF"/>
    <w:rsid w:val="00222D2A"/>
    <w:rsid w:val="00222D39"/>
    <w:rsid w:val="00223029"/>
    <w:rsid w:val="00223360"/>
    <w:rsid w:val="002233FC"/>
    <w:rsid w:val="002236B3"/>
    <w:rsid w:val="002239F6"/>
    <w:rsid w:val="00224526"/>
    <w:rsid w:val="002245A5"/>
    <w:rsid w:val="00224885"/>
    <w:rsid w:val="002249F7"/>
    <w:rsid w:val="00224A3B"/>
    <w:rsid w:val="00224B5F"/>
    <w:rsid w:val="002251E8"/>
    <w:rsid w:val="0022520E"/>
    <w:rsid w:val="00225281"/>
    <w:rsid w:val="0022536C"/>
    <w:rsid w:val="002255F3"/>
    <w:rsid w:val="002259C6"/>
    <w:rsid w:val="00225A0D"/>
    <w:rsid w:val="00225D77"/>
    <w:rsid w:val="00226002"/>
    <w:rsid w:val="00226059"/>
    <w:rsid w:val="002262D5"/>
    <w:rsid w:val="002265EB"/>
    <w:rsid w:val="00226659"/>
    <w:rsid w:val="00226679"/>
    <w:rsid w:val="00226768"/>
    <w:rsid w:val="002268C1"/>
    <w:rsid w:val="002269B9"/>
    <w:rsid w:val="00226BA1"/>
    <w:rsid w:val="00226C41"/>
    <w:rsid w:val="00226F02"/>
    <w:rsid w:val="00227035"/>
    <w:rsid w:val="00227459"/>
    <w:rsid w:val="0022783F"/>
    <w:rsid w:val="00227963"/>
    <w:rsid w:val="0022799A"/>
    <w:rsid w:val="00227A69"/>
    <w:rsid w:val="00227E67"/>
    <w:rsid w:val="00227FD5"/>
    <w:rsid w:val="00230191"/>
    <w:rsid w:val="0023054A"/>
    <w:rsid w:val="002305A6"/>
    <w:rsid w:val="00230716"/>
    <w:rsid w:val="00230A8C"/>
    <w:rsid w:val="00231139"/>
    <w:rsid w:val="00231644"/>
    <w:rsid w:val="00231BC7"/>
    <w:rsid w:val="00231CC8"/>
    <w:rsid w:val="00231CE4"/>
    <w:rsid w:val="00232066"/>
    <w:rsid w:val="00232926"/>
    <w:rsid w:val="00232C46"/>
    <w:rsid w:val="00232E2B"/>
    <w:rsid w:val="0023318E"/>
    <w:rsid w:val="002331F2"/>
    <w:rsid w:val="00233864"/>
    <w:rsid w:val="002339C6"/>
    <w:rsid w:val="00233ED2"/>
    <w:rsid w:val="00234239"/>
    <w:rsid w:val="00234650"/>
    <w:rsid w:val="00234724"/>
    <w:rsid w:val="002348CC"/>
    <w:rsid w:val="00234A39"/>
    <w:rsid w:val="00234AD5"/>
    <w:rsid w:val="00234B06"/>
    <w:rsid w:val="00234F6B"/>
    <w:rsid w:val="00234F9F"/>
    <w:rsid w:val="0023500A"/>
    <w:rsid w:val="002351D4"/>
    <w:rsid w:val="0023538A"/>
    <w:rsid w:val="002353F3"/>
    <w:rsid w:val="002354F6"/>
    <w:rsid w:val="00235B7A"/>
    <w:rsid w:val="00235FEA"/>
    <w:rsid w:val="00236043"/>
    <w:rsid w:val="00236280"/>
    <w:rsid w:val="002366BD"/>
    <w:rsid w:val="0023672D"/>
    <w:rsid w:val="00236C9D"/>
    <w:rsid w:val="00236DBF"/>
    <w:rsid w:val="00236ED9"/>
    <w:rsid w:val="00236F2B"/>
    <w:rsid w:val="00236FB8"/>
    <w:rsid w:val="0023702C"/>
    <w:rsid w:val="00237486"/>
    <w:rsid w:val="00237656"/>
    <w:rsid w:val="00237C27"/>
    <w:rsid w:val="00237C83"/>
    <w:rsid w:val="00237EE9"/>
    <w:rsid w:val="00237F07"/>
    <w:rsid w:val="00240405"/>
    <w:rsid w:val="00240410"/>
    <w:rsid w:val="002404BB"/>
    <w:rsid w:val="002404CC"/>
    <w:rsid w:val="002404D3"/>
    <w:rsid w:val="0024056F"/>
    <w:rsid w:val="002406A2"/>
    <w:rsid w:val="0024082B"/>
    <w:rsid w:val="0024088E"/>
    <w:rsid w:val="002409F6"/>
    <w:rsid w:val="00240D36"/>
    <w:rsid w:val="00240EFC"/>
    <w:rsid w:val="00240FBC"/>
    <w:rsid w:val="002412A9"/>
    <w:rsid w:val="002412E4"/>
    <w:rsid w:val="00241344"/>
    <w:rsid w:val="0024143B"/>
    <w:rsid w:val="0024159D"/>
    <w:rsid w:val="00241A11"/>
    <w:rsid w:val="00241A58"/>
    <w:rsid w:val="00241DCB"/>
    <w:rsid w:val="00241FD8"/>
    <w:rsid w:val="0024201D"/>
    <w:rsid w:val="002425F7"/>
    <w:rsid w:val="00242829"/>
    <w:rsid w:val="0024299B"/>
    <w:rsid w:val="00242D32"/>
    <w:rsid w:val="00242E28"/>
    <w:rsid w:val="00242F12"/>
    <w:rsid w:val="00242FD5"/>
    <w:rsid w:val="00243703"/>
    <w:rsid w:val="00243ADE"/>
    <w:rsid w:val="00243BAC"/>
    <w:rsid w:val="00243C1D"/>
    <w:rsid w:val="00243F54"/>
    <w:rsid w:val="00244106"/>
    <w:rsid w:val="002446B8"/>
    <w:rsid w:val="002448F1"/>
    <w:rsid w:val="00244F4B"/>
    <w:rsid w:val="00244FB7"/>
    <w:rsid w:val="0024549D"/>
    <w:rsid w:val="0024560D"/>
    <w:rsid w:val="0024596D"/>
    <w:rsid w:val="002459C1"/>
    <w:rsid w:val="00245C96"/>
    <w:rsid w:val="00246011"/>
    <w:rsid w:val="00246283"/>
    <w:rsid w:val="002462E4"/>
    <w:rsid w:val="00246373"/>
    <w:rsid w:val="002463B1"/>
    <w:rsid w:val="002466AD"/>
    <w:rsid w:val="00246C51"/>
    <w:rsid w:val="00246D1A"/>
    <w:rsid w:val="002470BE"/>
    <w:rsid w:val="002473AB"/>
    <w:rsid w:val="002476BF"/>
    <w:rsid w:val="002477E5"/>
    <w:rsid w:val="00247DAD"/>
    <w:rsid w:val="00247EA0"/>
    <w:rsid w:val="00247EA7"/>
    <w:rsid w:val="002501AC"/>
    <w:rsid w:val="002501B8"/>
    <w:rsid w:val="0025052F"/>
    <w:rsid w:val="00250839"/>
    <w:rsid w:val="00250F5D"/>
    <w:rsid w:val="002511AC"/>
    <w:rsid w:val="0025123B"/>
    <w:rsid w:val="002512FD"/>
    <w:rsid w:val="00251772"/>
    <w:rsid w:val="00251780"/>
    <w:rsid w:val="00251C17"/>
    <w:rsid w:val="0025250C"/>
    <w:rsid w:val="00252601"/>
    <w:rsid w:val="00252627"/>
    <w:rsid w:val="00252861"/>
    <w:rsid w:val="00252A20"/>
    <w:rsid w:val="00252A6F"/>
    <w:rsid w:val="00252ADC"/>
    <w:rsid w:val="0025348B"/>
    <w:rsid w:val="002534CF"/>
    <w:rsid w:val="00253503"/>
    <w:rsid w:val="00253669"/>
    <w:rsid w:val="00253856"/>
    <w:rsid w:val="00253B5D"/>
    <w:rsid w:val="00253C58"/>
    <w:rsid w:val="00253D90"/>
    <w:rsid w:val="002541BF"/>
    <w:rsid w:val="00254206"/>
    <w:rsid w:val="002544BA"/>
    <w:rsid w:val="0025458B"/>
    <w:rsid w:val="002545F6"/>
    <w:rsid w:val="002549B7"/>
    <w:rsid w:val="002549BD"/>
    <w:rsid w:val="002549C3"/>
    <w:rsid w:val="00254A6F"/>
    <w:rsid w:val="00254B98"/>
    <w:rsid w:val="00254C59"/>
    <w:rsid w:val="00254C71"/>
    <w:rsid w:val="00254F21"/>
    <w:rsid w:val="00254F4F"/>
    <w:rsid w:val="002552AD"/>
    <w:rsid w:val="002553AE"/>
    <w:rsid w:val="00255727"/>
    <w:rsid w:val="002558B9"/>
    <w:rsid w:val="002558BA"/>
    <w:rsid w:val="00255D89"/>
    <w:rsid w:val="00255F96"/>
    <w:rsid w:val="002560CC"/>
    <w:rsid w:val="002565CF"/>
    <w:rsid w:val="0025692D"/>
    <w:rsid w:val="00256BD4"/>
    <w:rsid w:val="0025720D"/>
    <w:rsid w:val="002576E7"/>
    <w:rsid w:val="002578E7"/>
    <w:rsid w:val="00257B41"/>
    <w:rsid w:val="00257B53"/>
    <w:rsid w:val="00257CF0"/>
    <w:rsid w:val="00257DF5"/>
    <w:rsid w:val="00260363"/>
    <w:rsid w:val="00260390"/>
    <w:rsid w:val="002604FA"/>
    <w:rsid w:val="00260CF5"/>
    <w:rsid w:val="0026125A"/>
    <w:rsid w:val="0026144E"/>
    <w:rsid w:val="002614E0"/>
    <w:rsid w:val="0026167B"/>
    <w:rsid w:val="00261686"/>
    <w:rsid w:val="002617A7"/>
    <w:rsid w:val="002617C4"/>
    <w:rsid w:val="002619A0"/>
    <w:rsid w:val="002619C3"/>
    <w:rsid w:val="00261C1E"/>
    <w:rsid w:val="00261F15"/>
    <w:rsid w:val="00261FA4"/>
    <w:rsid w:val="00262123"/>
    <w:rsid w:val="002622FD"/>
    <w:rsid w:val="00262864"/>
    <w:rsid w:val="00262A0B"/>
    <w:rsid w:val="00262CEE"/>
    <w:rsid w:val="00262D2F"/>
    <w:rsid w:val="00263065"/>
    <w:rsid w:val="00263165"/>
    <w:rsid w:val="002633C3"/>
    <w:rsid w:val="0026353B"/>
    <w:rsid w:val="00263654"/>
    <w:rsid w:val="002638AF"/>
    <w:rsid w:val="00263A66"/>
    <w:rsid w:val="00263C85"/>
    <w:rsid w:val="00263D3B"/>
    <w:rsid w:val="00263F66"/>
    <w:rsid w:val="0026419A"/>
    <w:rsid w:val="00264729"/>
    <w:rsid w:val="00264AFB"/>
    <w:rsid w:val="00265640"/>
    <w:rsid w:val="002657E7"/>
    <w:rsid w:val="00265B4C"/>
    <w:rsid w:val="00265FE5"/>
    <w:rsid w:val="002661CF"/>
    <w:rsid w:val="002666D3"/>
    <w:rsid w:val="00266903"/>
    <w:rsid w:val="002669B6"/>
    <w:rsid w:val="00266A88"/>
    <w:rsid w:val="00266BB5"/>
    <w:rsid w:val="00266C00"/>
    <w:rsid w:val="00266F28"/>
    <w:rsid w:val="002670DE"/>
    <w:rsid w:val="0026727C"/>
    <w:rsid w:val="002674AC"/>
    <w:rsid w:val="00267828"/>
    <w:rsid w:val="00267882"/>
    <w:rsid w:val="00267E04"/>
    <w:rsid w:val="002700F0"/>
    <w:rsid w:val="00270721"/>
    <w:rsid w:val="0027083D"/>
    <w:rsid w:val="00270E38"/>
    <w:rsid w:val="00270F38"/>
    <w:rsid w:val="00270F6A"/>
    <w:rsid w:val="0027161E"/>
    <w:rsid w:val="002717D4"/>
    <w:rsid w:val="002717E6"/>
    <w:rsid w:val="00271B5B"/>
    <w:rsid w:val="00271DA0"/>
    <w:rsid w:val="00271EA6"/>
    <w:rsid w:val="00272183"/>
    <w:rsid w:val="0027264A"/>
    <w:rsid w:val="00272721"/>
    <w:rsid w:val="00272891"/>
    <w:rsid w:val="0027321F"/>
    <w:rsid w:val="00273321"/>
    <w:rsid w:val="0027378E"/>
    <w:rsid w:val="002738AA"/>
    <w:rsid w:val="0027394D"/>
    <w:rsid w:val="00273D15"/>
    <w:rsid w:val="00273F4D"/>
    <w:rsid w:val="00274201"/>
    <w:rsid w:val="002743A1"/>
    <w:rsid w:val="002743C4"/>
    <w:rsid w:val="002744AC"/>
    <w:rsid w:val="002748CC"/>
    <w:rsid w:val="0027496F"/>
    <w:rsid w:val="00274EC9"/>
    <w:rsid w:val="0027534C"/>
    <w:rsid w:val="002753E9"/>
    <w:rsid w:val="0027570E"/>
    <w:rsid w:val="0027578F"/>
    <w:rsid w:val="002758E1"/>
    <w:rsid w:val="00275BD4"/>
    <w:rsid w:val="00275F81"/>
    <w:rsid w:val="00276354"/>
    <w:rsid w:val="002764CA"/>
    <w:rsid w:val="002767B8"/>
    <w:rsid w:val="002767C4"/>
    <w:rsid w:val="002767EB"/>
    <w:rsid w:val="00276B33"/>
    <w:rsid w:val="002770F6"/>
    <w:rsid w:val="002771EF"/>
    <w:rsid w:val="00277257"/>
    <w:rsid w:val="00277265"/>
    <w:rsid w:val="002773B2"/>
    <w:rsid w:val="00277404"/>
    <w:rsid w:val="00277586"/>
    <w:rsid w:val="00277A93"/>
    <w:rsid w:val="00277BB6"/>
    <w:rsid w:val="002807A3"/>
    <w:rsid w:val="002807F9"/>
    <w:rsid w:val="0028081B"/>
    <w:rsid w:val="00280A12"/>
    <w:rsid w:val="00280BD2"/>
    <w:rsid w:val="00281335"/>
    <w:rsid w:val="002813DF"/>
    <w:rsid w:val="002813E8"/>
    <w:rsid w:val="002815DA"/>
    <w:rsid w:val="002817AB"/>
    <w:rsid w:val="002819F1"/>
    <w:rsid w:val="00282680"/>
    <w:rsid w:val="00282A63"/>
    <w:rsid w:val="00282D55"/>
    <w:rsid w:val="00282D68"/>
    <w:rsid w:val="00282E22"/>
    <w:rsid w:val="00283456"/>
    <w:rsid w:val="0028349A"/>
    <w:rsid w:val="00283975"/>
    <w:rsid w:val="00283DC3"/>
    <w:rsid w:val="00283EEE"/>
    <w:rsid w:val="00284254"/>
    <w:rsid w:val="002842D5"/>
    <w:rsid w:val="00284B22"/>
    <w:rsid w:val="00284B3D"/>
    <w:rsid w:val="00284CCF"/>
    <w:rsid w:val="00284CE5"/>
    <w:rsid w:val="00285052"/>
    <w:rsid w:val="00285359"/>
    <w:rsid w:val="00285435"/>
    <w:rsid w:val="002855DB"/>
    <w:rsid w:val="002856AE"/>
    <w:rsid w:val="002858FD"/>
    <w:rsid w:val="0028591D"/>
    <w:rsid w:val="0028614A"/>
    <w:rsid w:val="002861CC"/>
    <w:rsid w:val="002864E2"/>
    <w:rsid w:val="0028694B"/>
    <w:rsid w:val="00286A26"/>
    <w:rsid w:val="00286EC7"/>
    <w:rsid w:val="0028701B"/>
    <w:rsid w:val="00287916"/>
    <w:rsid w:val="00287CB7"/>
    <w:rsid w:val="00287D38"/>
    <w:rsid w:val="00287FBC"/>
    <w:rsid w:val="0029023D"/>
    <w:rsid w:val="00290569"/>
    <w:rsid w:val="002909F4"/>
    <w:rsid w:val="00290A93"/>
    <w:rsid w:val="00290B50"/>
    <w:rsid w:val="00290C94"/>
    <w:rsid w:val="00291255"/>
    <w:rsid w:val="002912CF"/>
    <w:rsid w:val="002913CA"/>
    <w:rsid w:val="002916DD"/>
    <w:rsid w:val="002918E7"/>
    <w:rsid w:val="0029196F"/>
    <w:rsid w:val="0029227F"/>
    <w:rsid w:val="0029235D"/>
    <w:rsid w:val="00292494"/>
    <w:rsid w:val="0029250B"/>
    <w:rsid w:val="00292535"/>
    <w:rsid w:val="002931EA"/>
    <w:rsid w:val="00293594"/>
    <w:rsid w:val="00293646"/>
    <w:rsid w:val="0029367D"/>
    <w:rsid w:val="00293CF1"/>
    <w:rsid w:val="00293F10"/>
    <w:rsid w:val="0029412A"/>
    <w:rsid w:val="00294156"/>
    <w:rsid w:val="0029456E"/>
    <w:rsid w:val="00294715"/>
    <w:rsid w:val="002947DF"/>
    <w:rsid w:val="0029499C"/>
    <w:rsid w:val="00295068"/>
    <w:rsid w:val="00295376"/>
    <w:rsid w:val="002961A4"/>
    <w:rsid w:val="002965C5"/>
    <w:rsid w:val="002965E1"/>
    <w:rsid w:val="002967BE"/>
    <w:rsid w:val="00296846"/>
    <w:rsid w:val="00296BE2"/>
    <w:rsid w:val="00297466"/>
    <w:rsid w:val="002975D8"/>
    <w:rsid w:val="002975E3"/>
    <w:rsid w:val="00297773"/>
    <w:rsid w:val="00297D77"/>
    <w:rsid w:val="00297E41"/>
    <w:rsid w:val="002A00F7"/>
    <w:rsid w:val="002A01DF"/>
    <w:rsid w:val="002A066C"/>
    <w:rsid w:val="002A06B3"/>
    <w:rsid w:val="002A08F5"/>
    <w:rsid w:val="002A0D96"/>
    <w:rsid w:val="002A155B"/>
    <w:rsid w:val="002A186B"/>
    <w:rsid w:val="002A1C7C"/>
    <w:rsid w:val="002A1D27"/>
    <w:rsid w:val="002A1F76"/>
    <w:rsid w:val="002A283E"/>
    <w:rsid w:val="002A2866"/>
    <w:rsid w:val="002A2911"/>
    <w:rsid w:val="002A29EB"/>
    <w:rsid w:val="002A2A5E"/>
    <w:rsid w:val="002A2C65"/>
    <w:rsid w:val="002A2DF3"/>
    <w:rsid w:val="002A2FD3"/>
    <w:rsid w:val="002A30D5"/>
    <w:rsid w:val="002A3106"/>
    <w:rsid w:val="002A32E9"/>
    <w:rsid w:val="002A3467"/>
    <w:rsid w:val="002A34CC"/>
    <w:rsid w:val="002A3530"/>
    <w:rsid w:val="002A361D"/>
    <w:rsid w:val="002A3796"/>
    <w:rsid w:val="002A3945"/>
    <w:rsid w:val="002A39E7"/>
    <w:rsid w:val="002A405C"/>
    <w:rsid w:val="002A4090"/>
    <w:rsid w:val="002A4365"/>
    <w:rsid w:val="002A4638"/>
    <w:rsid w:val="002A472F"/>
    <w:rsid w:val="002A48CF"/>
    <w:rsid w:val="002A4EF4"/>
    <w:rsid w:val="002A507A"/>
    <w:rsid w:val="002A509F"/>
    <w:rsid w:val="002A50DB"/>
    <w:rsid w:val="002A51DE"/>
    <w:rsid w:val="002A5740"/>
    <w:rsid w:val="002A5B96"/>
    <w:rsid w:val="002A5CE6"/>
    <w:rsid w:val="002A5D8A"/>
    <w:rsid w:val="002A5E4F"/>
    <w:rsid w:val="002A5EBF"/>
    <w:rsid w:val="002A61F4"/>
    <w:rsid w:val="002A6A83"/>
    <w:rsid w:val="002A6A84"/>
    <w:rsid w:val="002A6D9C"/>
    <w:rsid w:val="002A6F3B"/>
    <w:rsid w:val="002A6FE9"/>
    <w:rsid w:val="002A75A8"/>
    <w:rsid w:val="002A7766"/>
    <w:rsid w:val="002A7EA9"/>
    <w:rsid w:val="002A7F0B"/>
    <w:rsid w:val="002A7F49"/>
    <w:rsid w:val="002B030D"/>
    <w:rsid w:val="002B033A"/>
    <w:rsid w:val="002B036C"/>
    <w:rsid w:val="002B0465"/>
    <w:rsid w:val="002B0597"/>
    <w:rsid w:val="002B0612"/>
    <w:rsid w:val="002B0638"/>
    <w:rsid w:val="002B071F"/>
    <w:rsid w:val="002B0734"/>
    <w:rsid w:val="002B07A7"/>
    <w:rsid w:val="002B08CE"/>
    <w:rsid w:val="002B0973"/>
    <w:rsid w:val="002B18DB"/>
    <w:rsid w:val="002B199A"/>
    <w:rsid w:val="002B1A41"/>
    <w:rsid w:val="002B1E24"/>
    <w:rsid w:val="002B1E2D"/>
    <w:rsid w:val="002B22ED"/>
    <w:rsid w:val="002B2459"/>
    <w:rsid w:val="002B25AA"/>
    <w:rsid w:val="002B2979"/>
    <w:rsid w:val="002B327A"/>
    <w:rsid w:val="002B3622"/>
    <w:rsid w:val="002B3742"/>
    <w:rsid w:val="002B3957"/>
    <w:rsid w:val="002B397A"/>
    <w:rsid w:val="002B3AEE"/>
    <w:rsid w:val="002B3AF9"/>
    <w:rsid w:val="002B3C5B"/>
    <w:rsid w:val="002B3D39"/>
    <w:rsid w:val="002B4139"/>
    <w:rsid w:val="002B42F0"/>
    <w:rsid w:val="002B43C4"/>
    <w:rsid w:val="002B4417"/>
    <w:rsid w:val="002B4525"/>
    <w:rsid w:val="002B470B"/>
    <w:rsid w:val="002B49FC"/>
    <w:rsid w:val="002B4BAE"/>
    <w:rsid w:val="002B4E4D"/>
    <w:rsid w:val="002B5194"/>
    <w:rsid w:val="002B5241"/>
    <w:rsid w:val="002B52AF"/>
    <w:rsid w:val="002B5904"/>
    <w:rsid w:val="002B598F"/>
    <w:rsid w:val="002B5AA0"/>
    <w:rsid w:val="002B5CC6"/>
    <w:rsid w:val="002B5F17"/>
    <w:rsid w:val="002B5FA5"/>
    <w:rsid w:val="002B6599"/>
    <w:rsid w:val="002B6909"/>
    <w:rsid w:val="002B6FB2"/>
    <w:rsid w:val="002B73DD"/>
    <w:rsid w:val="002B73F3"/>
    <w:rsid w:val="002B7429"/>
    <w:rsid w:val="002B7A0F"/>
    <w:rsid w:val="002B7D02"/>
    <w:rsid w:val="002B7DFE"/>
    <w:rsid w:val="002C036E"/>
    <w:rsid w:val="002C03ED"/>
    <w:rsid w:val="002C057F"/>
    <w:rsid w:val="002C05B9"/>
    <w:rsid w:val="002C06E3"/>
    <w:rsid w:val="002C097B"/>
    <w:rsid w:val="002C0B8B"/>
    <w:rsid w:val="002C0DFD"/>
    <w:rsid w:val="002C115E"/>
    <w:rsid w:val="002C1384"/>
    <w:rsid w:val="002C1486"/>
    <w:rsid w:val="002C17C8"/>
    <w:rsid w:val="002C1830"/>
    <w:rsid w:val="002C1A47"/>
    <w:rsid w:val="002C1E35"/>
    <w:rsid w:val="002C21F5"/>
    <w:rsid w:val="002C2304"/>
    <w:rsid w:val="002C2714"/>
    <w:rsid w:val="002C2ADC"/>
    <w:rsid w:val="002C3265"/>
    <w:rsid w:val="002C3562"/>
    <w:rsid w:val="002C36CA"/>
    <w:rsid w:val="002C3767"/>
    <w:rsid w:val="002C38F1"/>
    <w:rsid w:val="002C3A2C"/>
    <w:rsid w:val="002C3A7A"/>
    <w:rsid w:val="002C3D7F"/>
    <w:rsid w:val="002C3D94"/>
    <w:rsid w:val="002C40D3"/>
    <w:rsid w:val="002C4426"/>
    <w:rsid w:val="002C4547"/>
    <w:rsid w:val="002C4556"/>
    <w:rsid w:val="002C4A85"/>
    <w:rsid w:val="002C4B1D"/>
    <w:rsid w:val="002C4B34"/>
    <w:rsid w:val="002C4BAC"/>
    <w:rsid w:val="002C4E36"/>
    <w:rsid w:val="002C4E77"/>
    <w:rsid w:val="002C4F97"/>
    <w:rsid w:val="002C53F7"/>
    <w:rsid w:val="002C5583"/>
    <w:rsid w:val="002C55DB"/>
    <w:rsid w:val="002C578C"/>
    <w:rsid w:val="002C596B"/>
    <w:rsid w:val="002C5F20"/>
    <w:rsid w:val="002C6099"/>
    <w:rsid w:val="002C6108"/>
    <w:rsid w:val="002C613D"/>
    <w:rsid w:val="002C61C7"/>
    <w:rsid w:val="002C63D2"/>
    <w:rsid w:val="002C645B"/>
    <w:rsid w:val="002C659A"/>
    <w:rsid w:val="002C699A"/>
    <w:rsid w:val="002C69EB"/>
    <w:rsid w:val="002C6BD0"/>
    <w:rsid w:val="002C6DB8"/>
    <w:rsid w:val="002C724E"/>
    <w:rsid w:val="002C72C6"/>
    <w:rsid w:val="002C7B70"/>
    <w:rsid w:val="002C7E52"/>
    <w:rsid w:val="002D0060"/>
    <w:rsid w:val="002D06D3"/>
    <w:rsid w:val="002D072F"/>
    <w:rsid w:val="002D0A87"/>
    <w:rsid w:val="002D0B93"/>
    <w:rsid w:val="002D0B94"/>
    <w:rsid w:val="002D1087"/>
    <w:rsid w:val="002D1188"/>
    <w:rsid w:val="002D14EB"/>
    <w:rsid w:val="002D1509"/>
    <w:rsid w:val="002D18AD"/>
    <w:rsid w:val="002D197C"/>
    <w:rsid w:val="002D201D"/>
    <w:rsid w:val="002D2150"/>
    <w:rsid w:val="002D21E9"/>
    <w:rsid w:val="002D23F5"/>
    <w:rsid w:val="002D2414"/>
    <w:rsid w:val="002D2628"/>
    <w:rsid w:val="002D2930"/>
    <w:rsid w:val="002D2A40"/>
    <w:rsid w:val="002D2B76"/>
    <w:rsid w:val="002D2CE6"/>
    <w:rsid w:val="002D32F6"/>
    <w:rsid w:val="002D33A0"/>
    <w:rsid w:val="002D378C"/>
    <w:rsid w:val="002D37DF"/>
    <w:rsid w:val="002D37F2"/>
    <w:rsid w:val="002D389F"/>
    <w:rsid w:val="002D3A84"/>
    <w:rsid w:val="002D3ECD"/>
    <w:rsid w:val="002D3F3E"/>
    <w:rsid w:val="002D412E"/>
    <w:rsid w:val="002D4162"/>
    <w:rsid w:val="002D452A"/>
    <w:rsid w:val="002D49EA"/>
    <w:rsid w:val="002D4D6F"/>
    <w:rsid w:val="002D4E65"/>
    <w:rsid w:val="002D4F34"/>
    <w:rsid w:val="002D4F97"/>
    <w:rsid w:val="002D5331"/>
    <w:rsid w:val="002D53AB"/>
    <w:rsid w:val="002D56A8"/>
    <w:rsid w:val="002D56B3"/>
    <w:rsid w:val="002D5B36"/>
    <w:rsid w:val="002D5C7A"/>
    <w:rsid w:val="002D5D54"/>
    <w:rsid w:val="002D5F9D"/>
    <w:rsid w:val="002D6506"/>
    <w:rsid w:val="002D6985"/>
    <w:rsid w:val="002D6A32"/>
    <w:rsid w:val="002D6C42"/>
    <w:rsid w:val="002D6DCF"/>
    <w:rsid w:val="002D6DDB"/>
    <w:rsid w:val="002D7144"/>
    <w:rsid w:val="002D71F1"/>
    <w:rsid w:val="002D78EC"/>
    <w:rsid w:val="002D7998"/>
    <w:rsid w:val="002E0347"/>
    <w:rsid w:val="002E063E"/>
    <w:rsid w:val="002E0AAB"/>
    <w:rsid w:val="002E0D95"/>
    <w:rsid w:val="002E0E25"/>
    <w:rsid w:val="002E0F4C"/>
    <w:rsid w:val="002E0FF8"/>
    <w:rsid w:val="002E12C9"/>
    <w:rsid w:val="002E15F1"/>
    <w:rsid w:val="002E182C"/>
    <w:rsid w:val="002E1ACD"/>
    <w:rsid w:val="002E1E2B"/>
    <w:rsid w:val="002E1F85"/>
    <w:rsid w:val="002E228B"/>
    <w:rsid w:val="002E2333"/>
    <w:rsid w:val="002E2472"/>
    <w:rsid w:val="002E2556"/>
    <w:rsid w:val="002E26A5"/>
    <w:rsid w:val="002E278B"/>
    <w:rsid w:val="002E29B6"/>
    <w:rsid w:val="002E2B6E"/>
    <w:rsid w:val="002E2C1C"/>
    <w:rsid w:val="002E2C86"/>
    <w:rsid w:val="002E2F81"/>
    <w:rsid w:val="002E3676"/>
    <w:rsid w:val="002E3A6A"/>
    <w:rsid w:val="002E3D43"/>
    <w:rsid w:val="002E3DC8"/>
    <w:rsid w:val="002E3E4B"/>
    <w:rsid w:val="002E4889"/>
    <w:rsid w:val="002E489B"/>
    <w:rsid w:val="002E49CB"/>
    <w:rsid w:val="002E5573"/>
    <w:rsid w:val="002E5A61"/>
    <w:rsid w:val="002E5C0A"/>
    <w:rsid w:val="002E5FFE"/>
    <w:rsid w:val="002E60A1"/>
    <w:rsid w:val="002E6946"/>
    <w:rsid w:val="002E725F"/>
    <w:rsid w:val="002E7273"/>
    <w:rsid w:val="002E7775"/>
    <w:rsid w:val="002E788F"/>
    <w:rsid w:val="002E7BE8"/>
    <w:rsid w:val="002E7BF3"/>
    <w:rsid w:val="002F005E"/>
    <w:rsid w:val="002F022E"/>
    <w:rsid w:val="002F03D3"/>
    <w:rsid w:val="002F08A2"/>
    <w:rsid w:val="002F0A30"/>
    <w:rsid w:val="002F100F"/>
    <w:rsid w:val="002F10FA"/>
    <w:rsid w:val="002F1351"/>
    <w:rsid w:val="002F1BCE"/>
    <w:rsid w:val="002F2479"/>
    <w:rsid w:val="002F2939"/>
    <w:rsid w:val="002F2D02"/>
    <w:rsid w:val="002F309F"/>
    <w:rsid w:val="002F3396"/>
    <w:rsid w:val="002F33E8"/>
    <w:rsid w:val="002F343E"/>
    <w:rsid w:val="002F3680"/>
    <w:rsid w:val="002F36F4"/>
    <w:rsid w:val="002F3972"/>
    <w:rsid w:val="002F39D9"/>
    <w:rsid w:val="002F3A08"/>
    <w:rsid w:val="002F3A1E"/>
    <w:rsid w:val="002F3C32"/>
    <w:rsid w:val="002F3EF7"/>
    <w:rsid w:val="002F4134"/>
    <w:rsid w:val="002F4260"/>
    <w:rsid w:val="002F4358"/>
    <w:rsid w:val="002F4704"/>
    <w:rsid w:val="002F470D"/>
    <w:rsid w:val="002F4C4F"/>
    <w:rsid w:val="002F4CA1"/>
    <w:rsid w:val="002F4E2D"/>
    <w:rsid w:val="002F5D7B"/>
    <w:rsid w:val="002F5DCF"/>
    <w:rsid w:val="002F5E0A"/>
    <w:rsid w:val="002F603A"/>
    <w:rsid w:val="002F6393"/>
    <w:rsid w:val="002F647A"/>
    <w:rsid w:val="002F6568"/>
    <w:rsid w:val="002F66B0"/>
    <w:rsid w:val="002F6CEE"/>
    <w:rsid w:val="002F7218"/>
    <w:rsid w:val="002F73D2"/>
    <w:rsid w:val="002F7535"/>
    <w:rsid w:val="002F7611"/>
    <w:rsid w:val="002F7727"/>
    <w:rsid w:val="002F7A5C"/>
    <w:rsid w:val="002F7BAC"/>
    <w:rsid w:val="00300092"/>
    <w:rsid w:val="00300354"/>
    <w:rsid w:val="00300378"/>
    <w:rsid w:val="0030041E"/>
    <w:rsid w:val="003004A3"/>
    <w:rsid w:val="003006D3"/>
    <w:rsid w:val="003008E9"/>
    <w:rsid w:val="00300C00"/>
    <w:rsid w:val="00300D77"/>
    <w:rsid w:val="003011D0"/>
    <w:rsid w:val="003011E4"/>
    <w:rsid w:val="00301A12"/>
    <w:rsid w:val="00301B2F"/>
    <w:rsid w:val="003026BE"/>
    <w:rsid w:val="00302B29"/>
    <w:rsid w:val="00302EB5"/>
    <w:rsid w:val="00303035"/>
    <w:rsid w:val="003032CC"/>
    <w:rsid w:val="00303383"/>
    <w:rsid w:val="00303562"/>
    <w:rsid w:val="00303568"/>
    <w:rsid w:val="003036ED"/>
    <w:rsid w:val="003039DC"/>
    <w:rsid w:val="00303C6E"/>
    <w:rsid w:val="003049D7"/>
    <w:rsid w:val="00304CBC"/>
    <w:rsid w:val="00304E4D"/>
    <w:rsid w:val="00304E65"/>
    <w:rsid w:val="003054AA"/>
    <w:rsid w:val="00305789"/>
    <w:rsid w:val="003059E9"/>
    <w:rsid w:val="00306724"/>
    <w:rsid w:val="003069CC"/>
    <w:rsid w:val="00306E8F"/>
    <w:rsid w:val="00306EC6"/>
    <w:rsid w:val="00307084"/>
    <w:rsid w:val="00307088"/>
    <w:rsid w:val="003074EA"/>
    <w:rsid w:val="003075F7"/>
    <w:rsid w:val="003078F4"/>
    <w:rsid w:val="00307AD8"/>
    <w:rsid w:val="00307AE8"/>
    <w:rsid w:val="00307B11"/>
    <w:rsid w:val="00307D3D"/>
    <w:rsid w:val="00307F37"/>
    <w:rsid w:val="00310136"/>
    <w:rsid w:val="0031041F"/>
    <w:rsid w:val="00310504"/>
    <w:rsid w:val="00310570"/>
    <w:rsid w:val="0031085D"/>
    <w:rsid w:val="00310953"/>
    <w:rsid w:val="00310BCB"/>
    <w:rsid w:val="00310E63"/>
    <w:rsid w:val="00310FFF"/>
    <w:rsid w:val="003112C1"/>
    <w:rsid w:val="003118E8"/>
    <w:rsid w:val="00311AD4"/>
    <w:rsid w:val="00312003"/>
    <w:rsid w:val="003121A5"/>
    <w:rsid w:val="00312415"/>
    <w:rsid w:val="003127C3"/>
    <w:rsid w:val="00312CAB"/>
    <w:rsid w:val="00312CD3"/>
    <w:rsid w:val="00313035"/>
    <w:rsid w:val="00313773"/>
    <w:rsid w:val="00313B5D"/>
    <w:rsid w:val="00313EA0"/>
    <w:rsid w:val="00314147"/>
    <w:rsid w:val="00314413"/>
    <w:rsid w:val="00314493"/>
    <w:rsid w:val="003145D5"/>
    <w:rsid w:val="00314BB3"/>
    <w:rsid w:val="00314FA9"/>
    <w:rsid w:val="003150EC"/>
    <w:rsid w:val="00315214"/>
    <w:rsid w:val="0031550C"/>
    <w:rsid w:val="00315576"/>
    <w:rsid w:val="003156E3"/>
    <w:rsid w:val="00315716"/>
    <w:rsid w:val="003158F0"/>
    <w:rsid w:val="003160A3"/>
    <w:rsid w:val="00316621"/>
    <w:rsid w:val="00316E12"/>
    <w:rsid w:val="00316E83"/>
    <w:rsid w:val="00317299"/>
    <w:rsid w:val="00317356"/>
    <w:rsid w:val="00317A83"/>
    <w:rsid w:val="00317AE3"/>
    <w:rsid w:val="00317B1F"/>
    <w:rsid w:val="00317DCA"/>
    <w:rsid w:val="00317F10"/>
    <w:rsid w:val="00320068"/>
    <w:rsid w:val="003200AD"/>
    <w:rsid w:val="0032037B"/>
    <w:rsid w:val="003203E0"/>
    <w:rsid w:val="003204C4"/>
    <w:rsid w:val="003205A2"/>
    <w:rsid w:val="00320A86"/>
    <w:rsid w:val="00320C78"/>
    <w:rsid w:val="00320D8F"/>
    <w:rsid w:val="00321030"/>
    <w:rsid w:val="00321036"/>
    <w:rsid w:val="003210F0"/>
    <w:rsid w:val="003212A3"/>
    <w:rsid w:val="00321300"/>
    <w:rsid w:val="003216F1"/>
    <w:rsid w:val="0032197F"/>
    <w:rsid w:val="00321DB2"/>
    <w:rsid w:val="00321DB9"/>
    <w:rsid w:val="00321F6D"/>
    <w:rsid w:val="0032213C"/>
    <w:rsid w:val="00322293"/>
    <w:rsid w:val="00322339"/>
    <w:rsid w:val="003225F6"/>
    <w:rsid w:val="00322C9D"/>
    <w:rsid w:val="00322F20"/>
    <w:rsid w:val="00322F4F"/>
    <w:rsid w:val="00323009"/>
    <w:rsid w:val="00323116"/>
    <w:rsid w:val="003231A1"/>
    <w:rsid w:val="00323325"/>
    <w:rsid w:val="003234B4"/>
    <w:rsid w:val="00323562"/>
    <w:rsid w:val="0032396F"/>
    <w:rsid w:val="003239C5"/>
    <w:rsid w:val="00323A57"/>
    <w:rsid w:val="00323FCB"/>
    <w:rsid w:val="00324078"/>
    <w:rsid w:val="003243D0"/>
    <w:rsid w:val="003250CE"/>
    <w:rsid w:val="0032517F"/>
    <w:rsid w:val="0032533A"/>
    <w:rsid w:val="0032542A"/>
    <w:rsid w:val="0032565B"/>
    <w:rsid w:val="00325881"/>
    <w:rsid w:val="00326381"/>
    <w:rsid w:val="0032661D"/>
    <w:rsid w:val="0032667E"/>
    <w:rsid w:val="00326765"/>
    <w:rsid w:val="00326806"/>
    <w:rsid w:val="00326B88"/>
    <w:rsid w:val="00326CE5"/>
    <w:rsid w:val="00327343"/>
    <w:rsid w:val="00327716"/>
    <w:rsid w:val="00327A2F"/>
    <w:rsid w:val="00327B5E"/>
    <w:rsid w:val="00327BA9"/>
    <w:rsid w:val="00327F5F"/>
    <w:rsid w:val="00330009"/>
    <w:rsid w:val="0033011E"/>
    <w:rsid w:val="00330909"/>
    <w:rsid w:val="00330BB3"/>
    <w:rsid w:val="00331066"/>
    <w:rsid w:val="00331DC2"/>
    <w:rsid w:val="00331DE1"/>
    <w:rsid w:val="00331EC4"/>
    <w:rsid w:val="003320A0"/>
    <w:rsid w:val="00332418"/>
    <w:rsid w:val="0033242C"/>
    <w:rsid w:val="003326D7"/>
    <w:rsid w:val="00332B75"/>
    <w:rsid w:val="00332D2B"/>
    <w:rsid w:val="00332D79"/>
    <w:rsid w:val="00333AED"/>
    <w:rsid w:val="00333DA9"/>
    <w:rsid w:val="00333F4B"/>
    <w:rsid w:val="00334083"/>
    <w:rsid w:val="00334198"/>
    <w:rsid w:val="00334376"/>
    <w:rsid w:val="0033440C"/>
    <w:rsid w:val="00334596"/>
    <w:rsid w:val="0033468F"/>
    <w:rsid w:val="00334B62"/>
    <w:rsid w:val="00334C44"/>
    <w:rsid w:val="00334D18"/>
    <w:rsid w:val="003352C4"/>
    <w:rsid w:val="003355F9"/>
    <w:rsid w:val="00335968"/>
    <w:rsid w:val="00335EBA"/>
    <w:rsid w:val="0033600B"/>
    <w:rsid w:val="003360E7"/>
    <w:rsid w:val="00336141"/>
    <w:rsid w:val="00336152"/>
    <w:rsid w:val="003364AC"/>
    <w:rsid w:val="003367C5"/>
    <w:rsid w:val="00336931"/>
    <w:rsid w:val="00336974"/>
    <w:rsid w:val="00336A9B"/>
    <w:rsid w:val="00336B11"/>
    <w:rsid w:val="00336C5D"/>
    <w:rsid w:val="00336E43"/>
    <w:rsid w:val="00336E68"/>
    <w:rsid w:val="003371CB"/>
    <w:rsid w:val="003372DE"/>
    <w:rsid w:val="00337419"/>
    <w:rsid w:val="00337427"/>
    <w:rsid w:val="00337778"/>
    <w:rsid w:val="00337C73"/>
    <w:rsid w:val="00337FDB"/>
    <w:rsid w:val="0034004F"/>
    <w:rsid w:val="00340AC7"/>
    <w:rsid w:val="00340F46"/>
    <w:rsid w:val="003413D5"/>
    <w:rsid w:val="0034144E"/>
    <w:rsid w:val="003415B7"/>
    <w:rsid w:val="003418A3"/>
    <w:rsid w:val="00341A6C"/>
    <w:rsid w:val="00341ABF"/>
    <w:rsid w:val="00341E6B"/>
    <w:rsid w:val="003424FE"/>
    <w:rsid w:val="00342515"/>
    <w:rsid w:val="0034281A"/>
    <w:rsid w:val="00342912"/>
    <w:rsid w:val="00342B68"/>
    <w:rsid w:val="00342F7A"/>
    <w:rsid w:val="00342FE6"/>
    <w:rsid w:val="00342FF7"/>
    <w:rsid w:val="00343123"/>
    <w:rsid w:val="00343287"/>
    <w:rsid w:val="00343426"/>
    <w:rsid w:val="003434A1"/>
    <w:rsid w:val="00343506"/>
    <w:rsid w:val="003439F1"/>
    <w:rsid w:val="00343A4A"/>
    <w:rsid w:val="00343A75"/>
    <w:rsid w:val="00343C09"/>
    <w:rsid w:val="00343F8B"/>
    <w:rsid w:val="003440B2"/>
    <w:rsid w:val="003446B0"/>
    <w:rsid w:val="003446CC"/>
    <w:rsid w:val="00344827"/>
    <w:rsid w:val="00344B45"/>
    <w:rsid w:val="00344C6B"/>
    <w:rsid w:val="00344F15"/>
    <w:rsid w:val="003451F6"/>
    <w:rsid w:val="003453D7"/>
    <w:rsid w:val="00345581"/>
    <w:rsid w:val="003456D4"/>
    <w:rsid w:val="00345B26"/>
    <w:rsid w:val="00345C4F"/>
    <w:rsid w:val="00345CFC"/>
    <w:rsid w:val="00345D72"/>
    <w:rsid w:val="00345E0E"/>
    <w:rsid w:val="00345F1C"/>
    <w:rsid w:val="00345FD3"/>
    <w:rsid w:val="003465F1"/>
    <w:rsid w:val="003468C1"/>
    <w:rsid w:val="00346C21"/>
    <w:rsid w:val="003470BD"/>
    <w:rsid w:val="00347369"/>
    <w:rsid w:val="003473A7"/>
    <w:rsid w:val="003476BA"/>
    <w:rsid w:val="00347A5F"/>
    <w:rsid w:val="00347B19"/>
    <w:rsid w:val="00347BEB"/>
    <w:rsid w:val="00347F02"/>
    <w:rsid w:val="00350022"/>
    <w:rsid w:val="00350514"/>
    <w:rsid w:val="003509BB"/>
    <w:rsid w:val="003509FA"/>
    <w:rsid w:val="00350D8B"/>
    <w:rsid w:val="00350DC9"/>
    <w:rsid w:val="00351052"/>
    <w:rsid w:val="003510E1"/>
    <w:rsid w:val="0035117B"/>
    <w:rsid w:val="00351273"/>
    <w:rsid w:val="00351315"/>
    <w:rsid w:val="0035142D"/>
    <w:rsid w:val="003515FA"/>
    <w:rsid w:val="003517BD"/>
    <w:rsid w:val="00351CB8"/>
    <w:rsid w:val="00351F81"/>
    <w:rsid w:val="00352089"/>
    <w:rsid w:val="0035221D"/>
    <w:rsid w:val="003522DA"/>
    <w:rsid w:val="00352555"/>
    <w:rsid w:val="003528D2"/>
    <w:rsid w:val="00352942"/>
    <w:rsid w:val="003529B6"/>
    <w:rsid w:val="00352C13"/>
    <w:rsid w:val="00352D8E"/>
    <w:rsid w:val="00352E20"/>
    <w:rsid w:val="00352E2A"/>
    <w:rsid w:val="00352E7D"/>
    <w:rsid w:val="00353093"/>
    <w:rsid w:val="003537C0"/>
    <w:rsid w:val="003537D9"/>
    <w:rsid w:val="00353C4C"/>
    <w:rsid w:val="00353FEA"/>
    <w:rsid w:val="00354082"/>
    <w:rsid w:val="003540DC"/>
    <w:rsid w:val="003541E2"/>
    <w:rsid w:val="003542B7"/>
    <w:rsid w:val="003542C6"/>
    <w:rsid w:val="00354C94"/>
    <w:rsid w:val="00355310"/>
    <w:rsid w:val="00355430"/>
    <w:rsid w:val="0035557A"/>
    <w:rsid w:val="003557B6"/>
    <w:rsid w:val="00355BDE"/>
    <w:rsid w:val="00355CD5"/>
    <w:rsid w:val="00355FED"/>
    <w:rsid w:val="003561AF"/>
    <w:rsid w:val="003563B3"/>
    <w:rsid w:val="0035647B"/>
    <w:rsid w:val="003566A5"/>
    <w:rsid w:val="00356AB0"/>
    <w:rsid w:val="00356C60"/>
    <w:rsid w:val="00356F70"/>
    <w:rsid w:val="00357179"/>
    <w:rsid w:val="00360104"/>
    <w:rsid w:val="0036021C"/>
    <w:rsid w:val="00360332"/>
    <w:rsid w:val="003604CD"/>
    <w:rsid w:val="003605F7"/>
    <w:rsid w:val="00360A54"/>
    <w:rsid w:val="00360D8E"/>
    <w:rsid w:val="00360DCB"/>
    <w:rsid w:val="00360EF8"/>
    <w:rsid w:val="00361441"/>
    <w:rsid w:val="0036168D"/>
    <w:rsid w:val="00361907"/>
    <w:rsid w:val="00361AF7"/>
    <w:rsid w:val="00361B3A"/>
    <w:rsid w:val="00361D1E"/>
    <w:rsid w:val="003620E4"/>
    <w:rsid w:val="003622B3"/>
    <w:rsid w:val="003624B1"/>
    <w:rsid w:val="0036256A"/>
    <w:rsid w:val="003627E5"/>
    <w:rsid w:val="0036291C"/>
    <w:rsid w:val="00362B3A"/>
    <w:rsid w:val="00362B74"/>
    <w:rsid w:val="00362FD6"/>
    <w:rsid w:val="003630EB"/>
    <w:rsid w:val="003631E4"/>
    <w:rsid w:val="00363482"/>
    <w:rsid w:val="00363594"/>
    <w:rsid w:val="00364311"/>
    <w:rsid w:val="0036448B"/>
    <w:rsid w:val="00364870"/>
    <w:rsid w:val="00364CB4"/>
    <w:rsid w:val="00365414"/>
    <w:rsid w:val="003654B1"/>
    <w:rsid w:val="00365BD2"/>
    <w:rsid w:val="00365F38"/>
    <w:rsid w:val="00366084"/>
    <w:rsid w:val="00366192"/>
    <w:rsid w:val="00366212"/>
    <w:rsid w:val="00366460"/>
    <w:rsid w:val="003664EA"/>
    <w:rsid w:val="003665CA"/>
    <w:rsid w:val="003671A4"/>
    <w:rsid w:val="0036738E"/>
    <w:rsid w:val="00367566"/>
    <w:rsid w:val="00367AB8"/>
    <w:rsid w:val="00367BC3"/>
    <w:rsid w:val="003701D9"/>
    <w:rsid w:val="00370818"/>
    <w:rsid w:val="00370D21"/>
    <w:rsid w:val="00370D2F"/>
    <w:rsid w:val="00370EB7"/>
    <w:rsid w:val="00370F3D"/>
    <w:rsid w:val="00371003"/>
    <w:rsid w:val="0037124C"/>
    <w:rsid w:val="003716A8"/>
    <w:rsid w:val="003719C0"/>
    <w:rsid w:val="00371EEB"/>
    <w:rsid w:val="00372252"/>
    <w:rsid w:val="003725C8"/>
    <w:rsid w:val="0037262E"/>
    <w:rsid w:val="00372B3F"/>
    <w:rsid w:val="003732E1"/>
    <w:rsid w:val="00373320"/>
    <w:rsid w:val="003733F7"/>
    <w:rsid w:val="00373462"/>
    <w:rsid w:val="00373823"/>
    <w:rsid w:val="00373AD8"/>
    <w:rsid w:val="00373C52"/>
    <w:rsid w:val="00374044"/>
    <w:rsid w:val="0037444A"/>
    <w:rsid w:val="003745DF"/>
    <w:rsid w:val="00374709"/>
    <w:rsid w:val="00374C9A"/>
    <w:rsid w:val="003754BE"/>
    <w:rsid w:val="003757DC"/>
    <w:rsid w:val="003758D0"/>
    <w:rsid w:val="00375CA7"/>
    <w:rsid w:val="00375FB8"/>
    <w:rsid w:val="00375FCA"/>
    <w:rsid w:val="0037623A"/>
    <w:rsid w:val="003765B6"/>
    <w:rsid w:val="00376671"/>
    <w:rsid w:val="0037695D"/>
    <w:rsid w:val="00376A24"/>
    <w:rsid w:val="00376EF1"/>
    <w:rsid w:val="00376F14"/>
    <w:rsid w:val="00376F9C"/>
    <w:rsid w:val="00377491"/>
    <w:rsid w:val="0037758C"/>
    <w:rsid w:val="0037760E"/>
    <w:rsid w:val="00377885"/>
    <w:rsid w:val="00377B1F"/>
    <w:rsid w:val="00377B22"/>
    <w:rsid w:val="00377C09"/>
    <w:rsid w:val="00377E2C"/>
    <w:rsid w:val="00377EC1"/>
    <w:rsid w:val="00380066"/>
    <w:rsid w:val="003800EE"/>
    <w:rsid w:val="003801BC"/>
    <w:rsid w:val="0038045B"/>
    <w:rsid w:val="00380557"/>
    <w:rsid w:val="00380933"/>
    <w:rsid w:val="00380B12"/>
    <w:rsid w:val="00380B3A"/>
    <w:rsid w:val="00380BF5"/>
    <w:rsid w:val="00380C77"/>
    <w:rsid w:val="0038123B"/>
    <w:rsid w:val="00381506"/>
    <w:rsid w:val="0038155A"/>
    <w:rsid w:val="00381A1D"/>
    <w:rsid w:val="00381B7F"/>
    <w:rsid w:val="00381F06"/>
    <w:rsid w:val="00382328"/>
    <w:rsid w:val="003824CE"/>
    <w:rsid w:val="00382595"/>
    <w:rsid w:val="003826C0"/>
    <w:rsid w:val="00382F87"/>
    <w:rsid w:val="00383388"/>
    <w:rsid w:val="00383486"/>
    <w:rsid w:val="0038361A"/>
    <w:rsid w:val="0038363F"/>
    <w:rsid w:val="003838EA"/>
    <w:rsid w:val="00383ADC"/>
    <w:rsid w:val="00383AFB"/>
    <w:rsid w:val="003842CB"/>
    <w:rsid w:val="00384C7C"/>
    <w:rsid w:val="00384F85"/>
    <w:rsid w:val="0038511B"/>
    <w:rsid w:val="00385126"/>
    <w:rsid w:val="003851D5"/>
    <w:rsid w:val="0038521E"/>
    <w:rsid w:val="00385842"/>
    <w:rsid w:val="00385BF1"/>
    <w:rsid w:val="00385D55"/>
    <w:rsid w:val="00385FEC"/>
    <w:rsid w:val="003862C2"/>
    <w:rsid w:val="003863D8"/>
    <w:rsid w:val="003865EF"/>
    <w:rsid w:val="00386700"/>
    <w:rsid w:val="0038682C"/>
    <w:rsid w:val="003868B8"/>
    <w:rsid w:val="00386975"/>
    <w:rsid w:val="00386F05"/>
    <w:rsid w:val="00386F8B"/>
    <w:rsid w:val="003872D7"/>
    <w:rsid w:val="0038766F"/>
    <w:rsid w:val="003877D7"/>
    <w:rsid w:val="003877FD"/>
    <w:rsid w:val="00387B99"/>
    <w:rsid w:val="00387DF7"/>
    <w:rsid w:val="00387F1C"/>
    <w:rsid w:val="003901BD"/>
    <w:rsid w:val="0039079D"/>
    <w:rsid w:val="00390938"/>
    <w:rsid w:val="00390A07"/>
    <w:rsid w:val="00390D3F"/>
    <w:rsid w:val="00390D74"/>
    <w:rsid w:val="00390E43"/>
    <w:rsid w:val="00391029"/>
    <w:rsid w:val="00391B4D"/>
    <w:rsid w:val="00391D53"/>
    <w:rsid w:val="00391D7B"/>
    <w:rsid w:val="00391FEC"/>
    <w:rsid w:val="0039201C"/>
    <w:rsid w:val="00392144"/>
    <w:rsid w:val="0039216B"/>
    <w:rsid w:val="0039218D"/>
    <w:rsid w:val="00392584"/>
    <w:rsid w:val="003926B1"/>
    <w:rsid w:val="00392F72"/>
    <w:rsid w:val="00393558"/>
    <w:rsid w:val="0039375E"/>
    <w:rsid w:val="00393B3A"/>
    <w:rsid w:val="00393EBD"/>
    <w:rsid w:val="0039416A"/>
    <w:rsid w:val="00394565"/>
    <w:rsid w:val="003946B4"/>
    <w:rsid w:val="00394B85"/>
    <w:rsid w:val="00394BDD"/>
    <w:rsid w:val="00394BE3"/>
    <w:rsid w:val="00394C40"/>
    <w:rsid w:val="00394E19"/>
    <w:rsid w:val="003959E4"/>
    <w:rsid w:val="00395A8D"/>
    <w:rsid w:val="00395ACC"/>
    <w:rsid w:val="0039610D"/>
    <w:rsid w:val="003961FA"/>
    <w:rsid w:val="00396436"/>
    <w:rsid w:val="0039671B"/>
    <w:rsid w:val="0039672D"/>
    <w:rsid w:val="00396B9D"/>
    <w:rsid w:val="00396CC1"/>
    <w:rsid w:val="003970C8"/>
    <w:rsid w:val="003970F6"/>
    <w:rsid w:val="0039788D"/>
    <w:rsid w:val="00397A66"/>
    <w:rsid w:val="00397C2B"/>
    <w:rsid w:val="003A01ED"/>
    <w:rsid w:val="003A04B1"/>
    <w:rsid w:val="003A058E"/>
    <w:rsid w:val="003A05B5"/>
    <w:rsid w:val="003A0C54"/>
    <w:rsid w:val="003A0CD5"/>
    <w:rsid w:val="003A0D0C"/>
    <w:rsid w:val="003A106C"/>
    <w:rsid w:val="003A166C"/>
    <w:rsid w:val="003A16DF"/>
    <w:rsid w:val="003A1702"/>
    <w:rsid w:val="003A1898"/>
    <w:rsid w:val="003A1FDD"/>
    <w:rsid w:val="003A206D"/>
    <w:rsid w:val="003A2471"/>
    <w:rsid w:val="003A2474"/>
    <w:rsid w:val="003A2AEE"/>
    <w:rsid w:val="003A3148"/>
    <w:rsid w:val="003A3376"/>
    <w:rsid w:val="003A3E45"/>
    <w:rsid w:val="003A3FF8"/>
    <w:rsid w:val="003A4797"/>
    <w:rsid w:val="003A4967"/>
    <w:rsid w:val="003A4D68"/>
    <w:rsid w:val="003A4DB4"/>
    <w:rsid w:val="003A5102"/>
    <w:rsid w:val="003A58FA"/>
    <w:rsid w:val="003A5D1F"/>
    <w:rsid w:val="003A5D93"/>
    <w:rsid w:val="003A5FD2"/>
    <w:rsid w:val="003A6546"/>
    <w:rsid w:val="003A65E9"/>
    <w:rsid w:val="003A681F"/>
    <w:rsid w:val="003A6E77"/>
    <w:rsid w:val="003A6E9D"/>
    <w:rsid w:val="003A7074"/>
    <w:rsid w:val="003A7083"/>
    <w:rsid w:val="003A71D3"/>
    <w:rsid w:val="003A7275"/>
    <w:rsid w:val="003A752A"/>
    <w:rsid w:val="003A7563"/>
    <w:rsid w:val="003A7771"/>
    <w:rsid w:val="003A791B"/>
    <w:rsid w:val="003A7983"/>
    <w:rsid w:val="003A79A7"/>
    <w:rsid w:val="003A7DCE"/>
    <w:rsid w:val="003A7E79"/>
    <w:rsid w:val="003B0271"/>
    <w:rsid w:val="003B0788"/>
    <w:rsid w:val="003B07D3"/>
    <w:rsid w:val="003B07E4"/>
    <w:rsid w:val="003B0810"/>
    <w:rsid w:val="003B0922"/>
    <w:rsid w:val="003B0A2C"/>
    <w:rsid w:val="003B109A"/>
    <w:rsid w:val="003B1181"/>
    <w:rsid w:val="003B17E5"/>
    <w:rsid w:val="003B2257"/>
    <w:rsid w:val="003B26BA"/>
    <w:rsid w:val="003B26EC"/>
    <w:rsid w:val="003B280B"/>
    <w:rsid w:val="003B2947"/>
    <w:rsid w:val="003B2CF2"/>
    <w:rsid w:val="003B2D8E"/>
    <w:rsid w:val="003B2F05"/>
    <w:rsid w:val="003B3419"/>
    <w:rsid w:val="003B34FB"/>
    <w:rsid w:val="003B3546"/>
    <w:rsid w:val="003B36F7"/>
    <w:rsid w:val="003B3859"/>
    <w:rsid w:val="003B3984"/>
    <w:rsid w:val="003B3A4A"/>
    <w:rsid w:val="003B409E"/>
    <w:rsid w:val="003B440B"/>
    <w:rsid w:val="003B4487"/>
    <w:rsid w:val="003B44F2"/>
    <w:rsid w:val="003B478A"/>
    <w:rsid w:val="003B4A2A"/>
    <w:rsid w:val="003B4BD8"/>
    <w:rsid w:val="003B4E39"/>
    <w:rsid w:val="003B521E"/>
    <w:rsid w:val="003B5310"/>
    <w:rsid w:val="003B54E9"/>
    <w:rsid w:val="003B5601"/>
    <w:rsid w:val="003B56D6"/>
    <w:rsid w:val="003B5C9A"/>
    <w:rsid w:val="003B5F88"/>
    <w:rsid w:val="003B5FB7"/>
    <w:rsid w:val="003B654C"/>
    <w:rsid w:val="003B68AA"/>
    <w:rsid w:val="003B6F2F"/>
    <w:rsid w:val="003B7454"/>
    <w:rsid w:val="003B74D8"/>
    <w:rsid w:val="003B78FD"/>
    <w:rsid w:val="003B794A"/>
    <w:rsid w:val="003B7AB6"/>
    <w:rsid w:val="003B7B0D"/>
    <w:rsid w:val="003B7EF4"/>
    <w:rsid w:val="003C00FB"/>
    <w:rsid w:val="003C0333"/>
    <w:rsid w:val="003C0340"/>
    <w:rsid w:val="003C0364"/>
    <w:rsid w:val="003C0573"/>
    <w:rsid w:val="003C0A96"/>
    <w:rsid w:val="003C0AE8"/>
    <w:rsid w:val="003C0C84"/>
    <w:rsid w:val="003C0DE7"/>
    <w:rsid w:val="003C0DF4"/>
    <w:rsid w:val="003C1277"/>
    <w:rsid w:val="003C12F2"/>
    <w:rsid w:val="003C1584"/>
    <w:rsid w:val="003C169A"/>
    <w:rsid w:val="003C18A8"/>
    <w:rsid w:val="003C18AA"/>
    <w:rsid w:val="003C1A33"/>
    <w:rsid w:val="003C2716"/>
    <w:rsid w:val="003C2D82"/>
    <w:rsid w:val="003C32B6"/>
    <w:rsid w:val="003C33F9"/>
    <w:rsid w:val="003C37DE"/>
    <w:rsid w:val="003C3932"/>
    <w:rsid w:val="003C39C7"/>
    <w:rsid w:val="003C4294"/>
    <w:rsid w:val="003C4530"/>
    <w:rsid w:val="003C4EA6"/>
    <w:rsid w:val="003C55C5"/>
    <w:rsid w:val="003C55DC"/>
    <w:rsid w:val="003C59E3"/>
    <w:rsid w:val="003C5F54"/>
    <w:rsid w:val="003C6151"/>
    <w:rsid w:val="003C6163"/>
    <w:rsid w:val="003C6299"/>
    <w:rsid w:val="003C636D"/>
    <w:rsid w:val="003C6608"/>
    <w:rsid w:val="003C6737"/>
    <w:rsid w:val="003C6753"/>
    <w:rsid w:val="003C6D4E"/>
    <w:rsid w:val="003C6E9D"/>
    <w:rsid w:val="003C7226"/>
    <w:rsid w:val="003C7781"/>
    <w:rsid w:val="003C77B2"/>
    <w:rsid w:val="003C7A28"/>
    <w:rsid w:val="003C7BC5"/>
    <w:rsid w:val="003C7ECC"/>
    <w:rsid w:val="003D010C"/>
    <w:rsid w:val="003D046A"/>
    <w:rsid w:val="003D0BBC"/>
    <w:rsid w:val="003D0D75"/>
    <w:rsid w:val="003D16DF"/>
    <w:rsid w:val="003D1E00"/>
    <w:rsid w:val="003D250F"/>
    <w:rsid w:val="003D2790"/>
    <w:rsid w:val="003D2B47"/>
    <w:rsid w:val="003D2C06"/>
    <w:rsid w:val="003D2F5F"/>
    <w:rsid w:val="003D3247"/>
    <w:rsid w:val="003D34AC"/>
    <w:rsid w:val="003D3524"/>
    <w:rsid w:val="003D37B2"/>
    <w:rsid w:val="003D3A3C"/>
    <w:rsid w:val="003D3A5F"/>
    <w:rsid w:val="003D3C9A"/>
    <w:rsid w:val="003D3CB4"/>
    <w:rsid w:val="003D3D21"/>
    <w:rsid w:val="003D4156"/>
    <w:rsid w:val="003D42B6"/>
    <w:rsid w:val="003D4670"/>
    <w:rsid w:val="003D481A"/>
    <w:rsid w:val="003D4E0C"/>
    <w:rsid w:val="003D4F39"/>
    <w:rsid w:val="003D51B4"/>
    <w:rsid w:val="003D5757"/>
    <w:rsid w:val="003D57BF"/>
    <w:rsid w:val="003D6283"/>
    <w:rsid w:val="003D62E1"/>
    <w:rsid w:val="003D6E0B"/>
    <w:rsid w:val="003D6F96"/>
    <w:rsid w:val="003D7253"/>
    <w:rsid w:val="003D727F"/>
    <w:rsid w:val="003D73EA"/>
    <w:rsid w:val="003D7414"/>
    <w:rsid w:val="003D761B"/>
    <w:rsid w:val="003D7668"/>
    <w:rsid w:val="003D7735"/>
    <w:rsid w:val="003D7A68"/>
    <w:rsid w:val="003D7A6E"/>
    <w:rsid w:val="003D7B10"/>
    <w:rsid w:val="003D7B44"/>
    <w:rsid w:val="003E0372"/>
    <w:rsid w:val="003E03E2"/>
    <w:rsid w:val="003E0610"/>
    <w:rsid w:val="003E074F"/>
    <w:rsid w:val="003E07BF"/>
    <w:rsid w:val="003E0844"/>
    <w:rsid w:val="003E0FA7"/>
    <w:rsid w:val="003E12A0"/>
    <w:rsid w:val="003E153B"/>
    <w:rsid w:val="003E1D85"/>
    <w:rsid w:val="003E2B7A"/>
    <w:rsid w:val="003E2C08"/>
    <w:rsid w:val="003E2CEF"/>
    <w:rsid w:val="003E2CF2"/>
    <w:rsid w:val="003E2D6D"/>
    <w:rsid w:val="003E2E0A"/>
    <w:rsid w:val="003E2E21"/>
    <w:rsid w:val="003E333E"/>
    <w:rsid w:val="003E347B"/>
    <w:rsid w:val="003E34E2"/>
    <w:rsid w:val="003E35ED"/>
    <w:rsid w:val="003E371E"/>
    <w:rsid w:val="003E39EB"/>
    <w:rsid w:val="003E3A3F"/>
    <w:rsid w:val="003E3E32"/>
    <w:rsid w:val="003E3EBB"/>
    <w:rsid w:val="003E41C6"/>
    <w:rsid w:val="003E4399"/>
    <w:rsid w:val="003E4566"/>
    <w:rsid w:val="003E4A53"/>
    <w:rsid w:val="003E4C5D"/>
    <w:rsid w:val="003E4E31"/>
    <w:rsid w:val="003E4F82"/>
    <w:rsid w:val="003E5044"/>
    <w:rsid w:val="003E5411"/>
    <w:rsid w:val="003E5C8A"/>
    <w:rsid w:val="003E618F"/>
    <w:rsid w:val="003E64B7"/>
    <w:rsid w:val="003E6718"/>
    <w:rsid w:val="003E6775"/>
    <w:rsid w:val="003E69CF"/>
    <w:rsid w:val="003E6DB1"/>
    <w:rsid w:val="003E6F59"/>
    <w:rsid w:val="003E7284"/>
    <w:rsid w:val="003E7747"/>
    <w:rsid w:val="003E7C98"/>
    <w:rsid w:val="003F0056"/>
    <w:rsid w:val="003F0641"/>
    <w:rsid w:val="003F0B45"/>
    <w:rsid w:val="003F0DCA"/>
    <w:rsid w:val="003F1022"/>
    <w:rsid w:val="003F119C"/>
    <w:rsid w:val="003F12C0"/>
    <w:rsid w:val="003F138F"/>
    <w:rsid w:val="003F141C"/>
    <w:rsid w:val="003F14D9"/>
    <w:rsid w:val="003F153C"/>
    <w:rsid w:val="003F179F"/>
    <w:rsid w:val="003F17A0"/>
    <w:rsid w:val="003F1AA7"/>
    <w:rsid w:val="003F1F9D"/>
    <w:rsid w:val="003F21D6"/>
    <w:rsid w:val="003F2281"/>
    <w:rsid w:val="003F22B0"/>
    <w:rsid w:val="003F2458"/>
    <w:rsid w:val="003F26C9"/>
    <w:rsid w:val="003F284A"/>
    <w:rsid w:val="003F2853"/>
    <w:rsid w:val="003F290A"/>
    <w:rsid w:val="003F297B"/>
    <w:rsid w:val="003F2EDE"/>
    <w:rsid w:val="003F3083"/>
    <w:rsid w:val="003F30D5"/>
    <w:rsid w:val="003F33DA"/>
    <w:rsid w:val="003F33E6"/>
    <w:rsid w:val="003F3738"/>
    <w:rsid w:val="003F3764"/>
    <w:rsid w:val="003F3A79"/>
    <w:rsid w:val="003F3BCB"/>
    <w:rsid w:val="003F42E1"/>
    <w:rsid w:val="003F472C"/>
    <w:rsid w:val="003F483F"/>
    <w:rsid w:val="003F4C7F"/>
    <w:rsid w:val="003F4CD6"/>
    <w:rsid w:val="003F556F"/>
    <w:rsid w:val="003F567D"/>
    <w:rsid w:val="003F6341"/>
    <w:rsid w:val="003F643C"/>
    <w:rsid w:val="003F660E"/>
    <w:rsid w:val="003F6644"/>
    <w:rsid w:val="003F670C"/>
    <w:rsid w:val="003F6D8F"/>
    <w:rsid w:val="003F71AB"/>
    <w:rsid w:val="003F73E2"/>
    <w:rsid w:val="003F792E"/>
    <w:rsid w:val="003F79F3"/>
    <w:rsid w:val="003F7CC6"/>
    <w:rsid w:val="004000CC"/>
    <w:rsid w:val="00400641"/>
    <w:rsid w:val="00400776"/>
    <w:rsid w:val="004009FF"/>
    <w:rsid w:val="00400A1D"/>
    <w:rsid w:val="00400BC5"/>
    <w:rsid w:val="00400EDE"/>
    <w:rsid w:val="00401748"/>
    <w:rsid w:val="004022A1"/>
    <w:rsid w:val="00402395"/>
    <w:rsid w:val="00402929"/>
    <w:rsid w:val="00402A23"/>
    <w:rsid w:val="00402F47"/>
    <w:rsid w:val="004033E1"/>
    <w:rsid w:val="00403800"/>
    <w:rsid w:val="004039CB"/>
    <w:rsid w:val="00403CC2"/>
    <w:rsid w:val="00403D62"/>
    <w:rsid w:val="00404E0A"/>
    <w:rsid w:val="00404EE2"/>
    <w:rsid w:val="00405090"/>
    <w:rsid w:val="004050B8"/>
    <w:rsid w:val="00405901"/>
    <w:rsid w:val="0040591E"/>
    <w:rsid w:val="00405B57"/>
    <w:rsid w:val="00405CE0"/>
    <w:rsid w:val="00405CF6"/>
    <w:rsid w:val="00405F55"/>
    <w:rsid w:val="0040671C"/>
    <w:rsid w:val="004067A8"/>
    <w:rsid w:val="00406B16"/>
    <w:rsid w:val="00406E5C"/>
    <w:rsid w:val="00406F73"/>
    <w:rsid w:val="004072C7"/>
    <w:rsid w:val="00407E9A"/>
    <w:rsid w:val="00407FB8"/>
    <w:rsid w:val="00410258"/>
    <w:rsid w:val="004102DB"/>
    <w:rsid w:val="00410319"/>
    <w:rsid w:val="00410553"/>
    <w:rsid w:val="004107E1"/>
    <w:rsid w:val="00410A30"/>
    <w:rsid w:val="00410BB4"/>
    <w:rsid w:val="00410BCA"/>
    <w:rsid w:val="00410BD1"/>
    <w:rsid w:val="00410C07"/>
    <w:rsid w:val="00411012"/>
    <w:rsid w:val="0041146D"/>
    <w:rsid w:val="004119C6"/>
    <w:rsid w:val="00411A73"/>
    <w:rsid w:val="00411D26"/>
    <w:rsid w:val="00411FB6"/>
    <w:rsid w:val="00412030"/>
    <w:rsid w:val="004120BF"/>
    <w:rsid w:val="0041215A"/>
    <w:rsid w:val="004121EC"/>
    <w:rsid w:val="00412218"/>
    <w:rsid w:val="004124FA"/>
    <w:rsid w:val="004125A9"/>
    <w:rsid w:val="00412719"/>
    <w:rsid w:val="004128B2"/>
    <w:rsid w:val="004129FB"/>
    <w:rsid w:val="0041312C"/>
    <w:rsid w:val="00413650"/>
    <w:rsid w:val="00413959"/>
    <w:rsid w:val="00413B3C"/>
    <w:rsid w:val="00413DB1"/>
    <w:rsid w:val="0041401B"/>
    <w:rsid w:val="004140DA"/>
    <w:rsid w:val="004141BE"/>
    <w:rsid w:val="00414387"/>
    <w:rsid w:val="00414B35"/>
    <w:rsid w:val="00414B5D"/>
    <w:rsid w:val="00414CF9"/>
    <w:rsid w:val="00414E6D"/>
    <w:rsid w:val="00414F02"/>
    <w:rsid w:val="00415274"/>
    <w:rsid w:val="00415669"/>
    <w:rsid w:val="00415997"/>
    <w:rsid w:val="00415B51"/>
    <w:rsid w:val="00415C4D"/>
    <w:rsid w:val="00415E69"/>
    <w:rsid w:val="00415F31"/>
    <w:rsid w:val="00415F33"/>
    <w:rsid w:val="00416026"/>
    <w:rsid w:val="00416146"/>
    <w:rsid w:val="004162FF"/>
    <w:rsid w:val="0041632A"/>
    <w:rsid w:val="0041688A"/>
    <w:rsid w:val="0041690B"/>
    <w:rsid w:val="00416E0B"/>
    <w:rsid w:val="00416FC5"/>
    <w:rsid w:val="00417149"/>
    <w:rsid w:val="00417180"/>
    <w:rsid w:val="00417260"/>
    <w:rsid w:val="0041739A"/>
    <w:rsid w:val="004174B5"/>
    <w:rsid w:val="00417608"/>
    <w:rsid w:val="00417701"/>
    <w:rsid w:val="00417870"/>
    <w:rsid w:val="00417F33"/>
    <w:rsid w:val="00417FA7"/>
    <w:rsid w:val="00420488"/>
    <w:rsid w:val="00420516"/>
    <w:rsid w:val="0042051F"/>
    <w:rsid w:val="00420661"/>
    <w:rsid w:val="0042078D"/>
    <w:rsid w:val="0042085E"/>
    <w:rsid w:val="004208FE"/>
    <w:rsid w:val="00420949"/>
    <w:rsid w:val="00420A1C"/>
    <w:rsid w:val="00420A3B"/>
    <w:rsid w:val="00420A54"/>
    <w:rsid w:val="00420EC8"/>
    <w:rsid w:val="00420F37"/>
    <w:rsid w:val="00420F96"/>
    <w:rsid w:val="0042114E"/>
    <w:rsid w:val="004213C9"/>
    <w:rsid w:val="00421843"/>
    <w:rsid w:val="00421BAD"/>
    <w:rsid w:val="00421E5E"/>
    <w:rsid w:val="00421F18"/>
    <w:rsid w:val="00421F8E"/>
    <w:rsid w:val="00423120"/>
    <w:rsid w:val="004231C6"/>
    <w:rsid w:val="0042324F"/>
    <w:rsid w:val="004234BB"/>
    <w:rsid w:val="004234C8"/>
    <w:rsid w:val="0042369B"/>
    <w:rsid w:val="004239B3"/>
    <w:rsid w:val="00424A97"/>
    <w:rsid w:val="00424B28"/>
    <w:rsid w:val="00424DCC"/>
    <w:rsid w:val="00424DE1"/>
    <w:rsid w:val="00424EA2"/>
    <w:rsid w:val="00424F17"/>
    <w:rsid w:val="00424F21"/>
    <w:rsid w:val="004259DE"/>
    <w:rsid w:val="00425CED"/>
    <w:rsid w:val="00426005"/>
    <w:rsid w:val="00426298"/>
    <w:rsid w:val="00426A54"/>
    <w:rsid w:val="00426BCD"/>
    <w:rsid w:val="00426D9D"/>
    <w:rsid w:val="004273CA"/>
    <w:rsid w:val="0042761A"/>
    <w:rsid w:val="00427800"/>
    <w:rsid w:val="00427BE8"/>
    <w:rsid w:val="00427D00"/>
    <w:rsid w:val="00427F3D"/>
    <w:rsid w:val="00430086"/>
    <w:rsid w:val="004300DF"/>
    <w:rsid w:val="004303ED"/>
    <w:rsid w:val="00430494"/>
    <w:rsid w:val="004304AE"/>
    <w:rsid w:val="0043088F"/>
    <w:rsid w:val="00430A7F"/>
    <w:rsid w:val="00430BE9"/>
    <w:rsid w:val="00430E2B"/>
    <w:rsid w:val="00430F0B"/>
    <w:rsid w:val="00430F53"/>
    <w:rsid w:val="0043100D"/>
    <w:rsid w:val="00431075"/>
    <w:rsid w:val="004318AA"/>
    <w:rsid w:val="004318BD"/>
    <w:rsid w:val="00431B33"/>
    <w:rsid w:val="00431D0D"/>
    <w:rsid w:val="00431D34"/>
    <w:rsid w:val="00432147"/>
    <w:rsid w:val="004324D5"/>
    <w:rsid w:val="00432D9E"/>
    <w:rsid w:val="004336FB"/>
    <w:rsid w:val="00433A67"/>
    <w:rsid w:val="00433D92"/>
    <w:rsid w:val="00433F19"/>
    <w:rsid w:val="0043411E"/>
    <w:rsid w:val="0043417D"/>
    <w:rsid w:val="0043423B"/>
    <w:rsid w:val="00434261"/>
    <w:rsid w:val="0043477F"/>
    <w:rsid w:val="00434A92"/>
    <w:rsid w:val="00434B14"/>
    <w:rsid w:val="00434D11"/>
    <w:rsid w:val="00434F97"/>
    <w:rsid w:val="004356E7"/>
    <w:rsid w:val="0043591B"/>
    <w:rsid w:val="00435B13"/>
    <w:rsid w:val="00435D13"/>
    <w:rsid w:val="0043600A"/>
    <w:rsid w:val="00436138"/>
    <w:rsid w:val="004365B0"/>
    <w:rsid w:val="00436BAD"/>
    <w:rsid w:val="00436E72"/>
    <w:rsid w:val="00436E92"/>
    <w:rsid w:val="00437322"/>
    <w:rsid w:val="0043780E"/>
    <w:rsid w:val="004378FE"/>
    <w:rsid w:val="00437AA1"/>
    <w:rsid w:val="00440A64"/>
    <w:rsid w:val="00440A94"/>
    <w:rsid w:val="00440AAC"/>
    <w:rsid w:val="00440C50"/>
    <w:rsid w:val="00440D63"/>
    <w:rsid w:val="00440DF1"/>
    <w:rsid w:val="0044106F"/>
    <w:rsid w:val="0044119D"/>
    <w:rsid w:val="0044129B"/>
    <w:rsid w:val="0044133E"/>
    <w:rsid w:val="0044148D"/>
    <w:rsid w:val="00441878"/>
    <w:rsid w:val="00441A4B"/>
    <w:rsid w:val="00441A7A"/>
    <w:rsid w:val="00441BC9"/>
    <w:rsid w:val="0044216E"/>
    <w:rsid w:val="004421AE"/>
    <w:rsid w:val="0044224C"/>
    <w:rsid w:val="0044240B"/>
    <w:rsid w:val="004428AB"/>
    <w:rsid w:val="00442CAE"/>
    <w:rsid w:val="004432A3"/>
    <w:rsid w:val="004432D6"/>
    <w:rsid w:val="004433C0"/>
    <w:rsid w:val="004435D0"/>
    <w:rsid w:val="004436F8"/>
    <w:rsid w:val="00443A9C"/>
    <w:rsid w:val="00443AAA"/>
    <w:rsid w:val="00443BE2"/>
    <w:rsid w:val="00443C5A"/>
    <w:rsid w:val="00443DBE"/>
    <w:rsid w:val="00443EF1"/>
    <w:rsid w:val="00444211"/>
    <w:rsid w:val="004445ED"/>
    <w:rsid w:val="0044483D"/>
    <w:rsid w:val="00444BE5"/>
    <w:rsid w:val="004450D5"/>
    <w:rsid w:val="00445113"/>
    <w:rsid w:val="004452AB"/>
    <w:rsid w:val="0044590F"/>
    <w:rsid w:val="00445A5D"/>
    <w:rsid w:val="00445BB1"/>
    <w:rsid w:val="00445BC8"/>
    <w:rsid w:val="00445DC7"/>
    <w:rsid w:val="00445EEA"/>
    <w:rsid w:val="00445F6F"/>
    <w:rsid w:val="00446437"/>
    <w:rsid w:val="00446884"/>
    <w:rsid w:val="00446AAE"/>
    <w:rsid w:val="00446B0A"/>
    <w:rsid w:val="00446C85"/>
    <w:rsid w:val="00446EAD"/>
    <w:rsid w:val="00446EF4"/>
    <w:rsid w:val="00446F32"/>
    <w:rsid w:val="0044774F"/>
    <w:rsid w:val="00447C5E"/>
    <w:rsid w:val="00447CB5"/>
    <w:rsid w:val="00447E03"/>
    <w:rsid w:val="00450619"/>
    <w:rsid w:val="00450822"/>
    <w:rsid w:val="00450899"/>
    <w:rsid w:val="00450A3A"/>
    <w:rsid w:val="00450E4D"/>
    <w:rsid w:val="00450F07"/>
    <w:rsid w:val="00451652"/>
    <w:rsid w:val="00451687"/>
    <w:rsid w:val="00451B43"/>
    <w:rsid w:val="00451F1C"/>
    <w:rsid w:val="00451FA9"/>
    <w:rsid w:val="004521FF"/>
    <w:rsid w:val="00452735"/>
    <w:rsid w:val="0045277D"/>
    <w:rsid w:val="00452938"/>
    <w:rsid w:val="00452E79"/>
    <w:rsid w:val="00452ECD"/>
    <w:rsid w:val="00452F78"/>
    <w:rsid w:val="0045332E"/>
    <w:rsid w:val="00453510"/>
    <w:rsid w:val="00453648"/>
    <w:rsid w:val="00453657"/>
    <w:rsid w:val="00453DF7"/>
    <w:rsid w:val="00453FF5"/>
    <w:rsid w:val="00454026"/>
    <w:rsid w:val="004542A3"/>
    <w:rsid w:val="0045471A"/>
    <w:rsid w:val="00454A04"/>
    <w:rsid w:val="00455224"/>
    <w:rsid w:val="0045529F"/>
    <w:rsid w:val="0045582F"/>
    <w:rsid w:val="00455BC2"/>
    <w:rsid w:val="004560FE"/>
    <w:rsid w:val="00456210"/>
    <w:rsid w:val="00456257"/>
    <w:rsid w:val="004562BF"/>
    <w:rsid w:val="00456878"/>
    <w:rsid w:val="00456A07"/>
    <w:rsid w:val="00456A4B"/>
    <w:rsid w:val="00456B0A"/>
    <w:rsid w:val="00456DCC"/>
    <w:rsid w:val="00456E3A"/>
    <w:rsid w:val="00456F26"/>
    <w:rsid w:val="0045736B"/>
    <w:rsid w:val="0045769E"/>
    <w:rsid w:val="004578E0"/>
    <w:rsid w:val="00457E2F"/>
    <w:rsid w:val="00457EDA"/>
    <w:rsid w:val="00457FCD"/>
    <w:rsid w:val="00460155"/>
    <w:rsid w:val="004603CB"/>
    <w:rsid w:val="00460491"/>
    <w:rsid w:val="0046056F"/>
    <w:rsid w:val="00460606"/>
    <w:rsid w:val="004606AB"/>
    <w:rsid w:val="004607B7"/>
    <w:rsid w:val="004611B5"/>
    <w:rsid w:val="00461E1E"/>
    <w:rsid w:val="0046231C"/>
    <w:rsid w:val="00462675"/>
    <w:rsid w:val="004627AE"/>
    <w:rsid w:val="00462A33"/>
    <w:rsid w:val="00462DAD"/>
    <w:rsid w:val="00462E80"/>
    <w:rsid w:val="00463008"/>
    <w:rsid w:val="00463222"/>
    <w:rsid w:val="00463694"/>
    <w:rsid w:val="004636CF"/>
    <w:rsid w:val="004638D0"/>
    <w:rsid w:val="00463C63"/>
    <w:rsid w:val="00463CAC"/>
    <w:rsid w:val="00463ED3"/>
    <w:rsid w:val="0046404E"/>
    <w:rsid w:val="00464371"/>
    <w:rsid w:val="004644FE"/>
    <w:rsid w:val="00464C46"/>
    <w:rsid w:val="00464CD7"/>
    <w:rsid w:val="004653BF"/>
    <w:rsid w:val="00465438"/>
    <w:rsid w:val="004654E9"/>
    <w:rsid w:val="004655DA"/>
    <w:rsid w:val="00465647"/>
    <w:rsid w:val="004656AE"/>
    <w:rsid w:val="00465C3F"/>
    <w:rsid w:val="00465EDA"/>
    <w:rsid w:val="00465EE4"/>
    <w:rsid w:val="00466562"/>
    <w:rsid w:val="00466870"/>
    <w:rsid w:val="00466C12"/>
    <w:rsid w:val="00466C1C"/>
    <w:rsid w:val="00466DFF"/>
    <w:rsid w:val="00466F95"/>
    <w:rsid w:val="00467082"/>
    <w:rsid w:val="00467BA9"/>
    <w:rsid w:val="00467C6C"/>
    <w:rsid w:val="00467EC9"/>
    <w:rsid w:val="00470038"/>
    <w:rsid w:val="00470084"/>
    <w:rsid w:val="004704E6"/>
    <w:rsid w:val="004708DF"/>
    <w:rsid w:val="004708F1"/>
    <w:rsid w:val="004709B1"/>
    <w:rsid w:val="00470CAE"/>
    <w:rsid w:val="00470CAF"/>
    <w:rsid w:val="00470D3B"/>
    <w:rsid w:val="00470D8C"/>
    <w:rsid w:val="00471974"/>
    <w:rsid w:val="00471C32"/>
    <w:rsid w:val="00471EC3"/>
    <w:rsid w:val="0047220F"/>
    <w:rsid w:val="00472432"/>
    <w:rsid w:val="00472709"/>
    <w:rsid w:val="00472973"/>
    <w:rsid w:val="00473028"/>
    <w:rsid w:val="004734EA"/>
    <w:rsid w:val="0047392F"/>
    <w:rsid w:val="004739F5"/>
    <w:rsid w:val="00473BD6"/>
    <w:rsid w:val="00473BE9"/>
    <w:rsid w:val="00473D79"/>
    <w:rsid w:val="00473DCE"/>
    <w:rsid w:val="00473FFA"/>
    <w:rsid w:val="00474268"/>
    <w:rsid w:val="004744C0"/>
    <w:rsid w:val="004749C2"/>
    <w:rsid w:val="00474CFE"/>
    <w:rsid w:val="004752D1"/>
    <w:rsid w:val="004753A6"/>
    <w:rsid w:val="0047566A"/>
    <w:rsid w:val="00475BB1"/>
    <w:rsid w:val="00475E15"/>
    <w:rsid w:val="00476746"/>
    <w:rsid w:val="00476755"/>
    <w:rsid w:val="00476879"/>
    <w:rsid w:val="004768B2"/>
    <w:rsid w:val="00476961"/>
    <w:rsid w:val="00476B34"/>
    <w:rsid w:val="00476BB2"/>
    <w:rsid w:val="004772F5"/>
    <w:rsid w:val="004772FB"/>
    <w:rsid w:val="0047797B"/>
    <w:rsid w:val="004779B1"/>
    <w:rsid w:val="00477B2C"/>
    <w:rsid w:val="00477BCB"/>
    <w:rsid w:val="00477BF2"/>
    <w:rsid w:val="00477DCD"/>
    <w:rsid w:val="00477F41"/>
    <w:rsid w:val="0048018C"/>
    <w:rsid w:val="004803F1"/>
    <w:rsid w:val="004804B1"/>
    <w:rsid w:val="004804B3"/>
    <w:rsid w:val="00480DDC"/>
    <w:rsid w:val="00480F56"/>
    <w:rsid w:val="00480FDE"/>
    <w:rsid w:val="0048118C"/>
    <w:rsid w:val="0048125A"/>
    <w:rsid w:val="00481B93"/>
    <w:rsid w:val="00481C03"/>
    <w:rsid w:val="00481DB5"/>
    <w:rsid w:val="00481F59"/>
    <w:rsid w:val="00482528"/>
    <w:rsid w:val="004825F3"/>
    <w:rsid w:val="00482A0A"/>
    <w:rsid w:val="00482B77"/>
    <w:rsid w:val="00482C34"/>
    <w:rsid w:val="00482E87"/>
    <w:rsid w:val="00482F4A"/>
    <w:rsid w:val="004832C9"/>
    <w:rsid w:val="004833BA"/>
    <w:rsid w:val="00483625"/>
    <w:rsid w:val="004837DB"/>
    <w:rsid w:val="0048381F"/>
    <w:rsid w:val="00483A38"/>
    <w:rsid w:val="00483B4C"/>
    <w:rsid w:val="00483B60"/>
    <w:rsid w:val="00483BD7"/>
    <w:rsid w:val="004842DD"/>
    <w:rsid w:val="00484487"/>
    <w:rsid w:val="004846B6"/>
    <w:rsid w:val="00484867"/>
    <w:rsid w:val="004848EB"/>
    <w:rsid w:val="00484908"/>
    <w:rsid w:val="00484A3B"/>
    <w:rsid w:val="00484B44"/>
    <w:rsid w:val="00484BCA"/>
    <w:rsid w:val="00484C5C"/>
    <w:rsid w:val="00484D75"/>
    <w:rsid w:val="00484F3E"/>
    <w:rsid w:val="00484F59"/>
    <w:rsid w:val="00485004"/>
    <w:rsid w:val="004854DF"/>
    <w:rsid w:val="00485D1E"/>
    <w:rsid w:val="00486214"/>
    <w:rsid w:val="00486288"/>
    <w:rsid w:val="004862F1"/>
    <w:rsid w:val="004866EC"/>
    <w:rsid w:val="00486762"/>
    <w:rsid w:val="0048682A"/>
    <w:rsid w:val="00486E8B"/>
    <w:rsid w:val="004872BE"/>
    <w:rsid w:val="004873A5"/>
    <w:rsid w:val="00487498"/>
    <w:rsid w:val="00487667"/>
    <w:rsid w:val="004878DF"/>
    <w:rsid w:val="00487BBA"/>
    <w:rsid w:val="00487FFD"/>
    <w:rsid w:val="00490379"/>
    <w:rsid w:val="00490478"/>
    <w:rsid w:val="004904AE"/>
    <w:rsid w:val="004904B8"/>
    <w:rsid w:val="00490786"/>
    <w:rsid w:val="0049081B"/>
    <w:rsid w:val="004908C2"/>
    <w:rsid w:val="004908F2"/>
    <w:rsid w:val="00490E84"/>
    <w:rsid w:val="004913D8"/>
    <w:rsid w:val="00491602"/>
    <w:rsid w:val="0049177E"/>
    <w:rsid w:val="0049191F"/>
    <w:rsid w:val="00491943"/>
    <w:rsid w:val="00491D21"/>
    <w:rsid w:val="00491D63"/>
    <w:rsid w:val="00491DC7"/>
    <w:rsid w:val="00492042"/>
    <w:rsid w:val="0049245C"/>
    <w:rsid w:val="004927E2"/>
    <w:rsid w:val="0049289D"/>
    <w:rsid w:val="00492B90"/>
    <w:rsid w:val="0049368C"/>
    <w:rsid w:val="0049376D"/>
    <w:rsid w:val="00493BA6"/>
    <w:rsid w:val="00493BED"/>
    <w:rsid w:val="0049410D"/>
    <w:rsid w:val="00494141"/>
    <w:rsid w:val="00494215"/>
    <w:rsid w:val="00494317"/>
    <w:rsid w:val="00494659"/>
    <w:rsid w:val="00495555"/>
    <w:rsid w:val="004955AB"/>
    <w:rsid w:val="00495771"/>
    <w:rsid w:val="00495B19"/>
    <w:rsid w:val="00495B37"/>
    <w:rsid w:val="00495DC3"/>
    <w:rsid w:val="00495F8D"/>
    <w:rsid w:val="004967A8"/>
    <w:rsid w:val="004967EC"/>
    <w:rsid w:val="00496D27"/>
    <w:rsid w:val="00496DB7"/>
    <w:rsid w:val="00496DC3"/>
    <w:rsid w:val="00496EE5"/>
    <w:rsid w:val="00497239"/>
    <w:rsid w:val="004972A6"/>
    <w:rsid w:val="004972B5"/>
    <w:rsid w:val="00497610"/>
    <w:rsid w:val="004979CC"/>
    <w:rsid w:val="00497CBE"/>
    <w:rsid w:val="00497FC7"/>
    <w:rsid w:val="004A0233"/>
    <w:rsid w:val="004A06BC"/>
    <w:rsid w:val="004A07E4"/>
    <w:rsid w:val="004A0D98"/>
    <w:rsid w:val="004A1302"/>
    <w:rsid w:val="004A1305"/>
    <w:rsid w:val="004A17C6"/>
    <w:rsid w:val="004A1D17"/>
    <w:rsid w:val="004A1E3D"/>
    <w:rsid w:val="004A1F2B"/>
    <w:rsid w:val="004A2B74"/>
    <w:rsid w:val="004A2E0E"/>
    <w:rsid w:val="004A307F"/>
    <w:rsid w:val="004A3121"/>
    <w:rsid w:val="004A31A8"/>
    <w:rsid w:val="004A33A4"/>
    <w:rsid w:val="004A3410"/>
    <w:rsid w:val="004A3A25"/>
    <w:rsid w:val="004A3DF1"/>
    <w:rsid w:val="004A417E"/>
    <w:rsid w:val="004A41C3"/>
    <w:rsid w:val="004A427D"/>
    <w:rsid w:val="004A4488"/>
    <w:rsid w:val="004A457D"/>
    <w:rsid w:val="004A4605"/>
    <w:rsid w:val="004A479F"/>
    <w:rsid w:val="004A4852"/>
    <w:rsid w:val="004A4C26"/>
    <w:rsid w:val="004A4D7A"/>
    <w:rsid w:val="004A4F5F"/>
    <w:rsid w:val="004A5001"/>
    <w:rsid w:val="004A5060"/>
    <w:rsid w:val="004A51A4"/>
    <w:rsid w:val="004A5309"/>
    <w:rsid w:val="004A5406"/>
    <w:rsid w:val="004A54E7"/>
    <w:rsid w:val="004A5AC4"/>
    <w:rsid w:val="004A5B83"/>
    <w:rsid w:val="004A5CFF"/>
    <w:rsid w:val="004A5E40"/>
    <w:rsid w:val="004A5E49"/>
    <w:rsid w:val="004A6032"/>
    <w:rsid w:val="004A6097"/>
    <w:rsid w:val="004A6223"/>
    <w:rsid w:val="004A6406"/>
    <w:rsid w:val="004A694D"/>
    <w:rsid w:val="004A6B91"/>
    <w:rsid w:val="004A6BAC"/>
    <w:rsid w:val="004A6EBC"/>
    <w:rsid w:val="004A71A6"/>
    <w:rsid w:val="004A72E6"/>
    <w:rsid w:val="004A77C0"/>
    <w:rsid w:val="004A7C71"/>
    <w:rsid w:val="004A7E07"/>
    <w:rsid w:val="004A7E3F"/>
    <w:rsid w:val="004A7FF2"/>
    <w:rsid w:val="004B0173"/>
    <w:rsid w:val="004B019D"/>
    <w:rsid w:val="004B03AD"/>
    <w:rsid w:val="004B0400"/>
    <w:rsid w:val="004B0553"/>
    <w:rsid w:val="004B08E9"/>
    <w:rsid w:val="004B0A2D"/>
    <w:rsid w:val="004B0A7B"/>
    <w:rsid w:val="004B0ACB"/>
    <w:rsid w:val="004B0B16"/>
    <w:rsid w:val="004B0E3F"/>
    <w:rsid w:val="004B0E61"/>
    <w:rsid w:val="004B10E5"/>
    <w:rsid w:val="004B112E"/>
    <w:rsid w:val="004B134F"/>
    <w:rsid w:val="004B153D"/>
    <w:rsid w:val="004B1A4E"/>
    <w:rsid w:val="004B1B25"/>
    <w:rsid w:val="004B1DD9"/>
    <w:rsid w:val="004B224A"/>
    <w:rsid w:val="004B26A5"/>
    <w:rsid w:val="004B2786"/>
    <w:rsid w:val="004B2788"/>
    <w:rsid w:val="004B2B8C"/>
    <w:rsid w:val="004B3047"/>
    <w:rsid w:val="004B32DA"/>
    <w:rsid w:val="004B32FF"/>
    <w:rsid w:val="004B34EE"/>
    <w:rsid w:val="004B3687"/>
    <w:rsid w:val="004B389A"/>
    <w:rsid w:val="004B3B3D"/>
    <w:rsid w:val="004B3EAB"/>
    <w:rsid w:val="004B3FF2"/>
    <w:rsid w:val="004B4297"/>
    <w:rsid w:val="004B438D"/>
    <w:rsid w:val="004B448B"/>
    <w:rsid w:val="004B475D"/>
    <w:rsid w:val="004B4A97"/>
    <w:rsid w:val="004B4C3B"/>
    <w:rsid w:val="004B4DA7"/>
    <w:rsid w:val="004B4E4A"/>
    <w:rsid w:val="004B4F08"/>
    <w:rsid w:val="004B65A8"/>
    <w:rsid w:val="004B6A8F"/>
    <w:rsid w:val="004B6B77"/>
    <w:rsid w:val="004B700C"/>
    <w:rsid w:val="004B7173"/>
    <w:rsid w:val="004B7240"/>
    <w:rsid w:val="004B7AB0"/>
    <w:rsid w:val="004B7DDB"/>
    <w:rsid w:val="004C0147"/>
    <w:rsid w:val="004C021F"/>
    <w:rsid w:val="004C04D4"/>
    <w:rsid w:val="004C0D27"/>
    <w:rsid w:val="004C114D"/>
    <w:rsid w:val="004C1F43"/>
    <w:rsid w:val="004C2343"/>
    <w:rsid w:val="004C2585"/>
    <w:rsid w:val="004C2626"/>
    <w:rsid w:val="004C2733"/>
    <w:rsid w:val="004C2AFD"/>
    <w:rsid w:val="004C3299"/>
    <w:rsid w:val="004C32E3"/>
    <w:rsid w:val="004C3628"/>
    <w:rsid w:val="004C39F7"/>
    <w:rsid w:val="004C3DB9"/>
    <w:rsid w:val="004C44C4"/>
    <w:rsid w:val="004C45E3"/>
    <w:rsid w:val="004C4652"/>
    <w:rsid w:val="004C4946"/>
    <w:rsid w:val="004C4DBB"/>
    <w:rsid w:val="004C4EE5"/>
    <w:rsid w:val="004C4F00"/>
    <w:rsid w:val="004C5297"/>
    <w:rsid w:val="004C52BB"/>
    <w:rsid w:val="004C5366"/>
    <w:rsid w:val="004C5380"/>
    <w:rsid w:val="004C53A8"/>
    <w:rsid w:val="004C54E1"/>
    <w:rsid w:val="004C5AA1"/>
    <w:rsid w:val="004C5C99"/>
    <w:rsid w:val="004C5D16"/>
    <w:rsid w:val="004C5D7C"/>
    <w:rsid w:val="004C5DC8"/>
    <w:rsid w:val="004C5FF7"/>
    <w:rsid w:val="004C67CD"/>
    <w:rsid w:val="004C69BE"/>
    <w:rsid w:val="004C709F"/>
    <w:rsid w:val="004C7577"/>
    <w:rsid w:val="004C779B"/>
    <w:rsid w:val="004C7815"/>
    <w:rsid w:val="004C7D53"/>
    <w:rsid w:val="004D0028"/>
    <w:rsid w:val="004D0387"/>
    <w:rsid w:val="004D0A63"/>
    <w:rsid w:val="004D0C2B"/>
    <w:rsid w:val="004D0D88"/>
    <w:rsid w:val="004D0F47"/>
    <w:rsid w:val="004D136F"/>
    <w:rsid w:val="004D145E"/>
    <w:rsid w:val="004D154E"/>
    <w:rsid w:val="004D17BF"/>
    <w:rsid w:val="004D1BB5"/>
    <w:rsid w:val="004D1D10"/>
    <w:rsid w:val="004D1D4E"/>
    <w:rsid w:val="004D1F29"/>
    <w:rsid w:val="004D1FF0"/>
    <w:rsid w:val="004D2063"/>
    <w:rsid w:val="004D2248"/>
    <w:rsid w:val="004D23B4"/>
    <w:rsid w:val="004D2513"/>
    <w:rsid w:val="004D2550"/>
    <w:rsid w:val="004D27EC"/>
    <w:rsid w:val="004D2DAE"/>
    <w:rsid w:val="004D2DCE"/>
    <w:rsid w:val="004D2F3C"/>
    <w:rsid w:val="004D3DB5"/>
    <w:rsid w:val="004D3EC4"/>
    <w:rsid w:val="004D3F94"/>
    <w:rsid w:val="004D4045"/>
    <w:rsid w:val="004D4059"/>
    <w:rsid w:val="004D40D2"/>
    <w:rsid w:val="004D4125"/>
    <w:rsid w:val="004D419A"/>
    <w:rsid w:val="004D4204"/>
    <w:rsid w:val="004D432E"/>
    <w:rsid w:val="004D490A"/>
    <w:rsid w:val="004D49C8"/>
    <w:rsid w:val="004D4BE2"/>
    <w:rsid w:val="004D4C51"/>
    <w:rsid w:val="004D4DBE"/>
    <w:rsid w:val="004D4E30"/>
    <w:rsid w:val="004D4E64"/>
    <w:rsid w:val="004D5051"/>
    <w:rsid w:val="004D5274"/>
    <w:rsid w:val="004D52C4"/>
    <w:rsid w:val="004D5580"/>
    <w:rsid w:val="004D5603"/>
    <w:rsid w:val="004D5A24"/>
    <w:rsid w:val="004D5E0A"/>
    <w:rsid w:val="004D5F27"/>
    <w:rsid w:val="004D607D"/>
    <w:rsid w:val="004D63A9"/>
    <w:rsid w:val="004D6414"/>
    <w:rsid w:val="004D644E"/>
    <w:rsid w:val="004D653C"/>
    <w:rsid w:val="004D6D96"/>
    <w:rsid w:val="004D6F22"/>
    <w:rsid w:val="004D7086"/>
    <w:rsid w:val="004D7180"/>
    <w:rsid w:val="004D7621"/>
    <w:rsid w:val="004D7AA0"/>
    <w:rsid w:val="004D7DDD"/>
    <w:rsid w:val="004E043F"/>
    <w:rsid w:val="004E0602"/>
    <w:rsid w:val="004E0604"/>
    <w:rsid w:val="004E0BE0"/>
    <w:rsid w:val="004E0CB5"/>
    <w:rsid w:val="004E0DAB"/>
    <w:rsid w:val="004E11D6"/>
    <w:rsid w:val="004E1475"/>
    <w:rsid w:val="004E1535"/>
    <w:rsid w:val="004E1829"/>
    <w:rsid w:val="004E1E4E"/>
    <w:rsid w:val="004E1F12"/>
    <w:rsid w:val="004E21CC"/>
    <w:rsid w:val="004E21D3"/>
    <w:rsid w:val="004E23BF"/>
    <w:rsid w:val="004E24C1"/>
    <w:rsid w:val="004E2C59"/>
    <w:rsid w:val="004E2E1C"/>
    <w:rsid w:val="004E2F0F"/>
    <w:rsid w:val="004E3030"/>
    <w:rsid w:val="004E3129"/>
    <w:rsid w:val="004E3460"/>
    <w:rsid w:val="004E37E0"/>
    <w:rsid w:val="004E3B58"/>
    <w:rsid w:val="004E3C4C"/>
    <w:rsid w:val="004E3FAF"/>
    <w:rsid w:val="004E463F"/>
    <w:rsid w:val="004E489A"/>
    <w:rsid w:val="004E4B93"/>
    <w:rsid w:val="004E4BF7"/>
    <w:rsid w:val="004E4D46"/>
    <w:rsid w:val="004E4D4D"/>
    <w:rsid w:val="004E4D54"/>
    <w:rsid w:val="004E4E10"/>
    <w:rsid w:val="004E4EDF"/>
    <w:rsid w:val="004E55E4"/>
    <w:rsid w:val="004E5C03"/>
    <w:rsid w:val="004E5DA9"/>
    <w:rsid w:val="004E64BA"/>
    <w:rsid w:val="004E6633"/>
    <w:rsid w:val="004E6ED1"/>
    <w:rsid w:val="004E6F42"/>
    <w:rsid w:val="004E70AD"/>
    <w:rsid w:val="004E75D8"/>
    <w:rsid w:val="004E76F4"/>
    <w:rsid w:val="004E7C27"/>
    <w:rsid w:val="004E7C66"/>
    <w:rsid w:val="004E7D13"/>
    <w:rsid w:val="004E7DD6"/>
    <w:rsid w:val="004E7E57"/>
    <w:rsid w:val="004E7FCD"/>
    <w:rsid w:val="004F0190"/>
    <w:rsid w:val="004F05A3"/>
    <w:rsid w:val="004F07E7"/>
    <w:rsid w:val="004F0919"/>
    <w:rsid w:val="004F0972"/>
    <w:rsid w:val="004F09DA"/>
    <w:rsid w:val="004F0BB3"/>
    <w:rsid w:val="004F0CE7"/>
    <w:rsid w:val="004F1146"/>
    <w:rsid w:val="004F13C7"/>
    <w:rsid w:val="004F16AE"/>
    <w:rsid w:val="004F1A8A"/>
    <w:rsid w:val="004F1C21"/>
    <w:rsid w:val="004F1C27"/>
    <w:rsid w:val="004F1D54"/>
    <w:rsid w:val="004F2019"/>
    <w:rsid w:val="004F2184"/>
    <w:rsid w:val="004F24AA"/>
    <w:rsid w:val="004F2530"/>
    <w:rsid w:val="004F27BB"/>
    <w:rsid w:val="004F2928"/>
    <w:rsid w:val="004F2B51"/>
    <w:rsid w:val="004F2C3F"/>
    <w:rsid w:val="004F2D37"/>
    <w:rsid w:val="004F312B"/>
    <w:rsid w:val="004F3335"/>
    <w:rsid w:val="004F34A7"/>
    <w:rsid w:val="004F352E"/>
    <w:rsid w:val="004F369D"/>
    <w:rsid w:val="004F36DF"/>
    <w:rsid w:val="004F3CEB"/>
    <w:rsid w:val="004F3ECC"/>
    <w:rsid w:val="004F3FA6"/>
    <w:rsid w:val="004F418F"/>
    <w:rsid w:val="004F4329"/>
    <w:rsid w:val="004F4E0A"/>
    <w:rsid w:val="004F5096"/>
    <w:rsid w:val="004F51CA"/>
    <w:rsid w:val="004F5416"/>
    <w:rsid w:val="004F54CD"/>
    <w:rsid w:val="004F551E"/>
    <w:rsid w:val="004F56FE"/>
    <w:rsid w:val="004F5BBB"/>
    <w:rsid w:val="004F5DE7"/>
    <w:rsid w:val="004F5F40"/>
    <w:rsid w:val="004F62BB"/>
    <w:rsid w:val="004F642C"/>
    <w:rsid w:val="004F6454"/>
    <w:rsid w:val="004F649F"/>
    <w:rsid w:val="004F6531"/>
    <w:rsid w:val="004F6AED"/>
    <w:rsid w:val="004F6B3F"/>
    <w:rsid w:val="004F6BA1"/>
    <w:rsid w:val="004F6C35"/>
    <w:rsid w:val="004F70BF"/>
    <w:rsid w:val="004F7109"/>
    <w:rsid w:val="004F73B5"/>
    <w:rsid w:val="004F7957"/>
    <w:rsid w:val="004F7B0D"/>
    <w:rsid w:val="004F7E4C"/>
    <w:rsid w:val="004F7EFB"/>
    <w:rsid w:val="00500103"/>
    <w:rsid w:val="005008C5"/>
    <w:rsid w:val="00500ACD"/>
    <w:rsid w:val="00500B08"/>
    <w:rsid w:val="00500B8B"/>
    <w:rsid w:val="00500FA3"/>
    <w:rsid w:val="0050132D"/>
    <w:rsid w:val="00501502"/>
    <w:rsid w:val="005018D8"/>
    <w:rsid w:val="00501A1D"/>
    <w:rsid w:val="005022B6"/>
    <w:rsid w:val="00502350"/>
    <w:rsid w:val="0050262C"/>
    <w:rsid w:val="005029F8"/>
    <w:rsid w:val="00502C2A"/>
    <w:rsid w:val="00502E8C"/>
    <w:rsid w:val="00503664"/>
    <w:rsid w:val="00503777"/>
    <w:rsid w:val="0050379B"/>
    <w:rsid w:val="005038AD"/>
    <w:rsid w:val="00503FF6"/>
    <w:rsid w:val="00504137"/>
    <w:rsid w:val="005044EE"/>
    <w:rsid w:val="005047BA"/>
    <w:rsid w:val="0050486A"/>
    <w:rsid w:val="00504900"/>
    <w:rsid w:val="00504A34"/>
    <w:rsid w:val="00504F0D"/>
    <w:rsid w:val="005053A2"/>
    <w:rsid w:val="0050541F"/>
    <w:rsid w:val="0050550C"/>
    <w:rsid w:val="005055BE"/>
    <w:rsid w:val="00505ACA"/>
    <w:rsid w:val="0050646E"/>
    <w:rsid w:val="005067BB"/>
    <w:rsid w:val="00506C1A"/>
    <w:rsid w:val="00506E69"/>
    <w:rsid w:val="005072B6"/>
    <w:rsid w:val="00507325"/>
    <w:rsid w:val="0050753B"/>
    <w:rsid w:val="005075F0"/>
    <w:rsid w:val="00507718"/>
    <w:rsid w:val="005077BC"/>
    <w:rsid w:val="005079E7"/>
    <w:rsid w:val="00507C4E"/>
    <w:rsid w:val="00507C51"/>
    <w:rsid w:val="00507CFF"/>
    <w:rsid w:val="00507D33"/>
    <w:rsid w:val="0051060D"/>
    <w:rsid w:val="005109BB"/>
    <w:rsid w:val="00511139"/>
    <w:rsid w:val="00511148"/>
    <w:rsid w:val="00511A58"/>
    <w:rsid w:val="00511A88"/>
    <w:rsid w:val="00511D40"/>
    <w:rsid w:val="00511D94"/>
    <w:rsid w:val="0051256D"/>
    <w:rsid w:val="005128EF"/>
    <w:rsid w:val="00512970"/>
    <w:rsid w:val="00513093"/>
    <w:rsid w:val="00513253"/>
    <w:rsid w:val="0051379C"/>
    <w:rsid w:val="005137EC"/>
    <w:rsid w:val="00513A36"/>
    <w:rsid w:val="00513A54"/>
    <w:rsid w:val="00513C34"/>
    <w:rsid w:val="00513DF9"/>
    <w:rsid w:val="0051432D"/>
    <w:rsid w:val="005148BF"/>
    <w:rsid w:val="00514C57"/>
    <w:rsid w:val="00514D41"/>
    <w:rsid w:val="00514F65"/>
    <w:rsid w:val="00515172"/>
    <w:rsid w:val="005155BE"/>
    <w:rsid w:val="00515F60"/>
    <w:rsid w:val="0051602C"/>
    <w:rsid w:val="0051621B"/>
    <w:rsid w:val="005164F7"/>
    <w:rsid w:val="00516519"/>
    <w:rsid w:val="0051658D"/>
    <w:rsid w:val="00516590"/>
    <w:rsid w:val="005167DF"/>
    <w:rsid w:val="00516A87"/>
    <w:rsid w:val="00516A9B"/>
    <w:rsid w:val="00516FB0"/>
    <w:rsid w:val="0051706D"/>
    <w:rsid w:val="005170CA"/>
    <w:rsid w:val="0051711F"/>
    <w:rsid w:val="00517366"/>
    <w:rsid w:val="00517542"/>
    <w:rsid w:val="00517554"/>
    <w:rsid w:val="00517742"/>
    <w:rsid w:val="005178DF"/>
    <w:rsid w:val="00517BA4"/>
    <w:rsid w:val="00517F01"/>
    <w:rsid w:val="005204BA"/>
    <w:rsid w:val="005205A0"/>
    <w:rsid w:val="0052063F"/>
    <w:rsid w:val="00520749"/>
    <w:rsid w:val="00520A47"/>
    <w:rsid w:val="00520FC7"/>
    <w:rsid w:val="00521058"/>
    <w:rsid w:val="005214AF"/>
    <w:rsid w:val="005218E2"/>
    <w:rsid w:val="00521D6E"/>
    <w:rsid w:val="00522418"/>
    <w:rsid w:val="005226C6"/>
    <w:rsid w:val="00522833"/>
    <w:rsid w:val="00522923"/>
    <w:rsid w:val="00522B13"/>
    <w:rsid w:val="00522C6F"/>
    <w:rsid w:val="005231FC"/>
    <w:rsid w:val="0052333B"/>
    <w:rsid w:val="00523403"/>
    <w:rsid w:val="0052344B"/>
    <w:rsid w:val="00523480"/>
    <w:rsid w:val="0052354F"/>
    <w:rsid w:val="00523DE1"/>
    <w:rsid w:val="005241EE"/>
    <w:rsid w:val="005243AA"/>
    <w:rsid w:val="0052444A"/>
    <w:rsid w:val="005247E5"/>
    <w:rsid w:val="00524DFC"/>
    <w:rsid w:val="00524EA4"/>
    <w:rsid w:val="0052509C"/>
    <w:rsid w:val="0052516F"/>
    <w:rsid w:val="0052524E"/>
    <w:rsid w:val="005252CC"/>
    <w:rsid w:val="00525483"/>
    <w:rsid w:val="0052570C"/>
    <w:rsid w:val="005258CC"/>
    <w:rsid w:val="005259FC"/>
    <w:rsid w:val="00525ADE"/>
    <w:rsid w:val="00525B15"/>
    <w:rsid w:val="00525B24"/>
    <w:rsid w:val="00525B92"/>
    <w:rsid w:val="00525CEC"/>
    <w:rsid w:val="00525F0D"/>
    <w:rsid w:val="00526194"/>
    <w:rsid w:val="00526290"/>
    <w:rsid w:val="005264B1"/>
    <w:rsid w:val="005266C6"/>
    <w:rsid w:val="005267E1"/>
    <w:rsid w:val="005269F7"/>
    <w:rsid w:val="00526B12"/>
    <w:rsid w:val="00527152"/>
    <w:rsid w:val="005273E7"/>
    <w:rsid w:val="0052786B"/>
    <w:rsid w:val="00530111"/>
    <w:rsid w:val="00530121"/>
    <w:rsid w:val="005301BC"/>
    <w:rsid w:val="00530598"/>
    <w:rsid w:val="005309EA"/>
    <w:rsid w:val="00530F08"/>
    <w:rsid w:val="00530F34"/>
    <w:rsid w:val="00531166"/>
    <w:rsid w:val="005314AA"/>
    <w:rsid w:val="00531672"/>
    <w:rsid w:val="00531B85"/>
    <w:rsid w:val="00531DE0"/>
    <w:rsid w:val="00531E58"/>
    <w:rsid w:val="00531FE8"/>
    <w:rsid w:val="0053204C"/>
    <w:rsid w:val="005323CD"/>
    <w:rsid w:val="0053244C"/>
    <w:rsid w:val="005325E4"/>
    <w:rsid w:val="005327F6"/>
    <w:rsid w:val="005327F8"/>
    <w:rsid w:val="00532827"/>
    <w:rsid w:val="0053283C"/>
    <w:rsid w:val="00532B25"/>
    <w:rsid w:val="00532CCE"/>
    <w:rsid w:val="00532CF8"/>
    <w:rsid w:val="005333F4"/>
    <w:rsid w:val="00533717"/>
    <w:rsid w:val="005337B2"/>
    <w:rsid w:val="005339CA"/>
    <w:rsid w:val="00533B93"/>
    <w:rsid w:val="00533BD3"/>
    <w:rsid w:val="00533E95"/>
    <w:rsid w:val="00533F37"/>
    <w:rsid w:val="00533F9B"/>
    <w:rsid w:val="005343D0"/>
    <w:rsid w:val="00534551"/>
    <w:rsid w:val="005345E7"/>
    <w:rsid w:val="00534B25"/>
    <w:rsid w:val="00534B4A"/>
    <w:rsid w:val="00534C0B"/>
    <w:rsid w:val="00534C57"/>
    <w:rsid w:val="00535585"/>
    <w:rsid w:val="00535700"/>
    <w:rsid w:val="005358BF"/>
    <w:rsid w:val="00535B8C"/>
    <w:rsid w:val="00535F9C"/>
    <w:rsid w:val="0053632F"/>
    <w:rsid w:val="005364CD"/>
    <w:rsid w:val="00536619"/>
    <w:rsid w:val="005369A5"/>
    <w:rsid w:val="005369A8"/>
    <w:rsid w:val="00536AFB"/>
    <w:rsid w:val="00536BE3"/>
    <w:rsid w:val="00536E05"/>
    <w:rsid w:val="00536EDF"/>
    <w:rsid w:val="00537C31"/>
    <w:rsid w:val="00540405"/>
    <w:rsid w:val="005404A5"/>
    <w:rsid w:val="005405EC"/>
    <w:rsid w:val="00540E67"/>
    <w:rsid w:val="00540E6B"/>
    <w:rsid w:val="00540EA9"/>
    <w:rsid w:val="005412F5"/>
    <w:rsid w:val="00541367"/>
    <w:rsid w:val="0054196C"/>
    <w:rsid w:val="005419C7"/>
    <w:rsid w:val="00541B3E"/>
    <w:rsid w:val="00541C3E"/>
    <w:rsid w:val="00541F4F"/>
    <w:rsid w:val="0054200E"/>
    <w:rsid w:val="00542060"/>
    <w:rsid w:val="005423F6"/>
    <w:rsid w:val="0054267F"/>
    <w:rsid w:val="00542725"/>
    <w:rsid w:val="005427FB"/>
    <w:rsid w:val="00542C4E"/>
    <w:rsid w:val="005430B9"/>
    <w:rsid w:val="005430DD"/>
    <w:rsid w:val="005432BD"/>
    <w:rsid w:val="0054359B"/>
    <w:rsid w:val="005437A4"/>
    <w:rsid w:val="005439E3"/>
    <w:rsid w:val="00543A28"/>
    <w:rsid w:val="00543A58"/>
    <w:rsid w:val="00543D54"/>
    <w:rsid w:val="00543D67"/>
    <w:rsid w:val="00543F70"/>
    <w:rsid w:val="00543FE3"/>
    <w:rsid w:val="005444FF"/>
    <w:rsid w:val="00544692"/>
    <w:rsid w:val="00544906"/>
    <w:rsid w:val="00544921"/>
    <w:rsid w:val="00544C74"/>
    <w:rsid w:val="005452A1"/>
    <w:rsid w:val="00545351"/>
    <w:rsid w:val="005453F5"/>
    <w:rsid w:val="0054563D"/>
    <w:rsid w:val="0054567C"/>
    <w:rsid w:val="00545CA9"/>
    <w:rsid w:val="00545DE0"/>
    <w:rsid w:val="00545F6A"/>
    <w:rsid w:val="00545FEE"/>
    <w:rsid w:val="005460E5"/>
    <w:rsid w:val="005462F0"/>
    <w:rsid w:val="005465B9"/>
    <w:rsid w:val="005466ED"/>
    <w:rsid w:val="0054678F"/>
    <w:rsid w:val="005467F0"/>
    <w:rsid w:val="0054680F"/>
    <w:rsid w:val="0054685A"/>
    <w:rsid w:val="00546A08"/>
    <w:rsid w:val="00546AA0"/>
    <w:rsid w:val="00546AA1"/>
    <w:rsid w:val="00546D91"/>
    <w:rsid w:val="00546F9C"/>
    <w:rsid w:val="0054736C"/>
    <w:rsid w:val="00547375"/>
    <w:rsid w:val="0055015A"/>
    <w:rsid w:val="00550294"/>
    <w:rsid w:val="005502E3"/>
    <w:rsid w:val="00550532"/>
    <w:rsid w:val="00550966"/>
    <w:rsid w:val="0055116A"/>
    <w:rsid w:val="00551172"/>
    <w:rsid w:val="00551C0C"/>
    <w:rsid w:val="00551C91"/>
    <w:rsid w:val="00551D6D"/>
    <w:rsid w:val="0055231C"/>
    <w:rsid w:val="00552595"/>
    <w:rsid w:val="00552A78"/>
    <w:rsid w:val="00552D7E"/>
    <w:rsid w:val="005532CA"/>
    <w:rsid w:val="00553534"/>
    <w:rsid w:val="00553683"/>
    <w:rsid w:val="005539C2"/>
    <w:rsid w:val="00553CD6"/>
    <w:rsid w:val="00554343"/>
    <w:rsid w:val="0055443C"/>
    <w:rsid w:val="005545F9"/>
    <w:rsid w:val="00554614"/>
    <w:rsid w:val="00554AAC"/>
    <w:rsid w:val="00554D93"/>
    <w:rsid w:val="00554ECA"/>
    <w:rsid w:val="0055534B"/>
    <w:rsid w:val="00555619"/>
    <w:rsid w:val="0055573A"/>
    <w:rsid w:val="005559ED"/>
    <w:rsid w:val="00555CF6"/>
    <w:rsid w:val="00556180"/>
    <w:rsid w:val="00556977"/>
    <w:rsid w:val="00556CAC"/>
    <w:rsid w:val="00556E87"/>
    <w:rsid w:val="005570C2"/>
    <w:rsid w:val="005570E4"/>
    <w:rsid w:val="005575ED"/>
    <w:rsid w:val="005576F3"/>
    <w:rsid w:val="00557893"/>
    <w:rsid w:val="00557A36"/>
    <w:rsid w:val="00557D6A"/>
    <w:rsid w:val="0056001A"/>
    <w:rsid w:val="005601A9"/>
    <w:rsid w:val="005602F0"/>
    <w:rsid w:val="00560509"/>
    <w:rsid w:val="00560665"/>
    <w:rsid w:val="005606AD"/>
    <w:rsid w:val="00560A8E"/>
    <w:rsid w:val="00561012"/>
    <w:rsid w:val="00561124"/>
    <w:rsid w:val="00561238"/>
    <w:rsid w:val="00561245"/>
    <w:rsid w:val="005612F4"/>
    <w:rsid w:val="0056164B"/>
    <w:rsid w:val="005616C8"/>
    <w:rsid w:val="00561996"/>
    <w:rsid w:val="00561A73"/>
    <w:rsid w:val="00562073"/>
    <w:rsid w:val="00562104"/>
    <w:rsid w:val="005621BD"/>
    <w:rsid w:val="00562475"/>
    <w:rsid w:val="005625A7"/>
    <w:rsid w:val="00562706"/>
    <w:rsid w:val="00562716"/>
    <w:rsid w:val="0056282E"/>
    <w:rsid w:val="00562861"/>
    <w:rsid w:val="00562AA3"/>
    <w:rsid w:val="00562AF2"/>
    <w:rsid w:val="00562F85"/>
    <w:rsid w:val="00563115"/>
    <w:rsid w:val="005634A0"/>
    <w:rsid w:val="00563AB6"/>
    <w:rsid w:val="0056409D"/>
    <w:rsid w:val="00564325"/>
    <w:rsid w:val="005646EC"/>
    <w:rsid w:val="0056472D"/>
    <w:rsid w:val="00564787"/>
    <w:rsid w:val="0056494F"/>
    <w:rsid w:val="00564A5E"/>
    <w:rsid w:val="00564A7E"/>
    <w:rsid w:val="00564C1D"/>
    <w:rsid w:val="00565141"/>
    <w:rsid w:val="005652D4"/>
    <w:rsid w:val="00565370"/>
    <w:rsid w:val="00565384"/>
    <w:rsid w:val="0056572A"/>
    <w:rsid w:val="00565DD4"/>
    <w:rsid w:val="00565F9B"/>
    <w:rsid w:val="0056659C"/>
    <w:rsid w:val="005665DD"/>
    <w:rsid w:val="00566659"/>
    <w:rsid w:val="005668E5"/>
    <w:rsid w:val="00566BBF"/>
    <w:rsid w:val="00567081"/>
    <w:rsid w:val="00567773"/>
    <w:rsid w:val="005677FB"/>
    <w:rsid w:val="00567DFD"/>
    <w:rsid w:val="00570017"/>
    <w:rsid w:val="00570029"/>
    <w:rsid w:val="005700F1"/>
    <w:rsid w:val="005700F9"/>
    <w:rsid w:val="005706A4"/>
    <w:rsid w:val="00570909"/>
    <w:rsid w:val="00570A07"/>
    <w:rsid w:val="00570B4C"/>
    <w:rsid w:val="00570D65"/>
    <w:rsid w:val="00570EE2"/>
    <w:rsid w:val="0057101B"/>
    <w:rsid w:val="00571136"/>
    <w:rsid w:val="0057125E"/>
    <w:rsid w:val="005719BF"/>
    <w:rsid w:val="00571B51"/>
    <w:rsid w:val="00571BAA"/>
    <w:rsid w:val="00571F98"/>
    <w:rsid w:val="0057283D"/>
    <w:rsid w:val="00572BE3"/>
    <w:rsid w:val="00572BFE"/>
    <w:rsid w:val="00572DBB"/>
    <w:rsid w:val="00572EFA"/>
    <w:rsid w:val="00572F7A"/>
    <w:rsid w:val="00573299"/>
    <w:rsid w:val="00573624"/>
    <w:rsid w:val="005736AC"/>
    <w:rsid w:val="00573E26"/>
    <w:rsid w:val="00573FEE"/>
    <w:rsid w:val="0057416E"/>
    <w:rsid w:val="0057478D"/>
    <w:rsid w:val="00574820"/>
    <w:rsid w:val="00574C1F"/>
    <w:rsid w:val="0057517C"/>
    <w:rsid w:val="005752D9"/>
    <w:rsid w:val="00575349"/>
    <w:rsid w:val="0057597C"/>
    <w:rsid w:val="00575AA9"/>
    <w:rsid w:val="00575ED0"/>
    <w:rsid w:val="00576005"/>
    <w:rsid w:val="00576431"/>
    <w:rsid w:val="005766AF"/>
    <w:rsid w:val="00576837"/>
    <w:rsid w:val="00576DE7"/>
    <w:rsid w:val="005770D0"/>
    <w:rsid w:val="00577251"/>
    <w:rsid w:val="00577701"/>
    <w:rsid w:val="0057779B"/>
    <w:rsid w:val="00577A20"/>
    <w:rsid w:val="00580603"/>
    <w:rsid w:val="005806A6"/>
    <w:rsid w:val="0058075C"/>
    <w:rsid w:val="00580D5B"/>
    <w:rsid w:val="0058126A"/>
    <w:rsid w:val="0058127E"/>
    <w:rsid w:val="0058131B"/>
    <w:rsid w:val="00581477"/>
    <w:rsid w:val="005819B1"/>
    <w:rsid w:val="00581E2C"/>
    <w:rsid w:val="00581E8E"/>
    <w:rsid w:val="00581EF1"/>
    <w:rsid w:val="00581F50"/>
    <w:rsid w:val="005820C5"/>
    <w:rsid w:val="00582371"/>
    <w:rsid w:val="00582443"/>
    <w:rsid w:val="005825A1"/>
    <w:rsid w:val="00582E2F"/>
    <w:rsid w:val="00582F5A"/>
    <w:rsid w:val="005830DD"/>
    <w:rsid w:val="005830F5"/>
    <w:rsid w:val="00583136"/>
    <w:rsid w:val="00583974"/>
    <w:rsid w:val="00583A4D"/>
    <w:rsid w:val="00583B0C"/>
    <w:rsid w:val="00583BB4"/>
    <w:rsid w:val="00583C26"/>
    <w:rsid w:val="00584322"/>
    <w:rsid w:val="005846BF"/>
    <w:rsid w:val="005846D8"/>
    <w:rsid w:val="00584C1A"/>
    <w:rsid w:val="00585026"/>
    <w:rsid w:val="005850FF"/>
    <w:rsid w:val="00585350"/>
    <w:rsid w:val="00585399"/>
    <w:rsid w:val="005856A3"/>
    <w:rsid w:val="005857ED"/>
    <w:rsid w:val="0058582C"/>
    <w:rsid w:val="00586276"/>
    <w:rsid w:val="005865BB"/>
    <w:rsid w:val="005865BD"/>
    <w:rsid w:val="0058664B"/>
    <w:rsid w:val="00586D55"/>
    <w:rsid w:val="005870B8"/>
    <w:rsid w:val="00590292"/>
    <w:rsid w:val="005905C1"/>
    <w:rsid w:val="0059068E"/>
    <w:rsid w:val="005907D9"/>
    <w:rsid w:val="00590847"/>
    <w:rsid w:val="00590A22"/>
    <w:rsid w:val="00590C1E"/>
    <w:rsid w:val="00590CA8"/>
    <w:rsid w:val="00590D3A"/>
    <w:rsid w:val="00590FEC"/>
    <w:rsid w:val="00591689"/>
    <w:rsid w:val="00591782"/>
    <w:rsid w:val="00591991"/>
    <w:rsid w:val="005919A2"/>
    <w:rsid w:val="00591DF7"/>
    <w:rsid w:val="00591E32"/>
    <w:rsid w:val="0059211B"/>
    <w:rsid w:val="005922CD"/>
    <w:rsid w:val="00592861"/>
    <w:rsid w:val="005928CA"/>
    <w:rsid w:val="00592A9D"/>
    <w:rsid w:val="00593020"/>
    <w:rsid w:val="005931C0"/>
    <w:rsid w:val="005937C8"/>
    <w:rsid w:val="00593874"/>
    <w:rsid w:val="0059388D"/>
    <w:rsid w:val="00593942"/>
    <w:rsid w:val="00593C79"/>
    <w:rsid w:val="005940DF"/>
    <w:rsid w:val="00594247"/>
    <w:rsid w:val="005944A7"/>
    <w:rsid w:val="005945B7"/>
    <w:rsid w:val="005948D6"/>
    <w:rsid w:val="005949BE"/>
    <w:rsid w:val="00594A12"/>
    <w:rsid w:val="00594D2C"/>
    <w:rsid w:val="00594D5C"/>
    <w:rsid w:val="00594E18"/>
    <w:rsid w:val="00594F5C"/>
    <w:rsid w:val="005950D3"/>
    <w:rsid w:val="00595162"/>
    <w:rsid w:val="0059551B"/>
    <w:rsid w:val="005955B7"/>
    <w:rsid w:val="00595752"/>
    <w:rsid w:val="00595A4F"/>
    <w:rsid w:val="00595A5A"/>
    <w:rsid w:val="00595B95"/>
    <w:rsid w:val="00595BC7"/>
    <w:rsid w:val="005963A2"/>
    <w:rsid w:val="005963B9"/>
    <w:rsid w:val="005963C1"/>
    <w:rsid w:val="00596427"/>
    <w:rsid w:val="00596AAD"/>
    <w:rsid w:val="00596E8C"/>
    <w:rsid w:val="00596EC3"/>
    <w:rsid w:val="00596FD9"/>
    <w:rsid w:val="00597167"/>
    <w:rsid w:val="0059744F"/>
    <w:rsid w:val="0059757F"/>
    <w:rsid w:val="0059772A"/>
    <w:rsid w:val="0059773B"/>
    <w:rsid w:val="005978E9"/>
    <w:rsid w:val="00597CD8"/>
    <w:rsid w:val="00597D52"/>
    <w:rsid w:val="00597DB9"/>
    <w:rsid w:val="00597F1C"/>
    <w:rsid w:val="00597F97"/>
    <w:rsid w:val="00597FCC"/>
    <w:rsid w:val="005A0424"/>
    <w:rsid w:val="005A06C2"/>
    <w:rsid w:val="005A0753"/>
    <w:rsid w:val="005A0A4A"/>
    <w:rsid w:val="005A0E21"/>
    <w:rsid w:val="005A0E2E"/>
    <w:rsid w:val="005A0F1C"/>
    <w:rsid w:val="005A1326"/>
    <w:rsid w:val="005A1353"/>
    <w:rsid w:val="005A19DA"/>
    <w:rsid w:val="005A19F4"/>
    <w:rsid w:val="005A1CA6"/>
    <w:rsid w:val="005A1F84"/>
    <w:rsid w:val="005A1FB6"/>
    <w:rsid w:val="005A20C0"/>
    <w:rsid w:val="005A26E9"/>
    <w:rsid w:val="005A28BA"/>
    <w:rsid w:val="005A2F0E"/>
    <w:rsid w:val="005A34C1"/>
    <w:rsid w:val="005A36D7"/>
    <w:rsid w:val="005A38EF"/>
    <w:rsid w:val="005A3B0F"/>
    <w:rsid w:val="005A3C91"/>
    <w:rsid w:val="005A3CC1"/>
    <w:rsid w:val="005A4880"/>
    <w:rsid w:val="005A489B"/>
    <w:rsid w:val="005A4C6D"/>
    <w:rsid w:val="005A5259"/>
    <w:rsid w:val="005A52CD"/>
    <w:rsid w:val="005A5403"/>
    <w:rsid w:val="005A55C3"/>
    <w:rsid w:val="005A5844"/>
    <w:rsid w:val="005A596A"/>
    <w:rsid w:val="005A59B6"/>
    <w:rsid w:val="005A6031"/>
    <w:rsid w:val="005A62F9"/>
    <w:rsid w:val="005A6342"/>
    <w:rsid w:val="005A6398"/>
    <w:rsid w:val="005A64EB"/>
    <w:rsid w:val="005A651E"/>
    <w:rsid w:val="005A669D"/>
    <w:rsid w:val="005A6778"/>
    <w:rsid w:val="005A67D9"/>
    <w:rsid w:val="005A6B45"/>
    <w:rsid w:val="005A71A4"/>
    <w:rsid w:val="005A727D"/>
    <w:rsid w:val="005A72FA"/>
    <w:rsid w:val="005A74C3"/>
    <w:rsid w:val="005A788D"/>
    <w:rsid w:val="005A7EAD"/>
    <w:rsid w:val="005B0330"/>
    <w:rsid w:val="005B0334"/>
    <w:rsid w:val="005B03A2"/>
    <w:rsid w:val="005B055C"/>
    <w:rsid w:val="005B09C7"/>
    <w:rsid w:val="005B09FD"/>
    <w:rsid w:val="005B0DF7"/>
    <w:rsid w:val="005B1567"/>
    <w:rsid w:val="005B1628"/>
    <w:rsid w:val="005B163F"/>
    <w:rsid w:val="005B1746"/>
    <w:rsid w:val="005B175B"/>
    <w:rsid w:val="005B17D4"/>
    <w:rsid w:val="005B1D7B"/>
    <w:rsid w:val="005B1EC9"/>
    <w:rsid w:val="005B1F01"/>
    <w:rsid w:val="005B23CE"/>
    <w:rsid w:val="005B23F0"/>
    <w:rsid w:val="005B260D"/>
    <w:rsid w:val="005B27AF"/>
    <w:rsid w:val="005B27B1"/>
    <w:rsid w:val="005B28CC"/>
    <w:rsid w:val="005B2C66"/>
    <w:rsid w:val="005B2F1B"/>
    <w:rsid w:val="005B2F9B"/>
    <w:rsid w:val="005B3257"/>
    <w:rsid w:val="005B381E"/>
    <w:rsid w:val="005B3A36"/>
    <w:rsid w:val="005B3BAD"/>
    <w:rsid w:val="005B3D70"/>
    <w:rsid w:val="005B3E83"/>
    <w:rsid w:val="005B40FF"/>
    <w:rsid w:val="005B4220"/>
    <w:rsid w:val="005B4709"/>
    <w:rsid w:val="005B4727"/>
    <w:rsid w:val="005B4A67"/>
    <w:rsid w:val="005B5250"/>
    <w:rsid w:val="005B527F"/>
    <w:rsid w:val="005B53F5"/>
    <w:rsid w:val="005B5557"/>
    <w:rsid w:val="005B569F"/>
    <w:rsid w:val="005B609B"/>
    <w:rsid w:val="005B64CF"/>
    <w:rsid w:val="005B66BB"/>
    <w:rsid w:val="005B689E"/>
    <w:rsid w:val="005B6A88"/>
    <w:rsid w:val="005B6AB0"/>
    <w:rsid w:val="005B6AFD"/>
    <w:rsid w:val="005B6ECE"/>
    <w:rsid w:val="005B6F6B"/>
    <w:rsid w:val="005B71AE"/>
    <w:rsid w:val="005B7259"/>
    <w:rsid w:val="005B7464"/>
    <w:rsid w:val="005B74E4"/>
    <w:rsid w:val="005B75BB"/>
    <w:rsid w:val="005B773B"/>
    <w:rsid w:val="005B78EE"/>
    <w:rsid w:val="005B7A67"/>
    <w:rsid w:val="005B7AF3"/>
    <w:rsid w:val="005C02E0"/>
    <w:rsid w:val="005C0CF3"/>
    <w:rsid w:val="005C13BA"/>
    <w:rsid w:val="005C17D0"/>
    <w:rsid w:val="005C18B8"/>
    <w:rsid w:val="005C1968"/>
    <w:rsid w:val="005C1D0C"/>
    <w:rsid w:val="005C1EAD"/>
    <w:rsid w:val="005C1F4B"/>
    <w:rsid w:val="005C1FC6"/>
    <w:rsid w:val="005C224B"/>
    <w:rsid w:val="005C2534"/>
    <w:rsid w:val="005C261D"/>
    <w:rsid w:val="005C282F"/>
    <w:rsid w:val="005C2865"/>
    <w:rsid w:val="005C2B30"/>
    <w:rsid w:val="005C2B85"/>
    <w:rsid w:val="005C2FFE"/>
    <w:rsid w:val="005C3124"/>
    <w:rsid w:val="005C3DFE"/>
    <w:rsid w:val="005C3FD6"/>
    <w:rsid w:val="005C4099"/>
    <w:rsid w:val="005C40A3"/>
    <w:rsid w:val="005C43AC"/>
    <w:rsid w:val="005C4585"/>
    <w:rsid w:val="005C4664"/>
    <w:rsid w:val="005C4948"/>
    <w:rsid w:val="005C4BDA"/>
    <w:rsid w:val="005C4EA1"/>
    <w:rsid w:val="005C4F02"/>
    <w:rsid w:val="005C51DF"/>
    <w:rsid w:val="005C52D2"/>
    <w:rsid w:val="005C5513"/>
    <w:rsid w:val="005C557C"/>
    <w:rsid w:val="005C5748"/>
    <w:rsid w:val="005C594B"/>
    <w:rsid w:val="005C5FF4"/>
    <w:rsid w:val="005C6424"/>
    <w:rsid w:val="005C66B7"/>
    <w:rsid w:val="005C694D"/>
    <w:rsid w:val="005C6A78"/>
    <w:rsid w:val="005C6A97"/>
    <w:rsid w:val="005C6D7E"/>
    <w:rsid w:val="005C6D97"/>
    <w:rsid w:val="005C6E5C"/>
    <w:rsid w:val="005C6F33"/>
    <w:rsid w:val="005C6FA9"/>
    <w:rsid w:val="005C702F"/>
    <w:rsid w:val="005C71E0"/>
    <w:rsid w:val="005C799E"/>
    <w:rsid w:val="005C7A0B"/>
    <w:rsid w:val="005C7B94"/>
    <w:rsid w:val="005C7CE4"/>
    <w:rsid w:val="005C7E69"/>
    <w:rsid w:val="005C7E8A"/>
    <w:rsid w:val="005D0A71"/>
    <w:rsid w:val="005D0AAA"/>
    <w:rsid w:val="005D0B46"/>
    <w:rsid w:val="005D0E5B"/>
    <w:rsid w:val="005D1264"/>
    <w:rsid w:val="005D1281"/>
    <w:rsid w:val="005D13FB"/>
    <w:rsid w:val="005D1877"/>
    <w:rsid w:val="005D1B4E"/>
    <w:rsid w:val="005D1DD6"/>
    <w:rsid w:val="005D1E2A"/>
    <w:rsid w:val="005D22D8"/>
    <w:rsid w:val="005D2427"/>
    <w:rsid w:val="005D254B"/>
    <w:rsid w:val="005D2D66"/>
    <w:rsid w:val="005D2EDF"/>
    <w:rsid w:val="005D33A5"/>
    <w:rsid w:val="005D33FC"/>
    <w:rsid w:val="005D34FF"/>
    <w:rsid w:val="005D3733"/>
    <w:rsid w:val="005D3C45"/>
    <w:rsid w:val="005D3DC3"/>
    <w:rsid w:val="005D3E35"/>
    <w:rsid w:val="005D3F1E"/>
    <w:rsid w:val="005D41E4"/>
    <w:rsid w:val="005D42DC"/>
    <w:rsid w:val="005D4479"/>
    <w:rsid w:val="005D4922"/>
    <w:rsid w:val="005D4A4F"/>
    <w:rsid w:val="005D4B43"/>
    <w:rsid w:val="005D4BF2"/>
    <w:rsid w:val="005D4E1B"/>
    <w:rsid w:val="005D55A3"/>
    <w:rsid w:val="005D5E52"/>
    <w:rsid w:val="005D6350"/>
    <w:rsid w:val="005D6648"/>
    <w:rsid w:val="005D6828"/>
    <w:rsid w:val="005D6AE2"/>
    <w:rsid w:val="005D748C"/>
    <w:rsid w:val="005D760B"/>
    <w:rsid w:val="005D7778"/>
    <w:rsid w:val="005D7E55"/>
    <w:rsid w:val="005E0010"/>
    <w:rsid w:val="005E0160"/>
    <w:rsid w:val="005E04A1"/>
    <w:rsid w:val="005E0666"/>
    <w:rsid w:val="005E06B2"/>
    <w:rsid w:val="005E06D2"/>
    <w:rsid w:val="005E06E5"/>
    <w:rsid w:val="005E085F"/>
    <w:rsid w:val="005E089B"/>
    <w:rsid w:val="005E08B1"/>
    <w:rsid w:val="005E0DA2"/>
    <w:rsid w:val="005E0E9A"/>
    <w:rsid w:val="005E0F83"/>
    <w:rsid w:val="005E1096"/>
    <w:rsid w:val="005E1118"/>
    <w:rsid w:val="005E11C9"/>
    <w:rsid w:val="005E160B"/>
    <w:rsid w:val="005E1947"/>
    <w:rsid w:val="005E1C7A"/>
    <w:rsid w:val="005E2084"/>
    <w:rsid w:val="005E2AD2"/>
    <w:rsid w:val="005E2BC2"/>
    <w:rsid w:val="005E3016"/>
    <w:rsid w:val="005E310D"/>
    <w:rsid w:val="005E31BC"/>
    <w:rsid w:val="005E35BC"/>
    <w:rsid w:val="005E35F0"/>
    <w:rsid w:val="005E381B"/>
    <w:rsid w:val="005E3DFB"/>
    <w:rsid w:val="005E3E8C"/>
    <w:rsid w:val="005E3EB1"/>
    <w:rsid w:val="005E4123"/>
    <w:rsid w:val="005E42A2"/>
    <w:rsid w:val="005E4977"/>
    <w:rsid w:val="005E4D33"/>
    <w:rsid w:val="005E4E3F"/>
    <w:rsid w:val="005E5150"/>
    <w:rsid w:val="005E571E"/>
    <w:rsid w:val="005E573A"/>
    <w:rsid w:val="005E57CD"/>
    <w:rsid w:val="005E5831"/>
    <w:rsid w:val="005E5ADB"/>
    <w:rsid w:val="005E5CA1"/>
    <w:rsid w:val="005E5D76"/>
    <w:rsid w:val="005E6113"/>
    <w:rsid w:val="005E61AD"/>
    <w:rsid w:val="005E6310"/>
    <w:rsid w:val="005E6462"/>
    <w:rsid w:val="005E6665"/>
    <w:rsid w:val="005E68F9"/>
    <w:rsid w:val="005E7009"/>
    <w:rsid w:val="005E7B58"/>
    <w:rsid w:val="005E7E3F"/>
    <w:rsid w:val="005E7E8D"/>
    <w:rsid w:val="005F0062"/>
    <w:rsid w:val="005F0391"/>
    <w:rsid w:val="005F0501"/>
    <w:rsid w:val="005F0518"/>
    <w:rsid w:val="005F0543"/>
    <w:rsid w:val="005F0697"/>
    <w:rsid w:val="005F06DA"/>
    <w:rsid w:val="005F0C10"/>
    <w:rsid w:val="005F0F1C"/>
    <w:rsid w:val="005F12A0"/>
    <w:rsid w:val="005F1765"/>
    <w:rsid w:val="005F17A7"/>
    <w:rsid w:val="005F1B73"/>
    <w:rsid w:val="005F1D07"/>
    <w:rsid w:val="005F1DBC"/>
    <w:rsid w:val="005F1E0A"/>
    <w:rsid w:val="005F21CD"/>
    <w:rsid w:val="005F220F"/>
    <w:rsid w:val="005F2839"/>
    <w:rsid w:val="005F2AA9"/>
    <w:rsid w:val="005F2D49"/>
    <w:rsid w:val="005F2ECE"/>
    <w:rsid w:val="005F3041"/>
    <w:rsid w:val="005F315D"/>
    <w:rsid w:val="005F33FE"/>
    <w:rsid w:val="005F3497"/>
    <w:rsid w:val="005F38AF"/>
    <w:rsid w:val="005F3AC2"/>
    <w:rsid w:val="005F3C69"/>
    <w:rsid w:val="005F4141"/>
    <w:rsid w:val="005F4144"/>
    <w:rsid w:val="005F4209"/>
    <w:rsid w:val="005F429A"/>
    <w:rsid w:val="005F45CE"/>
    <w:rsid w:val="005F47C2"/>
    <w:rsid w:val="005F48BA"/>
    <w:rsid w:val="005F48F5"/>
    <w:rsid w:val="005F49C5"/>
    <w:rsid w:val="005F4AD3"/>
    <w:rsid w:val="005F4BD1"/>
    <w:rsid w:val="005F4C8A"/>
    <w:rsid w:val="005F4DC9"/>
    <w:rsid w:val="005F5489"/>
    <w:rsid w:val="005F59AB"/>
    <w:rsid w:val="005F5AFF"/>
    <w:rsid w:val="005F5B84"/>
    <w:rsid w:val="005F5FB3"/>
    <w:rsid w:val="005F63A8"/>
    <w:rsid w:val="005F63FE"/>
    <w:rsid w:val="005F6422"/>
    <w:rsid w:val="005F6BA4"/>
    <w:rsid w:val="005F6BD8"/>
    <w:rsid w:val="005F6C76"/>
    <w:rsid w:val="005F6D8D"/>
    <w:rsid w:val="005F6EFD"/>
    <w:rsid w:val="005F6F58"/>
    <w:rsid w:val="005F728A"/>
    <w:rsid w:val="005F72A7"/>
    <w:rsid w:val="005F7397"/>
    <w:rsid w:val="005F75D2"/>
    <w:rsid w:val="005F7720"/>
    <w:rsid w:val="005F7853"/>
    <w:rsid w:val="005F7885"/>
    <w:rsid w:val="005F79E7"/>
    <w:rsid w:val="005F7AEC"/>
    <w:rsid w:val="005F7CD7"/>
    <w:rsid w:val="005F7CDD"/>
    <w:rsid w:val="005F7E23"/>
    <w:rsid w:val="0060002D"/>
    <w:rsid w:val="00600235"/>
    <w:rsid w:val="006002B2"/>
    <w:rsid w:val="00600456"/>
    <w:rsid w:val="00600BEB"/>
    <w:rsid w:val="00600CBC"/>
    <w:rsid w:val="00601220"/>
    <w:rsid w:val="006013D4"/>
    <w:rsid w:val="006017B8"/>
    <w:rsid w:val="00601AAD"/>
    <w:rsid w:val="00601B3B"/>
    <w:rsid w:val="00601C69"/>
    <w:rsid w:val="00601F05"/>
    <w:rsid w:val="006022D5"/>
    <w:rsid w:val="00602318"/>
    <w:rsid w:val="006023BF"/>
    <w:rsid w:val="006030EE"/>
    <w:rsid w:val="006031DF"/>
    <w:rsid w:val="006033E9"/>
    <w:rsid w:val="00603468"/>
    <w:rsid w:val="00603810"/>
    <w:rsid w:val="006038E5"/>
    <w:rsid w:val="00603A36"/>
    <w:rsid w:val="00603AA3"/>
    <w:rsid w:val="00603C60"/>
    <w:rsid w:val="00603E09"/>
    <w:rsid w:val="0060435C"/>
    <w:rsid w:val="0060459D"/>
    <w:rsid w:val="00604661"/>
    <w:rsid w:val="00604A9D"/>
    <w:rsid w:val="00604C36"/>
    <w:rsid w:val="00604D94"/>
    <w:rsid w:val="00604E4C"/>
    <w:rsid w:val="006053D7"/>
    <w:rsid w:val="00605539"/>
    <w:rsid w:val="006055CE"/>
    <w:rsid w:val="006055ED"/>
    <w:rsid w:val="0060566F"/>
    <w:rsid w:val="006058F7"/>
    <w:rsid w:val="00605C52"/>
    <w:rsid w:val="00605D7D"/>
    <w:rsid w:val="0060630A"/>
    <w:rsid w:val="006065BC"/>
    <w:rsid w:val="00606617"/>
    <w:rsid w:val="006067D9"/>
    <w:rsid w:val="00606A67"/>
    <w:rsid w:val="00606D19"/>
    <w:rsid w:val="006070FA"/>
    <w:rsid w:val="006071BC"/>
    <w:rsid w:val="006073A6"/>
    <w:rsid w:val="00607433"/>
    <w:rsid w:val="006074D9"/>
    <w:rsid w:val="0060765F"/>
    <w:rsid w:val="00607A71"/>
    <w:rsid w:val="00607A76"/>
    <w:rsid w:val="00607B05"/>
    <w:rsid w:val="00607B9A"/>
    <w:rsid w:val="00607D04"/>
    <w:rsid w:val="0061030D"/>
    <w:rsid w:val="0061047B"/>
    <w:rsid w:val="006106C4"/>
    <w:rsid w:val="00610F5D"/>
    <w:rsid w:val="00611178"/>
    <w:rsid w:val="00611212"/>
    <w:rsid w:val="006112CA"/>
    <w:rsid w:val="00611829"/>
    <w:rsid w:val="00611B3C"/>
    <w:rsid w:val="0061209B"/>
    <w:rsid w:val="0061226F"/>
    <w:rsid w:val="006126A0"/>
    <w:rsid w:val="00612BD5"/>
    <w:rsid w:val="00612C32"/>
    <w:rsid w:val="0061309C"/>
    <w:rsid w:val="006131BD"/>
    <w:rsid w:val="00613359"/>
    <w:rsid w:val="006133EE"/>
    <w:rsid w:val="00613AA5"/>
    <w:rsid w:val="00613C46"/>
    <w:rsid w:val="00613F4C"/>
    <w:rsid w:val="00614002"/>
    <w:rsid w:val="0061406D"/>
    <w:rsid w:val="0061420A"/>
    <w:rsid w:val="006148DD"/>
    <w:rsid w:val="00614ADD"/>
    <w:rsid w:val="00614AF4"/>
    <w:rsid w:val="00614F12"/>
    <w:rsid w:val="006150F4"/>
    <w:rsid w:val="006154FB"/>
    <w:rsid w:val="00615540"/>
    <w:rsid w:val="0061580C"/>
    <w:rsid w:val="006159B9"/>
    <w:rsid w:val="006159D5"/>
    <w:rsid w:val="00615C9C"/>
    <w:rsid w:val="00615CB8"/>
    <w:rsid w:val="00615F10"/>
    <w:rsid w:val="00615FD7"/>
    <w:rsid w:val="006160CB"/>
    <w:rsid w:val="006163AE"/>
    <w:rsid w:val="006165A2"/>
    <w:rsid w:val="006166D3"/>
    <w:rsid w:val="00616C2A"/>
    <w:rsid w:val="00616E0B"/>
    <w:rsid w:val="00616FCC"/>
    <w:rsid w:val="00617034"/>
    <w:rsid w:val="0061726A"/>
    <w:rsid w:val="00617437"/>
    <w:rsid w:val="00617450"/>
    <w:rsid w:val="006174D0"/>
    <w:rsid w:val="00617632"/>
    <w:rsid w:val="006176F5"/>
    <w:rsid w:val="0061778B"/>
    <w:rsid w:val="00617B14"/>
    <w:rsid w:val="00617F10"/>
    <w:rsid w:val="0062007D"/>
    <w:rsid w:val="0062010A"/>
    <w:rsid w:val="006201FB"/>
    <w:rsid w:val="00620206"/>
    <w:rsid w:val="006202C4"/>
    <w:rsid w:val="006204DF"/>
    <w:rsid w:val="00620BB9"/>
    <w:rsid w:val="00621161"/>
    <w:rsid w:val="00621251"/>
    <w:rsid w:val="00621489"/>
    <w:rsid w:val="00621575"/>
    <w:rsid w:val="006215F4"/>
    <w:rsid w:val="00621CE8"/>
    <w:rsid w:val="00621FD9"/>
    <w:rsid w:val="00622060"/>
    <w:rsid w:val="00622377"/>
    <w:rsid w:val="006223C0"/>
    <w:rsid w:val="00622541"/>
    <w:rsid w:val="00622912"/>
    <w:rsid w:val="00622B64"/>
    <w:rsid w:val="006232B6"/>
    <w:rsid w:val="006235BB"/>
    <w:rsid w:val="00623D77"/>
    <w:rsid w:val="00623DA2"/>
    <w:rsid w:val="00623F4F"/>
    <w:rsid w:val="00624097"/>
    <w:rsid w:val="006243A2"/>
    <w:rsid w:val="00624528"/>
    <w:rsid w:val="006248A3"/>
    <w:rsid w:val="006253FD"/>
    <w:rsid w:val="0062544C"/>
    <w:rsid w:val="006255C1"/>
    <w:rsid w:val="006256F8"/>
    <w:rsid w:val="00625935"/>
    <w:rsid w:val="00625C90"/>
    <w:rsid w:val="00625CD5"/>
    <w:rsid w:val="006263F7"/>
    <w:rsid w:val="006264CE"/>
    <w:rsid w:val="006269DD"/>
    <w:rsid w:val="00626D3B"/>
    <w:rsid w:val="00626E7B"/>
    <w:rsid w:val="00627055"/>
    <w:rsid w:val="006275CA"/>
    <w:rsid w:val="0062778E"/>
    <w:rsid w:val="006277AB"/>
    <w:rsid w:val="00627C33"/>
    <w:rsid w:val="00627C77"/>
    <w:rsid w:val="00627D77"/>
    <w:rsid w:val="00627DEA"/>
    <w:rsid w:val="00627E10"/>
    <w:rsid w:val="00627E20"/>
    <w:rsid w:val="00627E24"/>
    <w:rsid w:val="00630643"/>
    <w:rsid w:val="00630B80"/>
    <w:rsid w:val="00630C1A"/>
    <w:rsid w:val="00630C8D"/>
    <w:rsid w:val="00630E67"/>
    <w:rsid w:val="00630FB8"/>
    <w:rsid w:val="0063135E"/>
    <w:rsid w:val="00631596"/>
    <w:rsid w:val="00631682"/>
    <w:rsid w:val="00631764"/>
    <w:rsid w:val="00631A79"/>
    <w:rsid w:val="00632760"/>
    <w:rsid w:val="006328DA"/>
    <w:rsid w:val="00632A41"/>
    <w:rsid w:val="00632BB1"/>
    <w:rsid w:val="00632C85"/>
    <w:rsid w:val="00632EEE"/>
    <w:rsid w:val="00633068"/>
    <w:rsid w:val="0063312F"/>
    <w:rsid w:val="00633647"/>
    <w:rsid w:val="00633806"/>
    <w:rsid w:val="00633A81"/>
    <w:rsid w:val="00633D70"/>
    <w:rsid w:val="00634166"/>
    <w:rsid w:val="006342B9"/>
    <w:rsid w:val="0063450E"/>
    <w:rsid w:val="00634B7F"/>
    <w:rsid w:val="00634E48"/>
    <w:rsid w:val="00634FA8"/>
    <w:rsid w:val="0063552E"/>
    <w:rsid w:val="0063564A"/>
    <w:rsid w:val="006358AA"/>
    <w:rsid w:val="00635E63"/>
    <w:rsid w:val="00636418"/>
    <w:rsid w:val="00636518"/>
    <w:rsid w:val="00636589"/>
    <w:rsid w:val="0063673B"/>
    <w:rsid w:val="006369F2"/>
    <w:rsid w:val="00636E00"/>
    <w:rsid w:val="00636EFA"/>
    <w:rsid w:val="006370AF"/>
    <w:rsid w:val="0063712B"/>
    <w:rsid w:val="006374B1"/>
    <w:rsid w:val="00637711"/>
    <w:rsid w:val="00637773"/>
    <w:rsid w:val="006378A5"/>
    <w:rsid w:val="00637B20"/>
    <w:rsid w:val="00637B36"/>
    <w:rsid w:val="00637C0F"/>
    <w:rsid w:val="006401A4"/>
    <w:rsid w:val="0064039A"/>
    <w:rsid w:val="00640403"/>
    <w:rsid w:val="006408FE"/>
    <w:rsid w:val="00640D53"/>
    <w:rsid w:val="00641032"/>
    <w:rsid w:val="006414F6"/>
    <w:rsid w:val="0064154B"/>
    <w:rsid w:val="006415A0"/>
    <w:rsid w:val="00641A5A"/>
    <w:rsid w:val="00641CD7"/>
    <w:rsid w:val="00641F2A"/>
    <w:rsid w:val="00641FF3"/>
    <w:rsid w:val="0064206B"/>
    <w:rsid w:val="006421DC"/>
    <w:rsid w:val="00642FA9"/>
    <w:rsid w:val="0064311B"/>
    <w:rsid w:val="006435FF"/>
    <w:rsid w:val="006438FC"/>
    <w:rsid w:val="00643F28"/>
    <w:rsid w:val="006440BC"/>
    <w:rsid w:val="00644882"/>
    <w:rsid w:val="00644F23"/>
    <w:rsid w:val="006452B0"/>
    <w:rsid w:val="006453A8"/>
    <w:rsid w:val="006453BE"/>
    <w:rsid w:val="00645A8E"/>
    <w:rsid w:val="0064604C"/>
    <w:rsid w:val="00646147"/>
    <w:rsid w:val="006466F7"/>
    <w:rsid w:val="006467AB"/>
    <w:rsid w:val="00646BAD"/>
    <w:rsid w:val="006471F4"/>
    <w:rsid w:val="006475CF"/>
    <w:rsid w:val="00647705"/>
    <w:rsid w:val="006477E7"/>
    <w:rsid w:val="00647868"/>
    <w:rsid w:val="00647915"/>
    <w:rsid w:val="00647CC4"/>
    <w:rsid w:val="00647D7D"/>
    <w:rsid w:val="00650047"/>
    <w:rsid w:val="00650623"/>
    <w:rsid w:val="00650BC6"/>
    <w:rsid w:val="00650E03"/>
    <w:rsid w:val="00650F4D"/>
    <w:rsid w:val="00651387"/>
    <w:rsid w:val="006513FE"/>
    <w:rsid w:val="006514F8"/>
    <w:rsid w:val="00651607"/>
    <w:rsid w:val="006519F3"/>
    <w:rsid w:val="00651B92"/>
    <w:rsid w:val="00652075"/>
    <w:rsid w:val="0065273C"/>
    <w:rsid w:val="00652779"/>
    <w:rsid w:val="00652A56"/>
    <w:rsid w:val="00652B83"/>
    <w:rsid w:val="00652C3D"/>
    <w:rsid w:val="0065353D"/>
    <w:rsid w:val="00653789"/>
    <w:rsid w:val="0065379C"/>
    <w:rsid w:val="00653984"/>
    <w:rsid w:val="00653B27"/>
    <w:rsid w:val="00653EC0"/>
    <w:rsid w:val="00653F70"/>
    <w:rsid w:val="0065405A"/>
    <w:rsid w:val="00654590"/>
    <w:rsid w:val="00654649"/>
    <w:rsid w:val="006546DE"/>
    <w:rsid w:val="006546E0"/>
    <w:rsid w:val="0065471D"/>
    <w:rsid w:val="0065489B"/>
    <w:rsid w:val="00655264"/>
    <w:rsid w:val="006554A1"/>
    <w:rsid w:val="00656013"/>
    <w:rsid w:val="006561B7"/>
    <w:rsid w:val="006562A8"/>
    <w:rsid w:val="006562E1"/>
    <w:rsid w:val="006565AE"/>
    <w:rsid w:val="00656729"/>
    <w:rsid w:val="00656D1A"/>
    <w:rsid w:val="006572E4"/>
    <w:rsid w:val="00657430"/>
    <w:rsid w:val="006576CC"/>
    <w:rsid w:val="00657776"/>
    <w:rsid w:val="0065784A"/>
    <w:rsid w:val="00657BA2"/>
    <w:rsid w:val="00657CD8"/>
    <w:rsid w:val="006603C4"/>
    <w:rsid w:val="006604E9"/>
    <w:rsid w:val="00660598"/>
    <w:rsid w:val="006608E4"/>
    <w:rsid w:val="00660983"/>
    <w:rsid w:val="00660BB6"/>
    <w:rsid w:val="006611FC"/>
    <w:rsid w:val="006616D0"/>
    <w:rsid w:val="0066176A"/>
    <w:rsid w:val="00661C90"/>
    <w:rsid w:val="00661EE9"/>
    <w:rsid w:val="00662308"/>
    <w:rsid w:val="006623A7"/>
    <w:rsid w:val="0066271B"/>
    <w:rsid w:val="00662971"/>
    <w:rsid w:val="00663008"/>
    <w:rsid w:val="0066334D"/>
    <w:rsid w:val="006634D0"/>
    <w:rsid w:val="00663711"/>
    <w:rsid w:val="00663778"/>
    <w:rsid w:val="0066396C"/>
    <w:rsid w:val="00663CB9"/>
    <w:rsid w:val="0066413A"/>
    <w:rsid w:val="006641EE"/>
    <w:rsid w:val="00664505"/>
    <w:rsid w:val="006649A2"/>
    <w:rsid w:val="00664EA0"/>
    <w:rsid w:val="006653F1"/>
    <w:rsid w:val="00665493"/>
    <w:rsid w:val="006655E6"/>
    <w:rsid w:val="00665667"/>
    <w:rsid w:val="00665762"/>
    <w:rsid w:val="00665895"/>
    <w:rsid w:val="0066589A"/>
    <w:rsid w:val="00665A44"/>
    <w:rsid w:val="00665C25"/>
    <w:rsid w:val="00665C4C"/>
    <w:rsid w:val="00665D97"/>
    <w:rsid w:val="00665E4B"/>
    <w:rsid w:val="00665E82"/>
    <w:rsid w:val="00666035"/>
    <w:rsid w:val="0066603D"/>
    <w:rsid w:val="0066616A"/>
    <w:rsid w:val="0066626E"/>
    <w:rsid w:val="00666A10"/>
    <w:rsid w:val="00666ADF"/>
    <w:rsid w:val="00666DF1"/>
    <w:rsid w:val="006671FD"/>
    <w:rsid w:val="00667228"/>
    <w:rsid w:val="00667252"/>
    <w:rsid w:val="006676BD"/>
    <w:rsid w:val="006676F7"/>
    <w:rsid w:val="00667770"/>
    <w:rsid w:val="0066777A"/>
    <w:rsid w:val="00667A4C"/>
    <w:rsid w:val="00667AA6"/>
    <w:rsid w:val="00667B81"/>
    <w:rsid w:val="00667CA4"/>
    <w:rsid w:val="00667EE4"/>
    <w:rsid w:val="006700B3"/>
    <w:rsid w:val="006701AE"/>
    <w:rsid w:val="0067030E"/>
    <w:rsid w:val="006704B8"/>
    <w:rsid w:val="0067079B"/>
    <w:rsid w:val="00670913"/>
    <w:rsid w:val="00670AAC"/>
    <w:rsid w:val="00670C15"/>
    <w:rsid w:val="00670E56"/>
    <w:rsid w:val="00670FD8"/>
    <w:rsid w:val="0067104A"/>
    <w:rsid w:val="006712A0"/>
    <w:rsid w:val="006713F6"/>
    <w:rsid w:val="00671671"/>
    <w:rsid w:val="00671A5F"/>
    <w:rsid w:val="00671B79"/>
    <w:rsid w:val="00671BFE"/>
    <w:rsid w:val="00672142"/>
    <w:rsid w:val="006721F1"/>
    <w:rsid w:val="006723B2"/>
    <w:rsid w:val="0067266C"/>
    <w:rsid w:val="006728C1"/>
    <w:rsid w:val="006729E8"/>
    <w:rsid w:val="00672C78"/>
    <w:rsid w:val="00672CAE"/>
    <w:rsid w:val="00672F70"/>
    <w:rsid w:val="00673038"/>
    <w:rsid w:val="006734E3"/>
    <w:rsid w:val="006735EB"/>
    <w:rsid w:val="006739D3"/>
    <w:rsid w:val="00673A2F"/>
    <w:rsid w:val="0067447C"/>
    <w:rsid w:val="006746C8"/>
    <w:rsid w:val="006748E7"/>
    <w:rsid w:val="00674904"/>
    <w:rsid w:val="00674A82"/>
    <w:rsid w:val="00674B60"/>
    <w:rsid w:val="00674C07"/>
    <w:rsid w:val="00674C92"/>
    <w:rsid w:val="00674DC4"/>
    <w:rsid w:val="00674EE6"/>
    <w:rsid w:val="00675104"/>
    <w:rsid w:val="006752B9"/>
    <w:rsid w:val="0067557F"/>
    <w:rsid w:val="00675BCC"/>
    <w:rsid w:val="00675FD6"/>
    <w:rsid w:val="006760B3"/>
    <w:rsid w:val="0067649B"/>
    <w:rsid w:val="0067670D"/>
    <w:rsid w:val="00676982"/>
    <w:rsid w:val="00676EF5"/>
    <w:rsid w:val="00677032"/>
    <w:rsid w:val="006772B9"/>
    <w:rsid w:val="00677392"/>
    <w:rsid w:val="00677524"/>
    <w:rsid w:val="006778D4"/>
    <w:rsid w:val="00677998"/>
    <w:rsid w:val="00677A8C"/>
    <w:rsid w:val="00677C89"/>
    <w:rsid w:val="00677FAE"/>
    <w:rsid w:val="00680005"/>
    <w:rsid w:val="00680250"/>
    <w:rsid w:val="00680383"/>
    <w:rsid w:val="00680780"/>
    <w:rsid w:val="00680821"/>
    <w:rsid w:val="00680A35"/>
    <w:rsid w:val="00680B9F"/>
    <w:rsid w:val="00680C72"/>
    <w:rsid w:val="00681066"/>
    <w:rsid w:val="00681079"/>
    <w:rsid w:val="00681278"/>
    <w:rsid w:val="0068172B"/>
    <w:rsid w:val="00681810"/>
    <w:rsid w:val="00681B0C"/>
    <w:rsid w:val="00681BB7"/>
    <w:rsid w:val="00681C0F"/>
    <w:rsid w:val="00681D59"/>
    <w:rsid w:val="006820ED"/>
    <w:rsid w:val="00682125"/>
    <w:rsid w:val="006821E3"/>
    <w:rsid w:val="00682665"/>
    <w:rsid w:val="00682793"/>
    <w:rsid w:val="00682C5F"/>
    <w:rsid w:val="006830F4"/>
    <w:rsid w:val="0068349C"/>
    <w:rsid w:val="006839DE"/>
    <w:rsid w:val="00683D48"/>
    <w:rsid w:val="00683D70"/>
    <w:rsid w:val="00683FE3"/>
    <w:rsid w:val="006841EC"/>
    <w:rsid w:val="00684BF3"/>
    <w:rsid w:val="00684FE2"/>
    <w:rsid w:val="00685097"/>
    <w:rsid w:val="00685270"/>
    <w:rsid w:val="0068530B"/>
    <w:rsid w:val="00685348"/>
    <w:rsid w:val="006853EE"/>
    <w:rsid w:val="00685658"/>
    <w:rsid w:val="0068570C"/>
    <w:rsid w:val="0068583D"/>
    <w:rsid w:val="00685842"/>
    <w:rsid w:val="00685A38"/>
    <w:rsid w:val="00685B40"/>
    <w:rsid w:val="00685B47"/>
    <w:rsid w:val="00685C40"/>
    <w:rsid w:val="00685DE1"/>
    <w:rsid w:val="00685E30"/>
    <w:rsid w:val="00686287"/>
    <w:rsid w:val="00686536"/>
    <w:rsid w:val="00686578"/>
    <w:rsid w:val="0068663F"/>
    <w:rsid w:val="00686797"/>
    <w:rsid w:val="0068693A"/>
    <w:rsid w:val="00686D90"/>
    <w:rsid w:val="00686F77"/>
    <w:rsid w:val="0068700E"/>
    <w:rsid w:val="0068704B"/>
    <w:rsid w:val="00687380"/>
    <w:rsid w:val="006874D8"/>
    <w:rsid w:val="006876FA"/>
    <w:rsid w:val="006877E8"/>
    <w:rsid w:val="00687AA0"/>
    <w:rsid w:val="00687AF1"/>
    <w:rsid w:val="00687F4E"/>
    <w:rsid w:val="006901FF"/>
    <w:rsid w:val="00690282"/>
    <w:rsid w:val="0069045E"/>
    <w:rsid w:val="00690B55"/>
    <w:rsid w:val="00690CB6"/>
    <w:rsid w:val="00690E41"/>
    <w:rsid w:val="00690E67"/>
    <w:rsid w:val="00690FCA"/>
    <w:rsid w:val="006913CD"/>
    <w:rsid w:val="00691506"/>
    <w:rsid w:val="0069150F"/>
    <w:rsid w:val="00691A7F"/>
    <w:rsid w:val="00691C90"/>
    <w:rsid w:val="00691E03"/>
    <w:rsid w:val="00691E3E"/>
    <w:rsid w:val="00691F19"/>
    <w:rsid w:val="00692013"/>
    <w:rsid w:val="00692109"/>
    <w:rsid w:val="00692329"/>
    <w:rsid w:val="00692698"/>
    <w:rsid w:val="006929B9"/>
    <w:rsid w:val="00692A42"/>
    <w:rsid w:val="00692ADB"/>
    <w:rsid w:val="00692E0B"/>
    <w:rsid w:val="0069310B"/>
    <w:rsid w:val="006933C2"/>
    <w:rsid w:val="006938B8"/>
    <w:rsid w:val="006938DF"/>
    <w:rsid w:val="00693C41"/>
    <w:rsid w:val="00693F82"/>
    <w:rsid w:val="00693FB0"/>
    <w:rsid w:val="00694544"/>
    <w:rsid w:val="00694AC4"/>
    <w:rsid w:val="00694B22"/>
    <w:rsid w:val="00694BDA"/>
    <w:rsid w:val="0069538E"/>
    <w:rsid w:val="0069550A"/>
    <w:rsid w:val="0069551C"/>
    <w:rsid w:val="00695C67"/>
    <w:rsid w:val="006961B7"/>
    <w:rsid w:val="00696534"/>
    <w:rsid w:val="00696AA9"/>
    <w:rsid w:val="00696AF1"/>
    <w:rsid w:val="00696C7E"/>
    <w:rsid w:val="00696E63"/>
    <w:rsid w:val="00696E67"/>
    <w:rsid w:val="00697217"/>
    <w:rsid w:val="00697369"/>
    <w:rsid w:val="00697699"/>
    <w:rsid w:val="00697B45"/>
    <w:rsid w:val="00697D15"/>
    <w:rsid w:val="00697FEF"/>
    <w:rsid w:val="006A0188"/>
    <w:rsid w:val="006A0630"/>
    <w:rsid w:val="006A0675"/>
    <w:rsid w:val="006A06E5"/>
    <w:rsid w:val="006A0722"/>
    <w:rsid w:val="006A0A3A"/>
    <w:rsid w:val="006A0D36"/>
    <w:rsid w:val="006A0FE7"/>
    <w:rsid w:val="006A100A"/>
    <w:rsid w:val="006A11DA"/>
    <w:rsid w:val="006A1493"/>
    <w:rsid w:val="006A14D7"/>
    <w:rsid w:val="006A1A0D"/>
    <w:rsid w:val="006A1DB8"/>
    <w:rsid w:val="006A2359"/>
    <w:rsid w:val="006A2514"/>
    <w:rsid w:val="006A26EF"/>
    <w:rsid w:val="006A2B49"/>
    <w:rsid w:val="006A2D41"/>
    <w:rsid w:val="006A3137"/>
    <w:rsid w:val="006A3496"/>
    <w:rsid w:val="006A3CB1"/>
    <w:rsid w:val="006A3D36"/>
    <w:rsid w:val="006A4050"/>
    <w:rsid w:val="006A4340"/>
    <w:rsid w:val="006A43E3"/>
    <w:rsid w:val="006A44D4"/>
    <w:rsid w:val="006A46EF"/>
    <w:rsid w:val="006A4919"/>
    <w:rsid w:val="006A4A71"/>
    <w:rsid w:val="006A4E15"/>
    <w:rsid w:val="006A50BF"/>
    <w:rsid w:val="006A528F"/>
    <w:rsid w:val="006A547D"/>
    <w:rsid w:val="006A5812"/>
    <w:rsid w:val="006A596A"/>
    <w:rsid w:val="006A59F6"/>
    <w:rsid w:val="006A5E68"/>
    <w:rsid w:val="006A5EC4"/>
    <w:rsid w:val="006A603C"/>
    <w:rsid w:val="006A6299"/>
    <w:rsid w:val="006A630F"/>
    <w:rsid w:val="006A65D6"/>
    <w:rsid w:val="006A6A95"/>
    <w:rsid w:val="006A6B19"/>
    <w:rsid w:val="006A6B5D"/>
    <w:rsid w:val="006A6D82"/>
    <w:rsid w:val="006A6FCD"/>
    <w:rsid w:val="006A7156"/>
    <w:rsid w:val="006A72B0"/>
    <w:rsid w:val="006A7635"/>
    <w:rsid w:val="006A7916"/>
    <w:rsid w:val="006A7A31"/>
    <w:rsid w:val="006A7B90"/>
    <w:rsid w:val="006A7D50"/>
    <w:rsid w:val="006A7EE3"/>
    <w:rsid w:val="006B04AB"/>
    <w:rsid w:val="006B0583"/>
    <w:rsid w:val="006B06D5"/>
    <w:rsid w:val="006B09A7"/>
    <w:rsid w:val="006B09F6"/>
    <w:rsid w:val="006B0E2C"/>
    <w:rsid w:val="006B110D"/>
    <w:rsid w:val="006B1222"/>
    <w:rsid w:val="006B1581"/>
    <w:rsid w:val="006B16A6"/>
    <w:rsid w:val="006B1860"/>
    <w:rsid w:val="006B18C5"/>
    <w:rsid w:val="006B19D9"/>
    <w:rsid w:val="006B1E4B"/>
    <w:rsid w:val="006B1F9B"/>
    <w:rsid w:val="006B20F3"/>
    <w:rsid w:val="006B2464"/>
    <w:rsid w:val="006B24EA"/>
    <w:rsid w:val="006B2520"/>
    <w:rsid w:val="006B2B71"/>
    <w:rsid w:val="006B3192"/>
    <w:rsid w:val="006B32CD"/>
    <w:rsid w:val="006B3575"/>
    <w:rsid w:val="006B36B9"/>
    <w:rsid w:val="006B429D"/>
    <w:rsid w:val="006B4374"/>
    <w:rsid w:val="006B49DC"/>
    <w:rsid w:val="006B4DCE"/>
    <w:rsid w:val="006B4F07"/>
    <w:rsid w:val="006B4FE7"/>
    <w:rsid w:val="006B5071"/>
    <w:rsid w:val="006B5735"/>
    <w:rsid w:val="006B5CA7"/>
    <w:rsid w:val="006B603B"/>
    <w:rsid w:val="006B616F"/>
    <w:rsid w:val="006B61D7"/>
    <w:rsid w:val="006B633B"/>
    <w:rsid w:val="006B6475"/>
    <w:rsid w:val="006B67FC"/>
    <w:rsid w:val="006B6C37"/>
    <w:rsid w:val="006B6EA4"/>
    <w:rsid w:val="006B6F45"/>
    <w:rsid w:val="006B6FC2"/>
    <w:rsid w:val="006B6FF5"/>
    <w:rsid w:val="006B7392"/>
    <w:rsid w:val="006B786A"/>
    <w:rsid w:val="006B7A2A"/>
    <w:rsid w:val="006B7A7F"/>
    <w:rsid w:val="006C02CA"/>
    <w:rsid w:val="006C05A1"/>
    <w:rsid w:val="006C06BB"/>
    <w:rsid w:val="006C0B89"/>
    <w:rsid w:val="006C0D35"/>
    <w:rsid w:val="006C0FFD"/>
    <w:rsid w:val="006C13BB"/>
    <w:rsid w:val="006C156A"/>
    <w:rsid w:val="006C1617"/>
    <w:rsid w:val="006C199D"/>
    <w:rsid w:val="006C1C0E"/>
    <w:rsid w:val="006C1C41"/>
    <w:rsid w:val="006C1E14"/>
    <w:rsid w:val="006C2460"/>
    <w:rsid w:val="006C24D7"/>
    <w:rsid w:val="006C2838"/>
    <w:rsid w:val="006C28A7"/>
    <w:rsid w:val="006C29FB"/>
    <w:rsid w:val="006C2BB9"/>
    <w:rsid w:val="006C2BDF"/>
    <w:rsid w:val="006C31CA"/>
    <w:rsid w:val="006C321E"/>
    <w:rsid w:val="006C3894"/>
    <w:rsid w:val="006C3A8F"/>
    <w:rsid w:val="006C3D7A"/>
    <w:rsid w:val="006C3F74"/>
    <w:rsid w:val="006C4050"/>
    <w:rsid w:val="006C4061"/>
    <w:rsid w:val="006C4360"/>
    <w:rsid w:val="006C44CB"/>
    <w:rsid w:val="006C44D1"/>
    <w:rsid w:val="006C45AB"/>
    <w:rsid w:val="006C463A"/>
    <w:rsid w:val="006C4674"/>
    <w:rsid w:val="006C4802"/>
    <w:rsid w:val="006C4BBD"/>
    <w:rsid w:val="006C4C51"/>
    <w:rsid w:val="006C4CA9"/>
    <w:rsid w:val="006C547C"/>
    <w:rsid w:val="006C5867"/>
    <w:rsid w:val="006C5A1E"/>
    <w:rsid w:val="006C5A72"/>
    <w:rsid w:val="006C5F07"/>
    <w:rsid w:val="006C5FA3"/>
    <w:rsid w:val="006C613C"/>
    <w:rsid w:val="006C626A"/>
    <w:rsid w:val="006C63BF"/>
    <w:rsid w:val="006C65BD"/>
    <w:rsid w:val="006C6713"/>
    <w:rsid w:val="006C6EBF"/>
    <w:rsid w:val="006C70C8"/>
    <w:rsid w:val="006C7350"/>
    <w:rsid w:val="006C7359"/>
    <w:rsid w:val="006C7435"/>
    <w:rsid w:val="006C7686"/>
    <w:rsid w:val="006C7F01"/>
    <w:rsid w:val="006D0576"/>
    <w:rsid w:val="006D0577"/>
    <w:rsid w:val="006D05B3"/>
    <w:rsid w:val="006D0A8A"/>
    <w:rsid w:val="006D0D2F"/>
    <w:rsid w:val="006D0FEF"/>
    <w:rsid w:val="006D199E"/>
    <w:rsid w:val="006D1A4E"/>
    <w:rsid w:val="006D1AC8"/>
    <w:rsid w:val="006D1E34"/>
    <w:rsid w:val="006D2024"/>
    <w:rsid w:val="006D215B"/>
    <w:rsid w:val="006D22DB"/>
    <w:rsid w:val="006D29F8"/>
    <w:rsid w:val="006D2C2A"/>
    <w:rsid w:val="006D2EA1"/>
    <w:rsid w:val="006D3447"/>
    <w:rsid w:val="006D3570"/>
    <w:rsid w:val="006D35A5"/>
    <w:rsid w:val="006D35E7"/>
    <w:rsid w:val="006D37B0"/>
    <w:rsid w:val="006D38C2"/>
    <w:rsid w:val="006D3974"/>
    <w:rsid w:val="006D3E9A"/>
    <w:rsid w:val="006D4255"/>
    <w:rsid w:val="006D5001"/>
    <w:rsid w:val="006D5302"/>
    <w:rsid w:val="006D575C"/>
    <w:rsid w:val="006D5878"/>
    <w:rsid w:val="006D58B8"/>
    <w:rsid w:val="006D5A2B"/>
    <w:rsid w:val="006D5C8D"/>
    <w:rsid w:val="006D5D62"/>
    <w:rsid w:val="006D6086"/>
    <w:rsid w:val="006D6392"/>
    <w:rsid w:val="006D650E"/>
    <w:rsid w:val="006D6E43"/>
    <w:rsid w:val="006D71C6"/>
    <w:rsid w:val="006D7626"/>
    <w:rsid w:val="006D7642"/>
    <w:rsid w:val="006D7854"/>
    <w:rsid w:val="006D7888"/>
    <w:rsid w:val="006D790D"/>
    <w:rsid w:val="006D7D2B"/>
    <w:rsid w:val="006D7E3F"/>
    <w:rsid w:val="006E0146"/>
    <w:rsid w:val="006E017E"/>
    <w:rsid w:val="006E0368"/>
    <w:rsid w:val="006E0409"/>
    <w:rsid w:val="006E04A3"/>
    <w:rsid w:val="006E05AB"/>
    <w:rsid w:val="006E0696"/>
    <w:rsid w:val="006E07EC"/>
    <w:rsid w:val="006E0882"/>
    <w:rsid w:val="006E0889"/>
    <w:rsid w:val="006E0A0E"/>
    <w:rsid w:val="006E0D81"/>
    <w:rsid w:val="006E1138"/>
    <w:rsid w:val="006E1512"/>
    <w:rsid w:val="006E15DC"/>
    <w:rsid w:val="006E1785"/>
    <w:rsid w:val="006E1886"/>
    <w:rsid w:val="006E1DA4"/>
    <w:rsid w:val="006E20BD"/>
    <w:rsid w:val="006E2341"/>
    <w:rsid w:val="006E2615"/>
    <w:rsid w:val="006E2759"/>
    <w:rsid w:val="006E2C99"/>
    <w:rsid w:val="006E36FB"/>
    <w:rsid w:val="006E3AA4"/>
    <w:rsid w:val="006E3CEF"/>
    <w:rsid w:val="006E47D9"/>
    <w:rsid w:val="006E4910"/>
    <w:rsid w:val="006E49AD"/>
    <w:rsid w:val="006E4B2B"/>
    <w:rsid w:val="006E4B7D"/>
    <w:rsid w:val="006E4E36"/>
    <w:rsid w:val="006E5504"/>
    <w:rsid w:val="006E56D5"/>
    <w:rsid w:val="006E5753"/>
    <w:rsid w:val="006E5D82"/>
    <w:rsid w:val="006E6086"/>
    <w:rsid w:val="006E640D"/>
    <w:rsid w:val="006E6499"/>
    <w:rsid w:val="006E670A"/>
    <w:rsid w:val="006E6758"/>
    <w:rsid w:val="006E6A3F"/>
    <w:rsid w:val="006E6B36"/>
    <w:rsid w:val="006E7118"/>
    <w:rsid w:val="006E73E9"/>
    <w:rsid w:val="006E7423"/>
    <w:rsid w:val="006E75AB"/>
    <w:rsid w:val="006E7A62"/>
    <w:rsid w:val="006E7CAD"/>
    <w:rsid w:val="006F0115"/>
    <w:rsid w:val="006F016F"/>
    <w:rsid w:val="006F0291"/>
    <w:rsid w:val="006F03FA"/>
    <w:rsid w:val="006F0C2E"/>
    <w:rsid w:val="006F1066"/>
    <w:rsid w:val="006F10EC"/>
    <w:rsid w:val="006F1867"/>
    <w:rsid w:val="006F1A74"/>
    <w:rsid w:val="006F2160"/>
    <w:rsid w:val="006F2764"/>
    <w:rsid w:val="006F284D"/>
    <w:rsid w:val="006F2AAC"/>
    <w:rsid w:val="006F2AD3"/>
    <w:rsid w:val="006F2B68"/>
    <w:rsid w:val="006F2C07"/>
    <w:rsid w:val="006F2C4E"/>
    <w:rsid w:val="006F306E"/>
    <w:rsid w:val="006F3674"/>
    <w:rsid w:val="006F3B5C"/>
    <w:rsid w:val="006F4006"/>
    <w:rsid w:val="006F4065"/>
    <w:rsid w:val="006F42B8"/>
    <w:rsid w:val="006F43C1"/>
    <w:rsid w:val="006F4468"/>
    <w:rsid w:val="006F464A"/>
    <w:rsid w:val="006F499E"/>
    <w:rsid w:val="006F49C1"/>
    <w:rsid w:val="006F4F2C"/>
    <w:rsid w:val="006F5010"/>
    <w:rsid w:val="006F515F"/>
    <w:rsid w:val="006F5789"/>
    <w:rsid w:val="006F5931"/>
    <w:rsid w:val="006F63C3"/>
    <w:rsid w:val="006F67B6"/>
    <w:rsid w:val="006F68CC"/>
    <w:rsid w:val="006F6D5D"/>
    <w:rsid w:val="006F7398"/>
    <w:rsid w:val="006F78C2"/>
    <w:rsid w:val="006F7901"/>
    <w:rsid w:val="006F79B7"/>
    <w:rsid w:val="006F7A93"/>
    <w:rsid w:val="006F7CFA"/>
    <w:rsid w:val="006F7D35"/>
    <w:rsid w:val="006F7DE9"/>
    <w:rsid w:val="0070038C"/>
    <w:rsid w:val="00700D01"/>
    <w:rsid w:val="00700D60"/>
    <w:rsid w:val="00700DAF"/>
    <w:rsid w:val="00700F61"/>
    <w:rsid w:val="00700F8B"/>
    <w:rsid w:val="00701138"/>
    <w:rsid w:val="007029CB"/>
    <w:rsid w:val="00702BDA"/>
    <w:rsid w:val="00702EAF"/>
    <w:rsid w:val="007033C3"/>
    <w:rsid w:val="0070371D"/>
    <w:rsid w:val="007038BA"/>
    <w:rsid w:val="0070395A"/>
    <w:rsid w:val="00703BEC"/>
    <w:rsid w:val="00703C44"/>
    <w:rsid w:val="00703CB8"/>
    <w:rsid w:val="00703D6C"/>
    <w:rsid w:val="00703D9F"/>
    <w:rsid w:val="00704303"/>
    <w:rsid w:val="00704374"/>
    <w:rsid w:val="0070450E"/>
    <w:rsid w:val="007046F6"/>
    <w:rsid w:val="00704904"/>
    <w:rsid w:val="0070495D"/>
    <w:rsid w:val="007049B4"/>
    <w:rsid w:val="00704E5E"/>
    <w:rsid w:val="00705058"/>
    <w:rsid w:val="007052AD"/>
    <w:rsid w:val="007054CC"/>
    <w:rsid w:val="0070586F"/>
    <w:rsid w:val="00705B95"/>
    <w:rsid w:val="00705E15"/>
    <w:rsid w:val="00705EE2"/>
    <w:rsid w:val="00705F0F"/>
    <w:rsid w:val="00706364"/>
    <w:rsid w:val="007063BA"/>
    <w:rsid w:val="007065FA"/>
    <w:rsid w:val="00706792"/>
    <w:rsid w:val="007070FF"/>
    <w:rsid w:val="0070719C"/>
    <w:rsid w:val="007073BF"/>
    <w:rsid w:val="007078B7"/>
    <w:rsid w:val="00707971"/>
    <w:rsid w:val="00707A5D"/>
    <w:rsid w:val="00707A76"/>
    <w:rsid w:val="00707DD2"/>
    <w:rsid w:val="00707E82"/>
    <w:rsid w:val="00707FEC"/>
    <w:rsid w:val="0071050B"/>
    <w:rsid w:val="0071062E"/>
    <w:rsid w:val="0071071B"/>
    <w:rsid w:val="007107D5"/>
    <w:rsid w:val="00710BE0"/>
    <w:rsid w:val="00711A3D"/>
    <w:rsid w:val="00711A5A"/>
    <w:rsid w:val="00711D25"/>
    <w:rsid w:val="00711E5D"/>
    <w:rsid w:val="00712030"/>
    <w:rsid w:val="00712034"/>
    <w:rsid w:val="0071249F"/>
    <w:rsid w:val="007124F0"/>
    <w:rsid w:val="007127F7"/>
    <w:rsid w:val="00712AFC"/>
    <w:rsid w:val="00712CDC"/>
    <w:rsid w:val="007132B5"/>
    <w:rsid w:val="007132C4"/>
    <w:rsid w:val="0071396A"/>
    <w:rsid w:val="007139A6"/>
    <w:rsid w:val="00713AB6"/>
    <w:rsid w:val="00713E28"/>
    <w:rsid w:val="00714249"/>
    <w:rsid w:val="007142E2"/>
    <w:rsid w:val="007146C6"/>
    <w:rsid w:val="007146F3"/>
    <w:rsid w:val="00714827"/>
    <w:rsid w:val="007148A9"/>
    <w:rsid w:val="00714C0A"/>
    <w:rsid w:val="00714C1A"/>
    <w:rsid w:val="00714C2E"/>
    <w:rsid w:val="00714C49"/>
    <w:rsid w:val="00714F9F"/>
    <w:rsid w:val="0071524A"/>
    <w:rsid w:val="0071547F"/>
    <w:rsid w:val="007155D4"/>
    <w:rsid w:val="00715685"/>
    <w:rsid w:val="00715824"/>
    <w:rsid w:val="00715CAC"/>
    <w:rsid w:val="00715D49"/>
    <w:rsid w:val="00716211"/>
    <w:rsid w:val="00716372"/>
    <w:rsid w:val="00716704"/>
    <w:rsid w:val="0071679E"/>
    <w:rsid w:val="0071685D"/>
    <w:rsid w:val="007168EE"/>
    <w:rsid w:val="0071693F"/>
    <w:rsid w:val="00716EB7"/>
    <w:rsid w:val="0071713F"/>
    <w:rsid w:val="007171D7"/>
    <w:rsid w:val="007174F9"/>
    <w:rsid w:val="00717694"/>
    <w:rsid w:val="00717D5D"/>
    <w:rsid w:val="00717E3F"/>
    <w:rsid w:val="00717E50"/>
    <w:rsid w:val="00717F36"/>
    <w:rsid w:val="007201FD"/>
    <w:rsid w:val="007204F6"/>
    <w:rsid w:val="00720BFB"/>
    <w:rsid w:val="00721346"/>
    <w:rsid w:val="00721908"/>
    <w:rsid w:val="00721C3F"/>
    <w:rsid w:val="00722346"/>
    <w:rsid w:val="007225E2"/>
    <w:rsid w:val="007229FD"/>
    <w:rsid w:val="00722F3F"/>
    <w:rsid w:val="00722FEA"/>
    <w:rsid w:val="00723056"/>
    <w:rsid w:val="007231B5"/>
    <w:rsid w:val="007233B6"/>
    <w:rsid w:val="007233BB"/>
    <w:rsid w:val="0072373E"/>
    <w:rsid w:val="0072377D"/>
    <w:rsid w:val="00723948"/>
    <w:rsid w:val="00723F46"/>
    <w:rsid w:val="00723F66"/>
    <w:rsid w:val="007240BD"/>
    <w:rsid w:val="007240FA"/>
    <w:rsid w:val="0072411B"/>
    <w:rsid w:val="00724254"/>
    <w:rsid w:val="007242AC"/>
    <w:rsid w:val="007251FA"/>
    <w:rsid w:val="007253DF"/>
    <w:rsid w:val="0072561E"/>
    <w:rsid w:val="00725982"/>
    <w:rsid w:val="00725B77"/>
    <w:rsid w:val="00725D1E"/>
    <w:rsid w:val="00725D5F"/>
    <w:rsid w:val="00725F4E"/>
    <w:rsid w:val="00726065"/>
    <w:rsid w:val="00726116"/>
    <w:rsid w:val="00726243"/>
    <w:rsid w:val="00726304"/>
    <w:rsid w:val="00726B79"/>
    <w:rsid w:val="00726D90"/>
    <w:rsid w:val="00726F42"/>
    <w:rsid w:val="00727815"/>
    <w:rsid w:val="0072784A"/>
    <w:rsid w:val="00727A23"/>
    <w:rsid w:val="00727C0B"/>
    <w:rsid w:val="007301AD"/>
    <w:rsid w:val="00730200"/>
    <w:rsid w:val="007306C5"/>
    <w:rsid w:val="00730988"/>
    <w:rsid w:val="00730A1A"/>
    <w:rsid w:val="007311AA"/>
    <w:rsid w:val="00731500"/>
    <w:rsid w:val="007317FF"/>
    <w:rsid w:val="00731809"/>
    <w:rsid w:val="0073197F"/>
    <w:rsid w:val="00731BA8"/>
    <w:rsid w:val="00731F5D"/>
    <w:rsid w:val="00731FEE"/>
    <w:rsid w:val="00732789"/>
    <w:rsid w:val="00732847"/>
    <w:rsid w:val="00732956"/>
    <w:rsid w:val="00732C8B"/>
    <w:rsid w:val="00732EAF"/>
    <w:rsid w:val="00732FC0"/>
    <w:rsid w:val="007333B4"/>
    <w:rsid w:val="007336AB"/>
    <w:rsid w:val="00733B6E"/>
    <w:rsid w:val="00733D03"/>
    <w:rsid w:val="007341A5"/>
    <w:rsid w:val="0073436F"/>
    <w:rsid w:val="0073443B"/>
    <w:rsid w:val="00734A0F"/>
    <w:rsid w:val="00734BC6"/>
    <w:rsid w:val="00734E48"/>
    <w:rsid w:val="00734E56"/>
    <w:rsid w:val="00734FA8"/>
    <w:rsid w:val="00734FEF"/>
    <w:rsid w:val="007350F0"/>
    <w:rsid w:val="00735473"/>
    <w:rsid w:val="007354C2"/>
    <w:rsid w:val="0073553B"/>
    <w:rsid w:val="00735C69"/>
    <w:rsid w:val="00735F29"/>
    <w:rsid w:val="00735F35"/>
    <w:rsid w:val="00735F49"/>
    <w:rsid w:val="00735F84"/>
    <w:rsid w:val="00735FCF"/>
    <w:rsid w:val="007361C6"/>
    <w:rsid w:val="0073652B"/>
    <w:rsid w:val="00736658"/>
    <w:rsid w:val="00736713"/>
    <w:rsid w:val="0073674B"/>
    <w:rsid w:val="007367AA"/>
    <w:rsid w:val="00736859"/>
    <w:rsid w:val="00736A1D"/>
    <w:rsid w:val="00736C02"/>
    <w:rsid w:val="00736DDD"/>
    <w:rsid w:val="0073721F"/>
    <w:rsid w:val="007373C3"/>
    <w:rsid w:val="00737657"/>
    <w:rsid w:val="007378AE"/>
    <w:rsid w:val="00737994"/>
    <w:rsid w:val="00737BAB"/>
    <w:rsid w:val="00737BE0"/>
    <w:rsid w:val="00737D90"/>
    <w:rsid w:val="00737DDF"/>
    <w:rsid w:val="007404BF"/>
    <w:rsid w:val="0074058D"/>
    <w:rsid w:val="007405E4"/>
    <w:rsid w:val="00740666"/>
    <w:rsid w:val="0074087F"/>
    <w:rsid w:val="00740D98"/>
    <w:rsid w:val="00741132"/>
    <w:rsid w:val="0074129E"/>
    <w:rsid w:val="0074187D"/>
    <w:rsid w:val="007419A6"/>
    <w:rsid w:val="00741A65"/>
    <w:rsid w:val="00741C25"/>
    <w:rsid w:val="00741C5C"/>
    <w:rsid w:val="00741CFE"/>
    <w:rsid w:val="00741DAD"/>
    <w:rsid w:val="00741EFA"/>
    <w:rsid w:val="00742511"/>
    <w:rsid w:val="0074283F"/>
    <w:rsid w:val="00742ADE"/>
    <w:rsid w:val="00742BAC"/>
    <w:rsid w:val="00742DAC"/>
    <w:rsid w:val="00743A63"/>
    <w:rsid w:val="00743AC4"/>
    <w:rsid w:val="00743C64"/>
    <w:rsid w:val="007443F7"/>
    <w:rsid w:val="0074495F"/>
    <w:rsid w:val="007449FE"/>
    <w:rsid w:val="00744AB7"/>
    <w:rsid w:val="00744CD9"/>
    <w:rsid w:val="00744E51"/>
    <w:rsid w:val="007453D0"/>
    <w:rsid w:val="00745A6F"/>
    <w:rsid w:val="00745DEE"/>
    <w:rsid w:val="00745E03"/>
    <w:rsid w:val="00745E89"/>
    <w:rsid w:val="007460F1"/>
    <w:rsid w:val="007461B7"/>
    <w:rsid w:val="0074636A"/>
    <w:rsid w:val="00746584"/>
    <w:rsid w:val="0074690F"/>
    <w:rsid w:val="00746C94"/>
    <w:rsid w:val="00746D5C"/>
    <w:rsid w:val="00746E38"/>
    <w:rsid w:val="007476D7"/>
    <w:rsid w:val="00747737"/>
    <w:rsid w:val="00747ADF"/>
    <w:rsid w:val="00747B07"/>
    <w:rsid w:val="0075025F"/>
    <w:rsid w:val="00750415"/>
    <w:rsid w:val="00750635"/>
    <w:rsid w:val="00750887"/>
    <w:rsid w:val="00750C6C"/>
    <w:rsid w:val="00750F5F"/>
    <w:rsid w:val="0075151C"/>
    <w:rsid w:val="007515BE"/>
    <w:rsid w:val="00751661"/>
    <w:rsid w:val="0075197E"/>
    <w:rsid w:val="00751B2A"/>
    <w:rsid w:val="00751F2B"/>
    <w:rsid w:val="007523AD"/>
    <w:rsid w:val="007523CE"/>
    <w:rsid w:val="0075242B"/>
    <w:rsid w:val="007524E5"/>
    <w:rsid w:val="0075270E"/>
    <w:rsid w:val="00752EAD"/>
    <w:rsid w:val="00752FD3"/>
    <w:rsid w:val="00753046"/>
    <w:rsid w:val="0075325B"/>
    <w:rsid w:val="007537D4"/>
    <w:rsid w:val="00753AD2"/>
    <w:rsid w:val="00754179"/>
    <w:rsid w:val="00754492"/>
    <w:rsid w:val="007544E1"/>
    <w:rsid w:val="00754993"/>
    <w:rsid w:val="007549A4"/>
    <w:rsid w:val="007549B2"/>
    <w:rsid w:val="00754A1D"/>
    <w:rsid w:val="00754AB1"/>
    <w:rsid w:val="00754DA9"/>
    <w:rsid w:val="00754DEA"/>
    <w:rsid w:val="00754EF2"/>
    <w:rsid w:val="00754F7D"/>
    <w:rsid w:val="007551B8"/>
    <w:rsid w:val="007562DC"/>
    <w:rsid w:val="00756505"/>
    <w:rsid w:val="00756635"/>
    <w:rsid w:val="0075671B"/>
    <w:rsid w:val="00756764"/>
    <w:rsid w:val="00756AAF"/>
    <w:rsid w:val="00756E18"/>
    <w:rsid w:val="00756F72"/>
    <w:rsid w:val="007570C8"/>
    <w:rsid w:val="00757230"/>
    <w:rsid w:val="00757705"/>
    <w:rsid w:val="00757FE5"/>
    <w:rsid w:val="007602AF"/>
    <w:rsid w:val="00760563"/>
    <w:rsid w:val="00760833"/>
    <w:rsid w:val="00760952"/>
    <w:rsid w:val="00760C8E"/>
    <w:rsid w:val="00761493"/>
    <w:rsid w:val="0076161E"/>
    <w:rsid w:val="007618D0"/>
    <w:rsid w:val="00761916"/>
    <w:rsid w:val="00761A7A"/>
    <w:rsid w:val="0076263A"/>
    <w:rsid w:val="00762921"/>
    <w:rsid w:val="00762AD4"/>
    <w:rsid w:val="00762B29"/>
    <w:rsid w:val="00762D6D"/>
    <w:rsid w:val="00762DFB"/>
    <w:rsid w:val="00763133"/>
    <w:rsid w:val="00763316"/>
    <w:rsid w:val="0076333F"/>
    <w:rsid w:val="00763CF7"/>
    <w:rsid w:val="00763F4E"/>
    <w:rsid w:val="007641B5"/>
    <w:rsid w:val="007643ED"/>
    <w:rsid w:val="00764470"/>
    <w:rsid w:val="007649E7"/>
    <w:rsid w:val="00764A87"/>
    <w:rsid w:val="00764A92"/>
    <w:rsid w:val="00764BB8"/>
    <w:rsid w:val="00764F29"/>
    <w:rsid w:val="00764F70"/>
    <w:rsid w:val="00765520"/>
    <w:rsid w:val="00765550"/>
    <w:rsid w:val="007655FE"/>
    <w:rsid w:val="007656BC"/>
    <w:rsid w:val="00765790"/>
    <w:rsid w:val="00765893"/>
    <w:rsid w:val="00765DE9"/>
    <w:rsid w:val="00765DEC"/>
    <w:rsid w:val="00765EA5"/>
    <w:rsid w:val="007660C9"/>
    <w:rsid w:val="00766295"/>
    <w:rsid w:val="007663B7"/>
    <w:rsid w:val="007664F8"/>
    <w:rsid w:val="0076662D"/>
    <w:rsid w:val="00766A4F"/>
    <w:rsid w:val="00766D44"/>
    <w:rsid w:val="00767022"/>
    <w:rsid w:val="00767097"/>
    <w:rsid w:val="0076728D"/>
    <w:rsid w:val="007677E5"/>
    <w:rsid w:val="00767A06"/>
    <w:rsid w:val="00767AB9"/>
    <w:rsid w:val="00767BB8"/>
    <w:rsid w:val="00767EA6"/>
    <w:rsid w:val="00770042"/>
    <w:rsid w:val="00770629"/>
    <w:rsid w:val="00770D1B"/>
    <w:rsid w:val="00770F29"/>
    <w:rsid w:val="007715C1"/>
    <w:rsid w:val="00771744"/>
    <w:rsid w:val="00771A46"/>
    <w:rsid w:val="00771B19"/>
    <w:rsid w:val="00771F53"/>
    <w:rsid w:val="00771F98"/>
    <w:rsid w:val="00771FD7"/>
    <w:rsid w:val="00772479"/>
    <w:rsid w:val="00772831"/>
    <w:rsid w:val="0077288C"/>
    <w:rsid w:val="00772B2A"/>
    <w:rsid w:val="00772E07"/>
    <w:rsid w:val="00772E78"/>
    <w:rsid w:val="00772F2B"/>
    <w:rsid w:val="00773048"/>
    <w:rsid w:val="00773445"/>
    <w:rsid w:val="007736C1"/>
    <w:rsid w:val="00773727"/>
    <w:rsid w:val="00773A0B"/>
    <w:rsid w:val="00773D21"/>
    <w:rsid w:val="00773D2D"/>
    <w:rsid w:val="00773F53"/>
    <w:rsid w:val="00774A2E"/>
    <w:rsid w:val="00774BA2"/>
    <w:rsid w:val="00774C3C"/>
    <w:rsid w:val="00774D3A"/>
    <w:rsid w:val="007752DD"/>
    <w:rsid w:val="00775365"/>
    <w:rsid w:val="007754EB"/>
    <w:rsid w:val="0077580A"/>
    <w:rsid w:val="00775A2C"/>
    <w:rsid w:val="00775AE4"/>
    <w:rsid w:val="00775C58"/>
    <w:rsid w:val="00775D92"/>
    <w:rsid w:val="00776057"/>
    <w:rsid w:val="00776119"/>
    <w:rsid w:val="00776127"/>
    <w:rsid w:val="007764DE"/>
    <w:rsid w:val="00776754"/>
    <w:rsid w:val="00776974"/>
    <w:rsid w:val="00776F10"/>
    <w:rsid w:val="0077702C"/>
    <w:rsid w:val="007773EF"/>
    <w:rsid w:val="007777B3"/>
    <w:rsid w:val="0077788C"/>
    <w:rsid w:val="007778BC"/>
    <w:rsid w:val="00777973"/>
    <w:rsid w:val="00777C44"/>
    <w:rsid w:val="00780043"/>
    <w:rsid w:val="00780060"/>
    <w:rsid w:val="00780278"/>
    <w:rsid w:val="007804E5"/>
    <w:rsid w:val="00780547"/>
    <w:rsid w:val="0078070E"/>
    <w:rsid w:val="00780920"/>
    <w:rsid w:val="00780AF3"/>
    <w:rsid w:val="00780CAF"/>
    <w:rsid w:val="00780DAB"/>
    <w:rsid w:val="00780F34"/>
    <w:rsid w:val="007815BA"/>
    <w:rsid w:val="007815CA"/>
    <w:rsid w:val="00781721"/>
    <w:rsid w:val="00781817"/>
    <w:rsid w:val="00781ACE"/>
    <w:rsid w:val="00781BA2"/>
    <w:rsid w:val="00781C29"/>
    <w:rsid w:val="00781E51"/>
    <w:rsid w:val="007822E8"/>
    <w:rsid w:val="007824E9"/>
    <w:rsid w:val="00782668"/>
    <w:rsid w:val="00782755"/>
    <w:rsid w:val="00782767"/>
    <w:rsid w:val="00782AF0"/>
    <w:rsid w:val="00782E17"/>
    <w:rsid w:val="00782FDB"/>
    <w:rsid w:val="00783507"/>
    <w:rsid w:val="007837B1"/>
    <w:rsid w:val="0078394A"/>
    <w:rsid w:val="00783960"/>
    <w:rsid w:val="00783A2B"/>
    <w:rsid w:val="00783E23"/>
    <w:rsid w:val="00783F3B"/>
    <w:rsid w:val="0078423A"/>
    <w:rsid w:val="00784242"/>
    <w:rsid w:val="007842EC"/>
    <w:rsid w:val="007845BE"/>
    <w:rsid w:val="007846D9"/>
    <w:rsid w:val="00784827"/>
    <w:rsid w:val="0078482C"/>
    <w:rsid w:val="00784AAC"/>
    <w:rsid w:val="00784C4D"/>
    <w:rsid w:val="0078505E"/>
    <w:rsid w:val="00785104"/>
    <w:rsid w:val="0078529B"/>
    <w:rsid w:val="00785396"/>
    <w:rsid w:val="0078539A"/>
    <w:rsid w:val="0078560D"/>
    <w:rsid w:val="00785776"/>
    <w:rsid w:val="007859D8"/>
    <w:rsid w:val="00785DAA"/>
    <w:rsid w:val="00786073"/>
    <w:rsid w:val="007860D1"/>
    <w:rsid w:val="007862F0"/>
    <w:rsid w:val="00786321"/>
    <w:rsid w:val="007863F1"/>
    <w:rsid w:val="0078670D"/>
    <w:rsid w:val="00786844"/>
    <w:rsid w:val="00786ECE"/>
    <w:rsid w:val="007874BF"/>
    <w:rsid w:val="00787630"/>
    <w:rsid w:val="007876A5"/>
    <w:rsid w:val="007879A8"/>
    <w:rsid w:val="00787BF2"/>
    <w:rsid w:val="00787C0D"/>
    <w:rsid w:val="00787C34"/>
    <w:rsid w:val="00787CA8"/>
    <w:rsid w:val="00787E57"/>
    <w:rsid w:val="00787F94"/>
    <w:rsid w:val="0079014B"/>
    <w:rsid w:val="00790235"/>
    <w:rsid w:val="0079033E"/>
    <w:rsid w:val="00790568"/>
    <w:rsid w:val="00790605"/>
    <w:rsid w:val="007906BC"/>
    <w:rsid w:val="007907E9"/>
    <w:rsid w:val="0079093F"/>
    <w:rsid w:val="00790A20"/>
    <w:rsid w:val="00790A70"/>
    <w:rsid w:val="0079112A"/>
    <w:rsid w:val="00791A85"/>
    <w:rsid w:val="00791EFA"/>
    <w:rsid w:val="00791F5B"/>
    <w:rsid w:val="00792159"/>
    <w:rsid w:val="00792636"/>
    <w:rsid w:val="0079271D"/>
    <w:rsid w:val="00792768"/>
    <w:rsid w:val="00792866"/>
    <w:rsid w:val="0079296B"/>
    <w:rsid w:val="007929D7"/>
    <w:rsid w:val="00792A91"/>
    <w:rsid w:val="007930E6"/>
    <w:rsid w:val="00793298"/>
    <w:rsid w:val="007932F7"/>
    <w:rsid w:val="00793810"/>
    <w:rsid w:val="007938E5"/>
    <w:rsid w:val="00793B84"/>
    <w:rsid w:val="00793DBC"/>
    <w:rsid w:val="00793F39"/>
    <w:rsid w:val="00794037"/>
    <w:rsid w:val="007941D3"/>
    <w:rsid w:val="00794228"/>
    <w:rsid w:val="007943A3"/>
    <w:rsid w:val="0079457A"/>
    <w:rsid w:val="007945A0"/>
    <w:rsid w:val="00794636"/>
    <w:rsid w:val="00794C5F"/>
    <w:rsid w:val="00794E06"/>
    <w:rsid w:val="007950A1"/>
    <w:rsid w:val="0079546E"/>
    <w:rsid w:val="00795486"/>
    <w:rsid w:val="00795498"/>
    <w:rsid w:val="00795568"/>
    <w:rsid w:val="00795673"/>
    <w:rsid w:val="0079588E"/>
    <w:rsid w:val="007959A8"/>
    <w:rsid w:val="00795AB4"/>
    <w:rsid w:val="00795DC5"/>
    <w:rsid w:val="0079615F"/>
    <w:rsid w:val="007961EE"/>
    <w:rsid w:val="007964C1"/>
    <w:rsid w:val="007969E0"/>
    <w:rsid w:val="00796A37"/>
    <w:rsid w:val="00796A44"/>
    <w:rsid w:val="00796B25"/>
    <w:rsid w:val="00796B6E"/>
    <w:rsid w:val="00796ED8"/>
    <w:rsid w:val="0079719A"/>
    <w:rsid w:val="00797244"/>
    <w:rsid w:val="00797394"/>
    <w:rsid w:val="0079753E"/>
    <w:rsid w:val="0079764C"/>
    <w:rsid w:val="00797820"/>
    <w:rsid w:val="00797A94"/>
    <w:rsid w:val="00797D17"/>
    <w:rsid w:val="007A00F6"/>
    <w:rsid w:val="007A0776"/>
    <w:rsid w:val="007A07B1"/>
    <w:rsid w:val="007A08D4"/>
    <w:rsid w:val="007A0D75"/>
    <w:rsid w:val="007A0FFC"/>
    <w:rsid w:val="007A1050"/>
    <w:rsid w:val="007A120D"/>
    <w:rsid w:val="007A1317"/>
    <w:rsid w:val="007A167F"/>
    <w:rsid w:val="007A1A90"/>
    <w:rsid w:val="007A20FD"/>
    <w:rsid w:val="007A2198"/>
    <w:rsid w:val="007A23F4"/>
    <w:rsid w:val="007A24A4"/>
    <w:rsid w:val="007A2824"/>
    <w:rsid w:val="007A2BC2"/>
    <w:rsid w:val="007A2C0F"/>
    <w:rsid w:val="007A2CCD"/>
    <w:rsid w:val="007A2D69"/>
    <w:rsid w:val="007A2EFB"/>
    <w:rsid w:val="007A2FEB"/>
    <w:rsid w:val="007A3317"/>
    <w:rsid w:val="007A33D2"/>
    <w:rsid w:val="007A340C"/>
    <w:rsid w:val="007A3827"/>
    <w:rsid w:val="007A3AEF"/>
    <w:rsid w:val="007A3D5D"/>
    <w:rsid w:val="007A40D9"/>
    <w:rsid w:val="007A412A"/>
    <w:rsid w:val="007A4244"/>
    <w:rsid w:val="007A4429"/>
    <w:rsid w:val="007A448B"/>
    <w:rsid w:val="007A4566"/>
    <w:rsid w:val="007A45C9"/>
    <w:rsid w:val="007A4B80"/>
    <w:rsid w:val="007A532E"/>
    <w:rsid w:val="007A56D2"/>
    <w:rsid w:val="007A5857"/>
    <w:rsid w:val="007A5AEE"/>
    <w:rsid w:val="007A5BFF"/>
    <w:rsid w:val="007A5CEC"/>
    <w:rsid w:val="007A61B0"/>
    <w:rsid w:val="007A62CC"/>
    <w:rsid w:val="007A64A6"/>
    <w:rsid w:val="007A6A1D"/>
    <w:rsid w:val="007A6F55"/>
    <w:rsid w:val="007A71B3"/>
    <w:rsid w:val="007A7570"/>
    <w:rsid w:val="007A768B"/>
    <w:rsid w:val="007A76D1"/>
    <w:rsid w:val="007B01CB"/>
    <w:rsid w:val="007B0423"/>
    <w:rsid w:val="007B0721"/>
    <w:rsid w:val="007B08F1"/>
    <w:rsid w:val="007B0957"/>
    <w:rsid w:val="007B09C3"/>
    <w:rsid w:val="007B0B47"/>
    <w:rsid w:val="007B0CC0"/>
    <w:rsid w:val="007B0E07"/>
    <w:rsid w:val="007B0EA7"/>
    <w:rsid w:val="007B0F24"/>
    <w:rsid w:val="007B0FDC"/>
    <w:rsid w:val="007B12EC"/>
    <w:rsid w:val="007B139A"/>
    <w:rsid w:val="007B145F"/>
    <w:rsid w:val="007B1464"/>
    <w:rsid w:val="007B18EC"/>
    <w:rsid w:val="007B193A"/>
    <w:rsid w:val="007B1D18"/>
    <w:rsid w:val="007B1FB7"/>
    <w:rsid w:val="007B21CD"/>
    <w:rsid w:val="007B21F9"/>
    <w:rsid w:val="007B226F"/>
    <w:rsid w:val="007B24E6"/>
    <w:rsid w:val="007B2752"/>
    <w:rsid w:val="007B27E4"/>
    <w:rsid w:val="007B2960"/>
    <w:rsid w:val="007B2ADC"/>
    <w:rsid w:val="007B2DDC"/>
    <w:rsid w:val="007B2FC6"/>
    <w:rsid w:val="007B3268"/>
    <w:rsid w:val="007B3405"/>
    <w:rsid w:val="007B35A6"/>
    <w:rsid w:val="007B3882"/>
    <w:rsid w:val="007B3F66"/>
    <w:rsid w:val="007B42C0"/>
    <w:rsid w:val="007B42FD"/>
    <w:rsid w:val="007B4C7D"/>
    <w:rsid w:val="007B4D9E"/>
    <w:rsid w:val="007B50F1"/>
    <w:rsid w:val="007B5154"/>
    <w:rsid w:val="007B52C8"/>
    <w:rsid w:val="007B53F2"/>
    <w:rsid w:val="007B5660"/>
    <w:rsid w:val="007B576B"/>
    <w:rsid w:val="007B5A12"/>
    <w:rsid w:val="007B5CC5"/>
    <w:rsid w:val="007B60A3"/>
    <w:rsid w:val="007B6314"/>
    <w:rsid w:val="007B658C"/>
    <w:rsid w:val="007B6897"/>
    <w:rsid w:val="007B6C75"/>
    <w:rsid w:val="007B6E5D"/>
    <w:rsid w:val="007B6FA4"/>
    <w:rsid w:val="007B6FF4"/>
    <w:rsid w:val="007B7039"/>
    <w:rsid w:val="007B7326"/>
    <w:rsid w:val="007B7788"/>
    <w:rsid w:val="007B77C5"/>
    <w:rsid w:val="007B7BD4"/>
    <w:rsid w:val="007B7C1F"/>
    <w:rsid w:val="007B7D91"/>
    <w:rsid w:val="007C0660"/>
    <w:rsid w:val="007C0A10"/>
    <w:rsid w:val="007C0B76"/>
    <w:rsid w:val="007C1095"/>
    <w:rsid w:val="007C1178"/>
    <w:rsid w:val="007C12E0"/>
    <w:rsid w:val="007C132C"/>
    <w:rsid w:val="007C133C"/>
    <w:rsid w:val="007C1405"/>
    <w:rsid w:val="007C175D"/>
    <w:rsid w:val="007C17AB"/>
    <w:rsid w:val="007C1A5A"/>
    <w:rsid w:val="007C1A5D"/>
    <w:rsid w:val="007C1BD7"/>
    <w:rsid w:val="007C1D1E"/>
    <w:rsid w:val="007C200C"/>
    <w:rsid w:val="007C20A0"/>
    <w:rsid w:val="007C214A"/>
    <w:rsid w:val="007C26C7"/>
    <w:rsid w:val="007C273F"/>
    <w:rsid w:val="007C2798"/>
    <w:rsid w:val="007C2F63"/>
    <w:rsid w:val="007C327C"/>
    <w:rsid w:val="007C3762"/>
    <w:rsid w:val="007C3787"/>
    <w:rsid w:val="007C3ABB"/>
    <w:rsid w:val="007C3B49"/>
    <w:rsid w:val="007C3E16"/>
    <w:rsid w:val="007C4002"/>
    <w:rsid w:val="007C43A0"/>
    <w:rsid w:val="007C4D07"/>
    <w:rsid w:val="007C4D92"/>
    <w:rsid w:val="007C4E44"/>
    <w:rsid w:val="007C557C"/>
    <w:rsid w:val="007C55C1"/>
    <w:rsid w:val="007C5694"/>
    <w:rsid w:val="007C58A3"/>
    <w:rsid w:val="007C58F5"/>
    <w:rsid w:val="007C59B6"/>
    <w:rsid w:val="007C5A45"/>
    <w:rsid w:val="007C5C1A"/>
    <w:rsid w:val="007C60D4"/>
    <w:rsid w:val="007C61E4"/>
    <w:rsid w:val="007C6215"/>
    <w:rsid w:val="007C63D5"/>
    <w:rsid w:val="007C645A"/>
    <w:rsid w:val="007C657D"/>
    <w:rsid w:val="007C698D"/>
    <w:rsid w:val="007C6997"/>
    <w:rsid w:val="007C70AA"/>
    <w:rsid w:val="007C71B3"/>
    <w:rsid w:val="007C72BA"/>
    <w:rsid w:val="007C7311"/>
    <w:rsid w:val="007C738A"/>
    <w:rsid w:val="007C75CA"/>
    <w:rsid w:val="007C79EC"/>
    <w:rsid w:val="007C7FDE"/>
    <w:rsid w:val="007D013C"/>
    <w:rsid w:val="007D01CC"/>
    <w:rsid w:val="007D08E5"/>
    <w:rsid w:val="007D094E"/>
    <w:rsid w:val="007D0E99"/>
    <w:rsid w:val="007D0FA2"/>
    <w:rsid w:val="007D121E"/>
    <w:rsid w:val="007D19A1"/>
    <w:rsid w:val="007D1A3F"/>
    <w:rsid w:val="007D1B83"/>
    <w:rsid w:val="007D1BFE"/>
    <w:rsid w:val="007D1D7A"/>
    <w:rsid w:val="007D2291"/>
    <w:rsid w:val="007D24B4"/>
    <w:rsid w:val="007D24FC"/>
    <w:rsid w:val="007D25AD"/>
    <w:rsid w:val="007D262C"/>
    <w:rsid w:val="007D274F"/>
    <w:rsid w:val="007D2B37"/>
    <w:rsid w:val="007D2BB8"/>
    <w:rsid w:val="007D2FA8"/>
    <w:rsid w:val="007D300D"/>
    <w:rsid w:val="007D3104"/>
    <w:rsid w:val="007D31B2"/>
    <w:rsid w:val="007D3750"/>
    <w:rsid w:val="007D3B56"/>
    <w:rsid w:val="007D4057"/>
    <w:rsid w:val="007D4180"/>
    <w:rsid w:val="007D46D8"/>
    <w:rsid w:val="007D4876"/>
    <w:rsid w:val="007D49B5"/>
    <w:rsid w:val="007D4AAA"/>
    <w:rsid w:val="007D4D8B"/>
    <w:rsid w:val="007D5029"/>
    <w:rsid w:val="007D50B0"/>
    <w:rsid w:val="007D5131"/>
    <w:rsid w:val="007D5707"/>
    <w:rsid w:val="007D583F"/>
    <w:rsid w:val="007D592B"/>
    <w:rsid w:val="007D5D65"/>
    <w:rsid w:val="007D5E00"/>
    <w:rsid w:val="007D60F8"/>
    <w:rsid w:val="007D62DC"/>
    <w:rsid w:val="007D67E6"/>
    <w:rsid w:val="007D6C8A"/>
    <w:rsid w:val="007D7005"/>
    <w:rsid w:val="007D70B0"/>
    <w:rsid w:val="007D7974"/>
    <w:rsid w:val="007D7DD5"/>
    <w:rsid w:val="007D7DEE"/>
    <w:rsid w:val="007E0254"/>
    <w:rsid w:val="007E0416"/>
    <w:rsid w:val="007E05F9"/>
    <w:rsid w:val="007E0700"/>
    <w:rsid w:val="007E08C3"/>
    <w:rsid w:val="007E0C5C"/>
    <w:rsid w:val="007E1047"/>
    <w:rsid w:val="007E1272"/>
    <w:rsid w:val="007E1582"/>
    <w:rsid w:val="007E1667"/>
    <w:rsid w:val="007E1820"/>
    <w:rsid w:val="007E18BF"/>
    <w:rsid w:val="007E19D7"/>
    <w:rsid w:val="007E1A37"/>
    <w:rsid w:val="007E1A9C"/>
    <w:rsid w:val="007E1DF7"/>
    <w:rsid w:val="007E1E2C"/>
    <w:rsid w:val="007E1E8E"/>
    <w:rsid w:val="007E1F89"/>
    <w:rsid w:val="007E2057"/>
    <w:rsid w:val="007E22AE"/>
    <w:rsid w:val="007E25AC"/>
    <w:rsid w:val="007E27CE"/>
    <w:rsid w:val="007E2834"/>
    <w:rsid w:val="007E286A"/>
    <w:rsid w:val="007E28B7"/>
    <w:rsid w:val="007E2B63"/>
    <w:rsid w:val="007E2BA1"/>
    <w:rsid w:val="007E2BF2"/>
    <w:rsid w:val="007E2ECE"/>
    <w:rsid w:val="007E3063"/>
    <w:rsid w:val="007E322C"/>
    <w:rsid w:val="007E3318"/>
    <w:rsid w:val="007E3375"/>
    <w:rsid w:val="007E346E"/>
    <w:rsid w:val="007E3653"/>
    <w:rsid w:val="007E374E"/>
    <w:rsid w:val="007E37F5"/>
    <w:rsid w:val="007E3A63"/>
    <w:rsid w:val="007E3F77"/>
    <w:rsid w:val="007E407D"/>
    <w:rsid w:val="007E4353"/>
    <w:rsid w:val="007E4462"/>
    <w:rsid w:val="007E49A1"/>
    <w:rsid w:val="007E4AE3"/>
    <w:rsid w:val="007E4DE0"/>
    <w:rsid w:val="007E5677"/>
    <w:rsid w:val="007E5827"/>
    <w:rsid w:val="007E5A7B"/>
    <w:rsid w:val="007E5EFE"/>
    <w:rsid w:val="007E5FFA"/>
    <w:rsid w:val="007E60CF"/>
    <w:rsid w:val="007E616D"/>
    <w:rsid w:val="007E61E9"/>
    <w:rsid w:val="007E65B6"/>
    <w:rsid w:val="007E6611"/>
    <w:rsid w:val="007E66BF"/>
    <w:rsid w:val="007E66DD"/>
    <w:rsid w:val="007E6B4A"/>
    <w:rsid w:val="007E6C5F"/>
    <w:rsid w:val="007E761B"/>
    <w:rsid w:val="007E765A"/>
    <w:rsid w:val="007E779A"/>
    <w:rsid w:val="007E7AC1"/>
    <w:rsid w:val="007E7B35"/>
    <w:rsid w:val="007E7EC6"/>
    <w:rsid w:val="007E7F11"/>
    <w:rsid w:val="007E7FFA"/>
    <w:rsid w:val="007E7FFB"/>
    <w:rsid w:val="007F02F4"/>
    <w:rsid w:val="007F0478"/>
    <w:rsid w:val="007F059E"/>
    <w:rsid w:val="007F05EF"/>
    <w:rsid w:val="007F075E"/>
    <w:rsid w:val="007F07CE"/>
    <w:rsid w:val="007F0B22"/>
    <w:rsid w:val="007F0B73"/>
    <w:rsid w:val="007F0CF2"/>
    <w:rsid w:val="007F0EAD"/>
    <w:rsid w:val="007F14BA"/>
    <w:rsid w:val="007F14D7"/>
    <w:rsid w:val="007F16E7"/>
    <w:rsid w:val="007F1D9E"/>
    <w:rsid w:val="007F1DFD"/>
    <w:rsid w:val="007F20F7"/>
    <w:rsid w:val="007F22AA"/>
    <w:rsid w:val="007F23D3"/>
    <w:rsid w:val="007F246F"/>
    <w:rsid w:val="007F2775"/>
    <w:rsid w:val="007F29A3"/>
    <w:rsid w:val="007F29EC"/>
    <w:rsid w:val="007F2A29"/>
    <w:rsid w:val="007F2AEA"/>
    <w:rsid w:val="007F30B2"/>
    <w:rsid w:val="007F3506"/>
    <w:rsid w:val="007F36D7"/>
    <w:rsid w:val="007F39B1"/>
    <w:rsid w:val="007F3A93"/>
    <w:rsid w:val="007F3E3B"/>
    <w:rsid w:val="007F42CB"/>
    <w:rsid w:val="007F46BF"/>
    <w:rsid w:val="007F525E"/>
    <w:rsid w:val="007F5348"/>
    <w:rsid w:val="007F536F"/>
    <w:rsid w:val="007F53F7"/>
    <w:rsid w:val="007F58A4"/>
    <w:rsid w:val="007F5BC7"/>
    <w:rsid w:val="007F5C8B"/>
    <w:rsid w:val="007F6026"/>
    <w:rsid w:val="007F6223"/>
    <w:rsid w:val="007F65D2"/>
    <w:rsid w:val="007F6884"/>
    <w:rsid w:val="007F697D"/>
    <w:rsid w:val="007F6B31"/>
    <w:rsid w:val="007F6E3E"/>
    <w:rsid w:val="007F6E4C"/>
    <w:rsid w:val="007F6EC0"/>
    <w:rsid w:val="007F76A0"/>
    <w:rsid w:val="007F777E"/>
    <w:rsid w:val="007F778C"/>
    <w:rsid w:val="007F7875"/>
    <w:rsid w:val="007F78E6"/>
    <w:rsid w:val="007F7B30"/>
    <w:rsid w:val="007F7C62"/>
    <w:rsid w:val="007F7E78"/>
    <w:rsid w:val="007F7F81"/>
    <w:rsid w:val="008000D3"/>
    <w:rsid w:val="0080026A"/>
    <w:rsid w:val="008005E4"/>
    <w:rsid w:val="008007D5"/>
    <w:rsid w:val="008008CA"/>
    <w:rsid w:val="00800BE5"/>
    <w:rsid w:val="00800CBE"/>
    <w:rsid w:val="00800E65"/>
    <w:rsid w:val="0080115B"/>
    <w:rsid w:val="0080127F"/>
    <w:rsid w:val="00801291"/>
    <w:rsid w:val="008012DC"/>
    <w:rsid w:val="0080169B"/>
    <w:rsid w:val="00801B1B"/>
    <w:rsid w:val="00801F25"/>
    <w:rsid w:val="00801F43"/>
    <w:rsid w:val="0080207E"/>
    <w:rsid w:val="008021B9"/>
    <w:rsid w:val="008021E2"/>
    <w:rsid w:val="00802347"/>
    <w:rsid w:val="008023F7"/>
    <w:rsid w:val="00802542"/>
    <w:rsid w:val="00802CA1"/>
    <w:rsid w:val="00802DA2"/>
    <w:rsid w:val="00802E42"/>
    <w:rsid w:val="0080310F"/>
    <w:rsid w:val="008032C6"/>
    <w:rsid w:val="008034FD"/>
    <w:rsid w:val="00803692"/>
    <w:rsid w:val="008036C8"/>
    <w:rsid w:val="0080385E"/>
    <w:rsid w:val="00803BC3"/>
    <w:rsid w:val="00803D3E"/>
    <w:rsid w:val="00803E49"/>
    <w:rsid w:val="00803FFB"/>
    <w:rsid w:val="0080408B"/>
    <w:rsid w:val="008040C4"/>
    <w:rsid w:val="00804368"/>
    <w:rsid w:val="008045B8"/>
    <w:rsid w:val="008046CD"/>
    <w:rsid w:val="008047FC"/>
    <w:rsid w:val="00804826"/>
    <w:rsid w:val="00804921"/>
    <w:rsid w:val="0080492A"/>
    <w:rsid w:val="00804BAE"/>
    <w:rsid w:val="00805342"/>
    <w:rsid w:val="00805407"/>
    <w:rsid w:val="00805CDE"/>
    <w:rsid w:val="00805E49"/>
    <w:rsid w:val="008060BC"/>
    <w:rsid w:val="008062D9"/>
    <w:rsid w:val="00806406"/>
    <w:rsid w:val="008066C5"/>
    <w:rsid w:val="00806C4C"/>
    <w:rsid w:val="00806D3A"/>
    <w:rsid w:val="00806E06"/>
    <w:rsid w:val="00806F0B"/>
    <w:rsid w:val="0080712E"/>
    <w:rsid w:val="008071C3"/>
    <w:rsid w:val="008071EA"/>
    <w:rsid w:val="008074D1"/>
    <w:rsid w:val="008075F0"/>
    <w:rsid w:val="00807773"/>
    <w:rsid w:val="00807898"/>
    <w:rsid w:val="008078BB"/>
    <w:rsid w:val="00807E0E"/>
    <w:rsid w:val="00810319"/>
    <w:rsid w:val="00810334"/>
    <w:rsid w:val="008103A4"/>
    <w:rsid w:val="00810482"/>
    <w:rsid w:val="00810711"/>
    <w:rsid w:val="00810873"/>
    <w:rsid w:val="008109F2"/>
    <w:rsid w:val="00810A81"/>
    <w:rsid w:val="00810B37"/>
    <w:rsid w:val="00810B9F"/>
    <w:rsid w:val="008110AE"/>
    <w:rsid w:val="008112E2"/>
    <w:rsid w:val="008114D3"/>
    <w:rsid w:val="008114F3"/>
    <w:rsid w:val="0081154F"/>
    <w:rsid w:val="00811635"/>
    <w:rsid w:val="00811642"/>
    <w:rsid w:val="00811646"/>
    <w:rsid w:val="00811725"/>
    <w:rsid w:val="00811B23"/>
    <w:rsid w:val="00811E40"/>
    <w:rsid w:val="00811EDF"/>
    <w:rsid w:val="0081223B"/>
    <w:rsid w:val="008123DD"/>
    <w:rsid w:val="00812451"/>
    <w:rsid w:val="008125EA"/>
    <w:rsid w:val="00812681"/>
    <w:rsid w:val="00812C61"/>
    <w:rsid w:val="00812EE4"/>
    <w:rsid w:val="00812F26"/>
    <w:rsid w:val="008131A1"/>
    <w:rsid w:val="00813397"/>
    <w:rsid w:val="00813431"/>
    <w:rsid w:val="0081375B"/>
    <w:rsid w:val="008139A5"/>
    <w:rsid w:val="00813A55"/>
    <w:rsid w:val="00813F95"/>
    <w:rsid w:val="00814076"/>
    <w:rsid w:val="0081420F"/>
    <w:rsid w:val="00814320"/>
    <w:rsid w:val="008143A9"/>
    <w:rsid w:val="00814A93"/>
    <w:rsid w:val="00814CA4"/>
    <w:rsid w:val="00815248"/>
    <w:rsid w:val="008154D6"/>
    <w:rsid w:val="00815537"/>
    <w:rsid w:val="008155E1"/>
    <w:rsid w:val="008157A4"/>
    <w:rsid w:val="00815F92"/>
    <w:rsid w:val="00816F74"/>
    <w:rsid w:val="008172B0"/>
    <w:rsid w:val="00817350"/>
    <w:rsid w:val="00817352"/>
    <w:rsid w:val="008173F1"/>
    <w:rsid w:val="00817474"/>
    <w:rsid w:val="00817713"/>
    <w:rsid w:val="008179E9"/>
    <w:rsid w:val="00817A03"/>
    <w:rsid w:val="00817A7C"/>
    <w:rsid w:val="00817BEB"/>
    <w:rsid w:val="00817C94"/>
    <w:rsid w:val="00817D29"/>
    <w:rsid w:val="00820125"/>
    <w:rsid w:val="00820340"/>
    <w:rsid w:val="008203D1"/>
    <w:rsid w:val="00820630"/>
    <w:rsid w:val="00820632"/>
    <w:rsid w:val="00820760"/>
    <w:rsid w:val="008208E8"/>
    <w:rsid w:val="00820922"/>
    <w:rsid w:val="00820C28"/>
    <w:rsid w:val="00820C7A"/>
    <w:rsid w:val="00820E39"/>
    <w:rsid w:val="00820ED8"/>
    <w:rsid w:val="00821296"/>
    <w:rsid w:val="00821496"/>
    <w:rsid w:val="00821A85"/>
    <w:rsid w:val="00821E67"/>
    <w:rsid w:val="0082252E"/>
    <w:rsid w:val="00822601"/>
    <w:rsid w:val="00822707"/>
    <w:rsid w:val="00822BB5"/>
    <w:rsid w:val="00822BDA"/>
    <w:rsid w:val="00822C1A"/>
    <w:rsid w:val="00823119"/>
    <w:rsid w:val="0082317B"/>
    <w:rsid w:val="00823242"/>
    <w:rsid w:val="00823687"/>
    <w:rsid w:val="00823CA2"/>
    <w:rsid w:val="00823E27"/>
    <w:rsid w:val="00823E85"/>
    <w:rsid w:val="0082425F"/>
    <w:rsid w:val="0082431F"/>
    <w:rsid w:val="008243A2"/>
    <w:rsid w:val="008245BE"/>
    <w:rsid w:val="0082465E"/>
    <w:rsid w:val="008249C8"/>
    <w:rsid w:val="00824A63"/>
    <w:rsid w:val="00824B48"/>
    <w:rsid w:val="00824C78"/>
    <w:rsid w:val="00824D8A"/>
    <w:rsid w:val="00824E8D"/>
    <w:rsid w:val="00824F97"/>
    <w:rsid w:val="008250A0"/>
    <w:rsid w:val="0082518A"/>
    <w:rsid w:val="0082518D"/>
    <w:rsid w:val="0082559C"/>
    <w:rsid w:val="0082587E"/>
    <w:rsid w:val="0082595C"/>
    <w:rsid w:val="00826362"/>
    <w:rsid w:val="00826728"/>
    <w:rsid w:val="008268A0"/>
    <w:rsid w:val="00826975"/>
    <w:rsid w:val="00826ABD"/>
    <w:rsid w:val="00826AD1"/>
    <w:rsid w:val="00826EA9"/>
    <w:rsid w:val="00827114"/>
    <w:rsid w:val="008273BC"/>
    <w:rsid w:val="008277EF"/>
    <w:rsid w:val="00827A53"/>
    <w:rsid w:val="00827BA3"/>
    <w:rsid w:val="00827D0A"/>
    <w:rsid w:val="00827E7B"/>
    <w:rsid w:val="00827E83"/>
    <w:rsid w:val="00827E89"/>
    <w:rsid w:val="00830630"/>
    <w:rsid w:val="008309DE"/>
    <w:rsid w:val="00830DB4"/>
    <w:rsid w:val="00830DFD"/>
    <w:rsid w:val="00830F5C"/>
    <w:rsid w:val="00831180"/>
    <w:rsid w:val="008316B8"/>
    <w:rsid w:val="0083191A"/>
    <w:rsid w:val="00831A01"/>
    <w:rsid w:val="00831C41"/>
    <w:rsid w:val="00831C87"/>
    <w:rsid w:val="00831D96"/>
    <w:rsid w:val="00832225"/>
    <w:rsid w:val="00832283"/>
    <w:rsid w:val="008323E7"/>
    <w:rsid w:val="00832598"/>
    <w:rsid w:val="0083289F"/>
    <w:rsid w:val="008328D8"/>
    <w:rsid w:val="00832CA6"/>
    <w:rsid w:val="0083315B"/>
    <w:rsid w:val="00833469"/>
    <w:rsid w:val="008336E6"/>
    <w:rsid w:val="00833B02"/>
    <w:rsid w:val="00833B93"/>
    <w:rsid w:val="00833D78"/>
    <w:rsid w:val="00833F40"/>
    <w:rsid w:val="00834009"/>
    <w:rsid w:val="00834201"/>
    <w:rsid w:val="00834309"/>
    <w:rsid w:val="00834452"/>
    <w:rsid w:val="008344A2"/>
    <w:rsid w:val="0083466A"/>
    <w:rsid w:val="0083495A"/>
    <w:rsid w:val="00834C54"/>
    <w:rsid w:val="00834F72"/>
    <w:rsid w:val="0083518A"/>
    <w:rsid w:val="008351C3"/>
    <w:rsid w:val="00835571"/>
    <w:rsid w:val="008357BF"/>
    <w:rsid w:val="00835896"/>
    <w:rsid w:val="008359A0"/>
    <w:rsid w:val="00835CB3"/>
    <w:rsid w:val="008360EE"/>
    <w:rsid w:val="0083649D"/>
    <w:rsid w:val="00836C19"/>
    <w:rsid w:val="00836E37"/>
    <w:rsid w:val="00837064"/>
    <w:rsid w:val="008374CD"/>
    <w:rsid w:val="00837642"/>
    <w:rsid w:val="0083786E"/>
    <w:rsid w:val="00837932"/>
    <w:rsid w:val="00837CC4"/>
    <w:rsid w:val="00837ECF"/>
    <w:rsid w:val="00837FF3"/>
    <w:rsid w:val="00840316"/>
    <w:rsid w:val="00840365"/>
    <w:rsid w:val="008407C9"/>
    <w:rsid w:val="00840C9D"/>
    <w:rsid w:val="00841200"/>
    <w:rsid w:val="00841297"/>
    <w:rsid w:val="0084144B"/>
    <w:rsid w:val="008415EE"/>
    <w:rsid w:val="00841AFF"/>
    <w:rsid w:val="00841B96"/>
    <w:rsid w:val="00841C26"/>
    <w:rsid w:val="00841C58"/>
    <w:rsid w:val="00841D12"/>
    <w:rsid w:val="00841D38"/>
    <w:rsid w:val="00842019"/>
    <w:rsid w:val="008421DE"/>
    <w:rsid w:val="008423C1"/>
    <w:rsid w:val="00842512"/>
    <w:rsid w:val="008425F9"/>
    <w:rsid w:val="00842677"/>
    <w:rsid w:val="00842836"/>
    <w:rsid w:val="008428AC"/>
    <w:rsid w:val="00842A10"/>
    <w:rsid w:val="008432ED"/>
    <w:rsid w:val="0084383D"/>
    <w:rsid w:val="00843ABB"/>
    <w:rsid w:val="00843BED"/>
    <w:rsid w:val="00843E40"/>
    <w:rsid w:val="008441DC"/>
    <w:rsid w:val="00844550"/>
    <w:rsid w:val="0084459D"/>
    <w:rsid w:val="00844BF4"/>
    <w:rsid w:val="00844E8E"/>
    <w:rsid w:val="008450D5"/>
    <w:rsid w:val="00845167"/>
    <w:rsid w:val="008455F3"/>
    <w:rsid w:val="00845ADB"/>
    <w:rsid w:val="00845CB7"/>
    <w:rsid w:val="00845EB5"/>
    <w:rsid w:val="00845FFF"/>
    <w:rsid w:val="00846164"/>
    <w:rsid w:val="00846689"/>
    <w:rsid w:val="00846898"/>
    <w:rsid w:val="00846A85"/>
    <w:rsid w:val="00846C60"/>
    <w:rsid w:val="00846D7B"/>
    <w:rsid w:val="0084775C"/>
    <w:rsid w:val="008477CC"/>
    <w:rsid w:val="00847EBB"/>
    <w:rsid w:val="008509E1"/>
    <w:rsid w:val="00850BAE"/>
    <w:rsid w:val="00850F9C"/>
    <w:rsid w:val="00850FCF"/>
    <w:rsid w:val="00851511"/>
    <w:rsid w:val="00851B93"/>
    <w:rsid w:val="00851C6C"/>
    <w:rsid w:val="00851FB9"/>
    <w:rsid w:val="00852546"/>
    <w:rsid w:val="0085256E"/>
    <w:rsid w:val="00852846"/>
    <w:rsid w:val="0085292C"/>
    <w:rsid w:val="00852A93"/>
    <w:rsid w:val="00852F8E"/>
    <w:rsid w:val="00853311"/>
    <w:rsid w:val="0085332D"/>
    <w:rsid w:val="00853D45"/>
    <w:rsid w:val="00853D98"/>
    <w:rsid w:val="00853FA5"/>
    <w:rsid w:val="008541DC"/>
    <w:rsid w:val="008544CA"/>
    <w:rsid w:val="008544E6"/>
    <w:rsid w:val="00854BD0"/>
    <w:rsid w:val="00854BF7"/>
    <w:rsid w:val="0085515A"/>
    <w:rsid w:val="008555CF"/>
    <w:rsid w:val="008556A7"/>
    <w:rsid w:val="0085596A"/>
    <w:rsid w:val="008559A8"/>
    <w:rsid w:val="00855BA0"/>
    <w:rsid w:val="00855BC2"/>
    <w:rsid w:val="00855C48"/>
    <w:rsid w:val="00855C8B"/>
    <w:rsid w:val="00856377"/>
    <w:rsid w:val="008563A2"/>
    <w:rsid w:val="008566C6"/>
    <w:rsid w:val="0085671B"/>
    <w:rsid w:val="0085673A"/>
    <w:rsid w:val="008568C1"/>
    <w:rsid w:val="00856B91"/>
    <w:rsid w:val="00856FCD"/>
    <w:rsid w:val="0085727F"/>
    <w:rsid w:val="008573E9"/>
    <w:rsid w:val="00857638"/>
    <w:rsid w:val="00857A48"/>
    <w:rsid w:val="00857A4D"/>
    <w:rsid w:val="00857E76"/>
    <w:rsid w:val="00857EAB"/>
    <w:rsid w:val="00857FA1"/>
    <w:rsid w:val="00860B2C"/>
    <w:rsid w:val="00860BB9"/>
    <w:rsid w:val="00860BC1"/>
    <w:rsid w:val="00860C70"/>
    <w:rsid w:val="00860DB2"/>
    <w:rsid w:val="00861017"/>
    <w:rsid w:val="0086135C"/>
    <w:rsid w:val="0086161C"/>
    <w:rsid w:val="00861912"/>
    <w:rsid w:val="00861C16"/>
    <w:rsid w:val="00861DDF"/>
    <w:rsid w:val="00861E0D"/>
    <w:rsid w:val="0086225D"/>
    <w:rsid w:val="008623D6"/>
    <w:rsid w:val="0086246F"/>
    <w:rsid w:val="008624E2"/>
    <w:rsid w:val="0086266B"/>
    <w:rsid w:val="00862BCF"/>
    <w:rsid w:val="008631EE"/>
    <w:rsid w:val="008633D2"/>
    <w:rsid w:val="00863460"/>
    <w:rsid w:val="008634CE"/>
    <w:rsid w:val="00863515"/>
    <w:rsid w:val="00863A4A"/>
    <w:rsid w:val="00863AA8"/>
    <w:rsid w:val="00863B63"/>
    <w:rsid w:val="008641B1"/>
    <w:rsid w:val="00864217"/>
    <w:rsid w:val="008643CE"/>
    <w:rsid w:val="00864865"/>
    <w:rsid w:val="00864A84"/>
    <w:rsid w:val="0086509A"/>
    <w:rsid w:val="008655C6"/>
    <w:rsid w:val="008656F3"/>
    <w:rsid w:val="008657C4"/>
    <w:rsid w:val="008657ED"/>
    <w:rsid w:val="008659EC"/>
    <w:rsid w:val="00865B4D"/>
    <w:rsid w:val="00865FD9"/>
    <w:rsid w:val="0086609F"/>
    <w:rsid w:val="008661BA"/>
    <w:rsid w:val="00866393"/>
    <w:rsid w:val="00866689"/>
    <w:rsid w:val="008668FF"/>
    <w:rsid w:val="00866A62"/>
    <w:rsid w:val="00866AD4"/>
    <w:rsid w:val="00866C42"/>
    <w:rsid w:val="00866EB3"/>
    <w:rsid w:val="008671E8"/>
    <w:rsid w:val="0086767F"/>
    <w:rsid w:val="0086788C"/>
    <w:rsid w:val="008678D8"/>
    <w:rsid w:val="00867DE8"/>
    <w:rsid w:val="00867ED9"/>
    <w:rsid w:val="00867FA5"/>
    <w:rsid w:val="00870502"/>
    <w:rsid w:val="00870881"/>
    <w:rsid w:val="00870D72"/>
    <w:rsid w:val="0087105D"/>
    <w:rsid w:val="00871218"/>
    <w:rsid w:val="008712C8"/>
    <w:rsid w:val="00871668"/>
    <w:rsid w:val="00871885"/>
    <w:rsid w:val="0087188E"/>
    <w:rsid w:val="00871901"/>
    <w:rsid w:val="00872051"/>
    <w:rsid w:val="00872194"/>
    <w:rsid w:val="008722D2"/>
    <w:rsid w:val="0087230B"/>
    <w:rsid w:val="00872577"/>
    <w:rsid w:val="008725CF"/>
    <w:rsid w:val="00872947"/>
    <w:rsid w:val="00873529"/>
    <w:rsid w:val="008736AA"/>
    <w:rsid w:val="0087394B"/>
    <w:rsid w:val="00873A66"/>
    <w:rsid w:val="00873AAA"/>
    <w:rsid w:val="0087403A"/>
    <w:rsid w:val="00874094"/>
    <w:rsid w:val="0087438B"/>
    <w:rsid w:val="00874705"/>
    <w:rsid w:val="00874707"/>
    <w:rsid w:val="008748C5"/>
    <w:rsid w:val="00874DD5"/>
    <w:rsid w:val="00874FD0"/>
    <w:rsid w:val="00875015"/>
    <w:rsid w:val="0087503B"/>
    <w:rsid w:val="00875107"/>
    <w:rsid w:val="00875ABC"/>
    <w:rsid w:val="00875FA6"/>
    <w:rsid w:val="00876630"/>
    <w:rsid w:val="008767A1"/>
    <w:rsid w:val="00876CD6"/>
    <w:rsid w:val="00876D15"/>
    <w:rsid w:val="008770F5"/>
    <w:rsid w:val="00877207"/>
    <w:rsid w:val="008772AF"/>
    <w:rsid w:val="008772CF"/>
    <w:rsid w:val="00877980"/>
    <w:rsid w:val="00877ABA"/>
    <w:rsid w:val="00877B10"/>
    <w:rsid w:val="0088028F"/>
    <w:rsid w:val="00880426"/>
    <w:rsid w:val="0088067A"/>
    <w:rsid w:val="0088078E"/>
    <w:rsid w:val="0088080D"/>
    <w:rsid w:val="00880CFE"/>
    <w:rsid w:val="00880F84"/>
    <w:rsid w:val="00881333"/>
    <w:rsid w:val="00881385"/>
    <w:rsid w:val="00881410"/>
    <w:rsid w:val="008815AC"/>
    <w:rsid w:val="008816C0"/>
    <w:rsid w:val="00881812"/>
    <w:rsid w:val="008819C2"/>
    <w:rsid w:val="00881BFD"/>
    <w:rsid w:val="00881EFF"/>
    <w:rsid w:val="00882986"/>
    <w:rsid w:val="008829A2"/>
    <w:rsid w:val="00882C0B"/>
    <w:rsid w:val="00882D32"/>
    <w:rsid w:val="00883186"/>
    <w:rsid w:val="00883314"/>
    <w:rsid w:val="008834F3"/>
    <w:rsid w:val="00883CB0"/>
    <w:rsid w:val="00883E55"/>
    <w:rsid w:val="0088419F"/>
    <w:rsid w:val="00884269"/>
    <w:rsid w:val="008842DD"/>
    <w:rsid w:val="00884617"/>
    <w:rsid w:val="00884639"/>
    <w:rsid w:val="00884712"/>
    <w:rsid w:val="0088480F"/>
    <w:rsid w:val="008850C1"/>
    <w:rsid w:val="00885136"/>
    <w:rsid w:val="00885198"/>
    <w:rsid w:val="008851DB"/>
    <w:rsid w:val="00885877"/>
    <w:rsid w:val="00885A9C"/>
    <w:rsid w:val="00885BF1"/>
    <w:rsid w:val="00885DE9"/>
    <w:rsid w:val="00886677"/>
    <w:rsid w:val="0088707B"/>
    <w:rsid w:val="0088748C"/>
    <w:rsid w:val="008876DF"/>
    <w:rsid w:val="00887751"/>
    <w:rsid w:val="00887900"/>
    <w:rsid w:val="00887B67"/>
    <w:rsid w:val="00887C43"/>
    <w:rsid w:val="00887DE2"/>
    <w:rsid w:val="0089019A"/>
    <w:rsid w:val="0089028B"/>
    <w:rsid w:val="00890385"/>
    <w:rsid w:val="00890594"/>
    <w:rsid w:val="008907EE"/>
    <w:rsid w:val="00890940"/>
    <w:rsid w:val="00890C50"/>
    <w:rsid w:val="00890F2D"/>
    <w:rsid w:val="00891238"/>
    <w:rsid w:val="00891494"/>
    <w:rsid w:val="008914CE"/>
    <w:rsid w:val="00891634"/>
    <w:rsid w:val="008917A7"/>
    <w:rsid w:val="00891B81"/>
    <w:rsid w:val="00891D5E"/>
    <w:rsid w:val="008921CD"/>
    <w:rsid w:val="00892543"/>
    <w:rsid w:val="00892730"/>
    <w:rsid w:val="00892B0F"/>
    <w:rsid w:val="00892D08"/>
    <w:rsid w:val="00892EAF"/>
    <w:rsid w:val="008931F1"/>
    <w:rsid w:val="008933C8"/>
    <w:rsid w:val="00893485"/>
    <w:rsid w:val="00893876"/>
    <w:rsid w:val="0089396B"/>
    <w:rsid w:val="00893A00"/>
    <w:rsid w:val="00893B0A"/>
    <w:rsid w:val="00893C1C"/>
    <w:rsid w:val="008940FA"/>
    <w:rsid w:val="00894233"/>
    <w:rsid w:val="00894547"/>
    <w:rsid w:val="00894586"/>
    <w:rsid w:val="008945AC"/>
    <w:rsid w:val="00894692"/>
    <w:rsid w:val="008946C6"/>
    <w:rsid w:val="00894F66"/>
    <w:rsid w:val="008951D1"/>
    <w:rsid w:val="0089521B"/>
    <w:rsid w:val="00895497"/>
    <w:rsid w:val="008958EC"/>
    <w:rsid w:val="00895953"/>
    <w:rsid w:val="00895AFA"/>
    <w:rsid w:val="00895CAA"/>
    <w:rsid w:val="00895D83"/>
    <w:rsid w:val="00895DED"/>
    <w:rsid w:val="00895F2C"/>
    <w:rsid w:val="00896002"/>
    <w:rsid w:val="0089634F"/>
    <w:rsid w:val="00896386"/>
    <w:rsid w:val="00896546"/>
    <w:rsid w:val="008966E4"/>
    <w:rsid w:val="00896705"/>
    <w:rsid w:val="00896732"/>
    <w:rsid w:val="00896A25"/>
    <w:rsid w:val="00896E7C"/>
    <w:rsid w:val="008970F7"/>
    <w:rsid w:val="008971D6"/>
    <w:rsid w:val="008974F3"/>
    <w:rsid w:val="008975DD"/>
    <w:rsid w:val="008978D6"/>
    <w:rsid w:val="00897957"/>
    <w:rsid w:val="00897EC3"/>
    <w:rsid w:val="008A0138"/>
    <w:rsid w:val="008A02E7"/>
    <w:rsid w:val="008A03CF"/>
    <w:rsid w:val="008A0489"/>
    <w:rsid w:val="008A04E5"/>
    <w:rsid w:val="008A053F"/>
    <w:rsid w:val="008A05C3"/>
    <w:rsid w:val="008A0682"/>
    <w:rsid w:val="008A0D05"/>
    <w:rsid w:val="008A0DE7"/>
    <w:rsid w:val="008A0E78"/>
    <w:rsid w:val="008A0F6E"/>
    <w:rsid w:val="008A0FC0"/>
    <w:rsid w:val="008A106D"/>
    <w:rsid w:val="008A1664"/>
    <w:rsid w:val="008A18D7"/>
    <w:rsid w:val="008A194A"/>
    <w:rsid w:val="008A1A2D"/>
    <w:rsid w:val="008A1ACE"/>
    <w:rsid w:val="008A1B36"/>
    <w:rsid w:val="008A248A"/>
    <w:rsid w:val="008A26FE"/>
    <w:rsid w:val="008A2954"/>
    <w:rsid w:val="008A2C4A"/>
    <w:rsid w:val="008A2DF7"/>
    <w:rsid w:val="008A363D"/>
    <w:rsid w:val="008A3661"/>
    <w:rsid w:val="008A3685"/>
    <w:rsid w:val="008A3B8F"/>
    <w:rsid w:val="008A3BB1"/>
    <w:rsid w:val="008A3BB3"/>
    <w:rsid w:val="008A3BDF"/>
    <w:rsid w:val="008A3DE5"/>
    <w:rsid w:val="008A3F87"/>
    <w:rsid w:val="008A411A"/>
    <w:rsid w:val="008A420A"/>
    <w:rsid w:val="008A4255"/>
    <w:rsid w:val="008A442E"/>
    <w:rsid w:val="008A446E"/>
    <w:rsid w:val="008A463B"/>
    <w:rsid w:val="008A46F8"/>
    <w:rsid w:val="008A498A"/>
    <w:rsid w:val="008A4C23"/>
    <w:rsid w:val="008A4C5F"/>
    <w:rsid w:val="008A4D0F"/>
    <w:rsid w:val="008A4EF5"/>
    <w:rsid w:val="008A4FE2"/>
    <w:rsid w:val="008A5484"/>
    <w:rsid w:val="008A5584"/>
    <w:rsid w:val="008A585F"/>
    <w:rsid w:val="008A59E2"/>
    <w:rsid w:val="008A61AD"/>
    <w:rsid w:val="008A63DE"/>
    <w:rsid w:val="008A6736"/>
    <w:rsid w:val="008A679C"/>
    <w:rsid w:val="008A6BA3"/>
    <w:rsid w:val="008A6BC6"/>
    <w:rsid w:val="008A7387"/>
    <w:rsid w:val="008A7444"/>
    <w:rsid w:val="008A7788"/>
    <w:rsid w:val="008A7835"/>
    <w:rsid w:val="008A7885"/>
    <w:rsid w:val="008A7B7D"/>
    <w:rsid w:val="008A7BE1"/>
    <w:rsid w:val="008A7C74"/>
    <w:rsid w:val="008A7E0E"/>
    <w:rsid w:val="008B0217"/>
    <w:rsid w:val="008B0412"/>
    <w:rsid w:val="008B0B6C"/>
    <w:rsid w:val="008B0D18"/>
    <w:rsid w:val="008B1493"/>
    <w:rsid w:val="008B1817"/>
    <w:rsid w:val="008B192B"/>
    <w:rsid w:val="008B1F56"/>
    <w:rsid w:val="008B2112"/>
    <w:rsid w:val="008B2740"/>
    <w:rsid w:val="008B292A"/>
    <w:rsid w:val="008B2FCC"/>
    <w:rsid w:val="008B3175"/>
    <w:rsid w:val="008B3254"/>
    <w:rsid w:val="008B33C4"/>
    <w:rsid w:val="008B364C"/>
    <w:rsid w:val="008B3683"/>
    <w:rsid w:val="008B3803"/>
    <w:rsid w:val="008B3ADC"/>
    <w:rsid w:val="008B3F09"/>
    <w:rsid w:val="008B4156"/>
    <w:rsid w:val="008B43AA"/>
    <w:rsid w:val="008B4708"/>
    <w:rsid w:val="008B4915"/>
    <w:rsid w:val="008B50BD"/>
    <w:rsid w:val="008B559F"/>
    <w:rsid w:val="008B5672"/>
    <w:rsid w:val="008B5C00"/>
    <w:rsid w:val="008B61C7"/>
    <w:rsid w:val="008B61D8"/>
    <w:rsid w:val="008B6986"/>
    <w:rsid w:val="008B6A8B"/>
    <w:rsid w:val="008B70B1"/>
    <w:rsid w:val="008B78AE"/>
    <w:rsid w:val="008B7D69"/>
    <w:rsid w:val="008C00C5"/>
    <w:rsid w:val="008C01E1"/>
    <w:rsid w:val="008C0339"/>
    <w:rsid w:val="008C040D"/>
    <w:rsid w:val="008C05E2"/>
    <w:rsid w:val="008C09F2"/>
    <w:rsid w:val="008C0A07"/>
    <w:rsid w:val="008C0DA6"/>
    <w:rsid w:val="008C0EA9"/>
    <w:rsid w:val="008C0F4F"/>
    <w:rsid w:val="008C1049"/>
    <w:rsid w:val="008C12C1"/>
    <w:rsid w:val="008C1825"/>
    <w:rsid w:val="008C18B2"/>
    <w:rsid w:val="008C1B8A"/>
    <w:rsid w:val="008C2C53"/>
    <w:rsid w:val="008C2CBB"/>
    <w:rsid w:val="008C312B"/>
    <w:rsid w:val="008C365B"/>
    <w:rsid w:val="008C3786"/>
    <w:rsid w:val="008C378B"/>
    <w:rsid w:val="008C3D67"/>
    <w:rsid w:val="008C3DBA"/>
    <w:rsid w:val="008C3F79"/>
    <w:rsid w:val="008C40E4"/>
    <w:rsid w:val="008C4218"/>
    <w:rsid w:val="008C4407"/>
    <w:rsid w:val="008C47E4"/>
    <w:rsid w:val="008C4B51"/>
    <w:rsid w:val="008C4FFB"/>
    <w:rsid w:val="008C5048"/>
    <w:rsid w:val="008C5129"/>
    <w:rsid w:val="008C5735"/>
    <w:rsid w:val="008C5781"/>
    <w:rsid w:val="008C5B22"/>
    <w:rsid w:val="008C5D94"/>
    <w:rsid w:val="008C6212"/>
    <w:rsid w:val="008C6320"/>
    <w:rsid w:val="008C64C4"/>
    <w:rsid w:val="008C65D8"/>
    <w:rsid w:val="008C6965"/>
    <w:rsid w:val="008C6A3E"/>
    <w:rsid w:val="008C6AD8"/>
    <w:rsid w:val="008C6C09"/>
    <w:rsid w:val="008C6D50"/>
    <w:rsid w:val="008C7073"/>
    <w:rsid w:val="008C71C1"/>
    <w:rsid w:val="008C738F"/>
    <w:rsid w:val="008C740A"/>
    <w:rsid w:val="008C7956"/>
    <w:rsid w:val="008C7AC1"/>
    <w:rsid w:val="008D0538"/>
    <w:rsid w:val="008D05A3"/>
    <w:rsid w:val="008D080C"/>
    <w:rsid w:val="008D0AA2"/>
    <w:rsid w:val="008D0AB7"/>
    <w:rsid w:val="008D0B9F"/>
    <w:rsid w:val="008D0D79"/>
    <w:rsid w:val="008D0EEB"/>
    <w:rsid w:val="008D113B"/>
    <w:rsid w:val="008D11A4"/>
    <w:rsid w:val="008D207B"/>
    <w:rsid w:val="008D211D"/>
    <w:rsid w:val="008D275F"/>
    <w:rsid w:val="008D3254"/>
    <w:rsid w:val="008D34A3"/>
    <w:rsid w:val="008D359F"/>
    <w:rsid w:val="008D36B2"/>
    <w:rsid w:val="008D39C5"/>
    <w:rsid w:val="008D39F3"/>
    <w:rsid w:val="008D3AD0"/>
    <w:rsid w:val="008D3C02"/>
    <w:rsid w:val="008D4445"/>
    <w:rsid w:val="008D44CA"/>
    <w:rsid w:val="008D4644"/>
    <w:rsid w:val="008D4783"/>
    <w:rsid w:val="008D47DB"/>
    <w:rsid w:val="008D4C20"/>
    <w:rsid w:val="008D4D24"/>
    <w:rsid w:val="008D4D47"/>
    <w:rsid w:val="008D4F81"/>
    <w:rsid w:val="008D5A44"/>
    <w:rsid w:val="008D5B53"/>
    <w:rsid w:val="008D5BF1"/>
    <w:rsid w:val="008D6356"/>
    <w:rsid w:val="008D645A"/>
    <w:rsid w:val="008D6589"/>
    <w:rsid w:val="008D65BE"/>
    <w:rsid w:val="008D6AE7"/>
    <w:rsid w:val="008D6B1A"/>
    <w:rsid w:val="008D6C63"/>
    <w:rsid w:val="008D71C4"/>
    <w:rsid w:val="008D7227"/>
    <w:rsid w:val="008D75B5"/>
    <w:rsid w:val="008D75CA"/>
    <w:rsid w:val="008D7AA8"/>
    <w:rsid w:val="008E01CE"/>
    <w:rsid w:val="008E0347"/>
    <w:rsid w:val="008E040D"/>
    <w:rsid w:val="008E09B8"/>
    <w:rsid w:val="008E0C09"/>
    <w:rsid w:val="008E0D55"/>
    <w:rsid w:val="008E0FE5"/>
    <w:rsid w:val="008E11FF"/>
    <w:rsid w:val="008E1644"/>
    <w:rsid w:val="008E18CC"/>
    <w:rsid w:val="008E2240"/>
    <w:rsid w:val="008E23B1"/>
    <w:rsid w:val="008E2430"/>
    <w:rsid w:val="008E2756"/>
    <w:rsid w:val="008E278A"/>
    <w:rsid w:val="008E2AD5"/>
    <w:rsid w:val="008E2BB7"/>
    <w:rsid w:val="008E2C75"/>
    <w:rsid w:val="008E2CEE"/>
    <w:rsid w:val="008E3105"/>
    <w:rsid w:val="008E3345"/>
    <w:rsid w:val="008E357E"/>
    <w:rsid w:val="008E35C3"/>
    <w:rsid w:val="008E3D18"/>
    <w:rsid w:val="008E40A8"/>
    <w:rsid w:val="008E41F5"/>
    <w:rsid w:val="008E4318"/>
    <w:rsid w:val="008E44BD"/>
    <w:rsid w:val="008E47DB"/>
    <w:rsid w:val="008E47F0"/>
    <w:rsid w:val="008E486B"/>
    <w:rsid w:val="008E48D3"/>
    <w:rsid w:val="008E4E0B"/>
    <w:rsid w:val="008E4E44"/>
    <w:rsid w:val="008E4FAE"/>
    <w:rsid w:val="008E5082"/>
    <w:rsid w:val="008E51B2"/>
    <w:rsid w:val="008E59DA"/>
    <w:rsid w:val="008E59FD"/>
    <w:rsid w:val="008E5CD3"/>
    <w:rsid w:val="008E5CF1"/>
    <w:rsid w:val="008E5EFB"/>
    <w:rsid w:val="008E6247"/>
    <w:rsid w:val="008E6464"/>
    <w:rsid w:val="008E6815"/>
    <w:rsid w:val="008E6E4E"/>
    <w:rsid w:val="008E6EA7"/>
    <w:rsid w:val="008E6FCB"/>
    <w:rsid w:val="008E70CD"/>
    <w:rsid w:val="008E7207"/>
    <w:rsid w:val="008E7668"/>
    <w:rsid w:val="008E79EC"/>
    <w:rsid w:val="008E7D99"/>
    <w:rsid w:val="008E7ECF"/>
    <w:rsid w:val="008F03C9"/>
    <w:rsid w:val="008F0934"/>
    <w:rsid w:val="008F09A3"/>
    <w:rsid w:val="008F1195"/>
    <w:rsid w:val="008F137F"/>
    <w:rsid w:val="008F1459"/>
    <w:rsid w:val="008F1EF5"/>
    <w:rsid w:val="008F1F89"/>
    <w:rsid w:val="008F22EB"/>
    <w:rsid w:val="008F2392"/>
    <w:rsid w:val="008F2B20"/>
    <w:rsid w:val="008F2DE5"/>
    <w:rsid w:val="008F2F5E"/>
    <w:rsid w:val="008F3147"/>
    <w:rsid w:val="008F328C"/>
    <w:rsid w:val="008F3344"/>
    <w:rsid w:val="008F354B"/>
    <w:rsid w:val="008F358C"/>
    <w:rsid w:val="008F3757"/>
    <w:rsid w:val="008F3BAE"/>
    <w:rsid w:val="008F3BEA"/>
    <w:rsid w:val="008F3CC1"/>
    <w:rsid w:val="008F3D1E"/>
    <w:rsid w:val="008F3D40"/>
    <w:rsid w:val="008F3E9A"/>
    <w:rsid w:val="008F411E"/>
    <w:rsid w:val="008F4334"/>
    <w:rsid w:val="008F4688"/>
    <w:rsid w:val="008F480B"/>
    <w:rsid w:val="008F4E9E"/>
    <w:rsid w:val="008F50D8"/>
    <w:rsid w:val="008F51D0"/>
    <w:rsid w:val="008F5478"/>
    <w:rsid w:val="008F54CB"/>
    <w:rsid w:val="008F54EC"/>
    <w:rsid w:val="008F56BD"/>
    <w:rsid w:val="008F574E"/>
    <w:rsid w:val="008F59A1"/>
    <w:rsid w:val="008F5BA6"/>
    <w:rsid w:val="008F5C57"/>
    <w:rsid w:val="008F5E85"/>
    <w:rsid w:val="008F6107"/>
    <w:rsid w:val="008F613A"/>
    <w:rsid w:val="008F6805"/>
    <w:rsid w:val="008F6866"/>
    <w:rsid w:val="008F6873"/>
    <w:rsid w:val="008F699B"/>
    <w:rsid w:val="008F6CBE"/>
    <w:rsid w:val="008F7197"/>
    <w:rsid w:val="008F71B4"/>
    <w:rsid w:val="008F73D7"/>
    <w:rsid w:val="008F75E3"/>
    <w:rsid w:val="008F76B6"/>
    <w:rsid w:val="008F78A1"/>
    <w:rsid w:val="008F7965"/>
    <w:rsid w:val="008F7AA6"/>
    <w:rsid w:val="008F7B01"/>
    <w:rsid w:val="008F7CE9"/>
    <w:rsid w:val="009004F1"/>
    <w:rsid w:val="00900670"/>
    <w:rsid w:val="009009B7"/>
    <w:rsid w:val="0090133B"/>
    <w:rsid w:val="009015DC"/>
    <w:rsid w:val="00901627"/>
    <w:rsid w:val="009018C0"/>
    <w:rsid w:val="00901B71"/>
    <w:rsid w:val="00901BB2"/>
    <w:rsid w:val="00901DDD"/>
    <w:rsid w:val="00901DDE"/>
    <w:rsid w:val="00901ECF"/>
    <w:rsid w:val="00902071"/>
    <w:rsid w:val="0090207F"/>
    <w:rsid w:val="00902220"/>
    <w:rsid w:val="00902232"/>
    <w:rsid w:val="0090247E"/>
    <w:rsid w:val="00902537"/>
    <w:rsid w:val="00902586"/>
    <w:rsid w:val="009025A2"/>
    <w:rsid w:val="0090267B"/>
    <w:rsid w:val="0090282F"/>
    <w:rsid w:val="00902880"/>
    <w:rsid w:val="00902F32"/>
    <w:rsid w:val="00902FEB"/>
    <w:rsid w:val="0090302B"/>
    <w:rsid w:val="00903480"/>
    <w:rsid w:val="00903924"/>
    <w:rsid w:val="00903A78"/>
    <w:rsid w:val="00903B1F"/>
    <w:rsid w:val="00903B70"/>
    <w:rsid w:val="00903E6A"/>
    <w:rsid w:val="0090411A"/>
    <w:rsid w:val="0090422D"/>
    <w:rsid w:val="0090468C"/>
    <w:rsid w:val="00904760"/>
    <w:rsid w:val="009047DD"/>
    <w:rsid w:val="00904DD5"/>
    <w:rsid w:val="00904EA1"/>
    <w:rsid w:val="00904F34"/>
    <w:rsid w:val="00904F82"/>
    <w:rsid w:val="009051D2"/>
    <w:rsid w:val="009058AE"/>
    <w:rsid w:val="00905977"/>
    <w:rsid w:val="009059B1"/>
    <w:rsid w:val="009062E3"/>
    <w:rsid w:val="00906C12"/>
    <w:rsid w:val="00906C5F"/>
    <w:rsid w:val="00906EBD"/>
    <w:rsid w:val="009070DE"/>
    <w:rsid w:val="00907664"/>
    <w:rsid w:val="00907760"/>
    <w:rsid w:val="00907B70"/>
    <w:rsid w:val="00907F85"/>
    <w:rsid w:val="0091024B"/>
    <w:rsid w:val="009106A5"/>
    <w:rsid w:val="009109AB"/>
    <w:rsid w:val="00910DA6"/>
    <w:rsid w:val="00910E01"/>
    <w:rsid w:val="00911431"/>
    <w:rsid w:val="0091147F"/>
    <w:rsid w:val="00911856"/>
    <w:rsid w:val="009118E1"/>
    <w:rsid w:val="00911BF9"/>
    <w:rsid w:val="00911EEF"/>
    <w:rsid w:val="00911FC7"/>
    <w:rsid w:val="00912261"/>
    <w:rsid w:val="0091238E"/>
    <w:rsid w:val="00912614"/>
    <w:rsid w:val="00912A2D"/>
    <w:rsid w:val="00912D31"/>
    <w:rsid w:val="00912EF2"/>
    <w:rsid w:val="00913241"/>
    <w:rsid w:val="00913C9C"/>
    <w:rsid w:val="00913D8F"/>
    <w:rsid w:val="009142A4"/>
    <w:rsid w:val="00914489"/>
    <w:rsid w:val="00914577"/>
    <w:rsid w:val="009147A4"/>
    <w:rsid w:val="00914BBB"/>
    <w:rsid w:val="00914D0B"/>
    <w:rsid w:val="00914DAB"/>
    <w:rsid w:val="009152D4"/>
    <w:rsid w:val="00915531"/>
    <w:rsid w:val="00915B54"/>
    <w:rsid w:val="00915CAC"/>
    <w:rsid w:val="00915F58"/>
    <w:rsid w:val="0091617E"/>
    <w:rsid w:val="009161B8"/>
    <w:rsid w:val="009163D0"/>
    <w:rsid w:val="009167B9"/>
    <w:rsid w:val="009168F7"/>
    <w:rsid w:val="009169F3"/>
    <w:rsid w:val="00916B12"/>
    <w:rsid w:val="00916C6B"/>
    <w:rsid w:val="00916F60"/>
    <w:rsid w:val="00917000"/>
    <w:rsid w:val="009171F3"/>
    <w:rsid w:val="009173E0"/>
    <w:rsid w:val="009174E1"/>
    <w:rsid w:val="00917A7D"/>
    <w:rsid w:val="00917ACB"/>
    <w:rsid w:val="00917B79"/>
    <w:rsid w:val="00917BA1"/>
    <w:rsid w:val="009204DE"/>
    <w:rsid w:val="009204F2"/>
    <w:rsid w:val="0092083D"/>
    <w:rsid w:val="0092095A"/>
    <w:rsid w:val="00920B0F"/>
    <w:rsid w:val="00920B5E"/>
    <w:rsid w:val="00920D84"/>
    <w:rsid w:val="00920E7F"/>
    <w:rsid w:val="00920FE5"/>
    <w:rsid w:val="00921755"/>
    <w:rsid w:val="00921860"/>
    <w:rsid w:val="00921A63"/>
    <w:rsid w:val="009221B4"/>
    <w:rsid w:val="00922232"/>
    <w:rsid w:val="0092236B"/>
    <w:rsid w:val="00922794"/>
    <w:rsid w:val="009228AB"/>
    <w:rsid w:val="0092295A"/>
    <w:rsid w:val="00922A22"/>
    <w:rsid w:val="00922E77"/>
    <w:rsid w:val="00922FA5"/>
    <w:rsid w:val="0092368D"/>
    <w:rsid w:val="009238EC"/>
    <w:rsid w:val="00923964"/>
    <w:rsid w:val="00923C36"/>
    <w:rsid w:val="00923CAC"/>
    <w:rsid w:val="0092420C"/>
    <w:rsid w:val="00924636"/>
    <w:rsid w:val="0092472C"/>
    <w:rsid w:val="009248FC"/>
    <w:rsid w:val="00924BB9"/>
    <w:rsid w:val="00924BD1"/>
    <w:rsid w:val="00924D39"/>
    <w:rsid w:val="00924E2C"/>
    <w:rsid w:val="00924F6B"/>
    <w:rsid w:val="00924FA8"/>
    <w:rsid w:val="009250CF"/>
    <w:rsid w:val="00925126"/>
    <w:rsid w:val="00925253"/>
    <w:rsid w:val="009257AB"/>
    <w:rsid w:val="00925844"/>
    <w:rsid w:val="0092588E"/>
    <w:rsid w:val="00925DAB"/>
    <w:rsid w:val="00926B97"/>
    <w:rsid w:val="00927177"/>
    <w:rsid w:val="009271D2"/>
    <w:rsid w:val="00927AD0"/>
    <w:rsid w:val="00927E08"/>
    <w:rsid w:val="0093022E"/>
    <w:rsid w:val="009302B5"/>
    <w:rsid w:val="0093032F"/>
    <w:rsid w:val="00930444"/>
    <w:rsid w:val="00930528"/>
    <w:rsid w:val="0093057E"/>
    <w:rsid w:val="00930790"/>
    <w:rsid w:val="0093081A"/>
    <w:rsid w:val="00930821"/>
    <w:rsid w:val="00930E3D"/>
    <w:rsid w:val="009311F0"/>
    <w:rsid w:val="009314B1"/>
    <w:rsid w:val="0093154C"/>
    <w:rsid w:val="0093191D"/>
    <w:rsid w:val="00931ED5"/>
    <w:rsid w:val="00932200"/>
    <w:rsid w:val="00932583"/>
    <w:rsid w:val="009326D5"/>
    <w:rsid w:val="0093285F"/>
    <w:rsid w:val="00932D42"/>
    <w:rsid w:val="0093304A"/>
    <w:rsid w:val="00933496"/>
    <w:rsid w:val="009337F7"/>
    <w:rsid w:val="00933871"/>
    <w:rsid w:val="009339DE"/>
    <w:rsid w:val="00933D39"/>
    <w:rsid w:val="00934350"/>
    <w:rsid w:val="0093439B"/>
    <w:rsid w:val="00934484"/>
    <w:rsid w:val="0093483E"/>
    <w:rsid w:val="00934C63"/>
    <w:rsid w:val="00934E9C"/>
    <w:rsid w:val="00935284"/>
    <w:rsid w:val="009353DE"/>
    <w:rsid w:val="009357D5"/>
    <w:rsid w:val="00935D09"/>
    <w:rsid w:val="00935FDA"/>
    <w:rsid w:val="00936117"/>
    <w:rsid w:val="009361C8"/>
    <w:rsid w:val="0093645F"/>
    <w:rsid w:val="00936E5D"/>
    <w:rsid w:val="00937187"/>
    <w:rsid w:val="009371E2"/>
    <w:rsid w:val="00937349"/>
    <w:rsid w:val="00937AE9"/>
    <w:rsid w:val="00937CD7"/>
    <w:rsid w:val="00940181"/>
    <w:rsid w:val="00940645"/>
    <w:rsid w:val="00940C58"/>
    <w:rsid w:val="00941073"/>
    <w:rsid w:val="00941119"/>
    <w:rsid w:val="009411B7"/>
    <w:rsid w:val="00941602"/>
    <w:rsid w:val="009416CE"/>
    <w:rsid w:val="0094185C"/>
    <w:rsid w:val="00941B21"/>
    <w:rsid w:val="00941E09"/>
    <w:rsid w:val="00942209"/>
    <w:rsid w:val="009422E8"/>
    <w:rsid w:val="00942314"/>
    <w:rsid w:val="0094238C"/>
    <w:rsid w:val="009423CD"/>
    <w:rsid w:val="00942546"/>
    <w:rsid w:val="00942825"/>
    <w:rsid w:val="009428CA"/>
    <w:rsid w:val="00942A6E"/>
    <w:rsid w:val="00942B59"/>
    <w:rsid w:val="00942FAE"/>
    <w:rsid w:val="0094323D"/>
    <w:rsid w:val="009434DD"/>
    <w:rsid w:val="0094357C"/>
    <w:rsid w:val="00943B69"/>
    <w:rsid w:val="00943FC9"/>
    <w:rsid w:val="0094401A"/>
    <w:rsid w:val="009442D4"/>
    <w:rsid w:val="0094445E"/>
    <w:rsid w:val="0094480B"/>
    <w:rsid w:val="00944992"/>
    <w:rsid w:val="00944998"/>
    <w:rsid w:val="00944C48"/>
    <w:rsid w:val="009450CE"/>
    <w:rsid w:val="00945317"/>
    <w:rsid w:val="00945779"/>
    <w:rsid w:val="00945853"/>
    <w:rsid w:val="00945867"/>
    <w:rsid w:val="00945C06"/>
    <w:rsid w:val="00945CF1"/>
    <w:rsid w:val="00946099"/>
    <w:rsid w:val="009461CC"/>
    <w:rsid w:val="009462F2"/>
    <w:rsid w:val="00946320"/>
    <w:rsid w:val="009464F4"/>
    <w:rsid w:val="00946572"/>
    <w:rsid w:val="00946692"/>
    <w:rsid w:val="0094707C"/>
    <w:rsid w:val="009471E5"/>
    <w:rsid w:val="00947445"/>
    <w:rsid w:val="009475D7"/>
    <w:rsid w:val="00947993"/>
    <w:rsid w:val="009479AA"/>
    <w:rsid w:val="00947DF9"/>
    <w:rsid w:val="009500E7"/>
    <w:rsid w:val="00950382"/>
    <w:rsid w:val="00950413"/>
    <w:rsid w:val="00950471"/>
    <w:rsid w:val="00950ED2"/>
    <w:rsid w:val="0095104D"/>
    <w:rsid w:val="00951110"/>
    <w:rsid w:val="0095118F"/>
    <w:rsid w:val="00951816"/>
    <w:rsid w:val="0095193F"/>
    <w:rsid w:val="00951A2D"/>
    <w:rsid w:val="00951DC9"/>
    <w:rsid w:val="00951FCD"/>
    <w:rsid w:val="009522E1"/>
    <w:rsid w:val="00952438"/>
    <w:rsid w:val="0095262D"/>
    <w:rsid w:val="009529C7"/>
    <w:rsid w:val="00952B84"/>
    <w:rsid w:val="00953307"/>
    <w:rsid w:val="0095359C"/>
    <w:rsid w:val="009538A8"/>
    <w:rsid w:val="009538DA"/>
    <w:rsid w:val="00953922"/>
    <w:rsid w:val="00953FB5"/>
    <w:rsid w:val="009540EC"/>
    <w:rsid w:val="009542C7"/>
    <w:rsid w:val="009545F0"/>
    <w:rsid w:val="00954A0C"/>
    <w:rsid w:val="00954D42"/>
    <w:rsid w:val="00954D9B"/>
    <w:rsid w:val="00955071"/>
    <w:rsid w:val="0095522C"/>
    <w:rsid w:val="009554B4"/>
    <w:rsid w:val="00955706"/>
    <w:rsid w:val="00956677"/>
    <w:rsid w:val="009566A8"/>
    <w:rsid w:val="009566C3"/>
    <w:rsid w:val="0095670D"/>
    <w:rsid w:val="00956AEE"/>
    <w:rsid w:val="00956F2B"/>
    <w:rsid w:val="00957086"/>
    <w:rsid w:val="00957128"/>
    <w:rsid w:val="009571F5"/>
    <w:rsid w:val="0095775B"/>
    <w:rsid w:val="00957DD8"/>
    <w:rsid w:val="0096024A"/>
    <w:rsid w:val="0096028F"/>
    <w:rsid w:val="009604ED"/>
    <w:rsid w:val="009612F0"/>
    <w:rsid w:val="0096143E"/>
    <w:rsid w:val="009616D7"/>
    <w:rsid w:val="009616D9"/>
    <w:rsid w:val="00961A02"/>
    <w:rsid w:val="00961B58"/>
    <w:rsid w:val="00961BDC"/>
    <w:rsid w:val="00961FCB"/>
    <w:rsid w:val="00962297"/>
    <w:rsid w:val="00962835"/>
    <w:rsid w:val="00962E44"/>
    <w:rsid w:val="00962E60"/>
    <w:rsid w:val="00963E2F"/>
    <w:rsid w:val="00963E73"/>
    <w:rsid w:val="0096434D"/>
    <w:rsid w:val="009645D1"/>
    <w:rsid w:val="00964AD9"/>
    <w:rsid w:val="00964B9F"/>
    <w:rsid w:val="00964D8D"/>
    <w:rsid w:val="009653FC"/>
    <w:rsid w:val="009655BF"/>
    <w:rsid w:val="00965E6E"/>
    <w:rsid w:val="009661B9"/>
    <w:rsid w:val="00966475"/>
    <w:rsid w:val="00966A17"/>
    <w:rsid w:val="00966B14"/>
    <w:rsid w:val="00966D0A"/>
    <w:rsid w:val="00966DE2"/>
    <w:rsid w:val="0096740B"/>
    <w:rsid w:val="0096749B"/>
    <w:rsid w:val="00967905"/>
    <w:rsid w:val="00967D1A"/>
    <w:rsid w:val="00967E2A"/>
    <w:rsid w:val="00967ED8"/>
    <w:rsid w:val="00967F4C"/>
    <w:rsid w:val="0097009D"/>
    <w:rsid w:val="00970502"/>
    <w:rsid w:val="00970B18"/>
    <w:rsid w:val="00970E33"/>
    <w:rsid w:val="0097106C"/>
    <w:rsid w:val="00971559"/>
    <w:rsid w:val="00971606"/>
    <w:rsid w:val="0097178B"/>
    <w:rsid w:val="00971F43"/>
    <w:rsid w:val="009722D2"/>
    <w:rsid w:val="00972755"/>
    <w:rsid w:val="009727E1"/>
    <w:rsid w:val="009728EF"/>
    <w:rsid w:val="00972AE7"/>
    <w:rsid w:val="00973279"/>
    <w:rsid w:val="009732C0"/>
    <w:rsid w:val="00973386"/>
    <w:rsid w:val="00973A99"/>
    <w:rsid w:val="00973DE4"/>
    <w:rsid w:val="00974048"/>
    <w:rsid w:val="0097405E"/>
    <w:rsid w:val="0097499D"/>
    <w:rsid w:val="00974B19"/>
    <w:rsid w:val="00974C52"/>
    <w:rsid w:val="00974D85"/>
    <w:rsid w:val="00974FF2"/>
    <w:rsid w:val="00975217"/>
    <w:rsid w:val="0097532C"/>
    <w:rsid w:val="0097542A"/>
    <w:rsid w:val="009758D8"/>
    <w:rsid w:val="00975976"/>
    <w:rsid w:val="00975A34"/>
    <w:rsid w:val="00975F88"/>
    <w:rsid w:val="00975FD2"/>
    <w:rsid w:val="00976652"/>
    <w:rsid w:val="0097693C"/>
    <w:rsid w:val="00976966"/>
    <w:rsid w:val="00976B8A"/>
    <w:rsid w:val="00976E34"/>
    <w:rsid w:val="00976F81"/>
    <w:rsid w:val="009773A5"/>
    <w:rsid w:val="00977600"/>
    <w:rsid w:val="00977C13"/>
    <w:rsid w:val="009800D1"/>
    <w:rsid w:val="009801A5"/>
    <w:rsid w:val="00980323"/>
    <w:rsid w:val="00980553"/>
    <w:rsid w:val="009808B4"/>
    <w:rsid w:val="009808ED"/>
    <w:rsid w:val="00980A2F"/>
    <w:rsid w:val="00980B55"/>
    <w:rsid w:val="00980C45"/>
    <w:rsid w:val="00980C6D"/>
    <w:rsid w:val="00981192"/>
    <w:rsid w:val="0098136F"/>
    <w:rsid w:val="009818A1"/>
    <w:rsid w:val="009818F5"/>
    <w:rsid w:val="00981971"/>
    <w:rsid w:val="00981BDD"/>
    <w:rsid w:val="00981E96"/>
    <w:rsid w:val="00981EC6"/>
    <w:rsid w:val="00982362"/>
    <w:rsid w:val="0098256F"/>
    <w:rsid w:val="0098279B"/>
    <w:rsid w:val="00982CC2"/>
    <w:rsid w:val="00982DC9"/>
    <w:rsid w:val="00982EB4"/>
    <w:rsid w:val="00983276"/>
    <w:rsid w:val="00983550"/>
    <w:rsid w:val="0098359F"/>
    <w:rsid w:val="00983745"/>
    <w:rsid w:val="00983A1A"/>
    <w:rsid w:val="00983AE8"/>
    <w:rsid w:val="00983BE8"/>
    <w:rsid w:val="00983C26"/>
    <w:rsid w:val="00984249"/>
    <w:rsid w:val="0098427E"/>
    <w:rsid w:val="009842A4"/>
    <w:rsid w:val="00984A9B"/>
    <w:rsid w:val="00984C32"/>
    <w:rsid w:val="00984D2A"/>
    <w:rsid w:val="00984EF9"/>
    <w:rsid w:val="0098552E"/>
    <w:rsid w:val="00985912"/>
    <w:rsid w:val="00985918"/>
    <w:rsid w:val="00985A1A"/>
    <w:rsid w:val="00985D93"/>
    <w:rsid w:val="00985E8A"/>
    <w:rsid w:val="009864D3"/>
    <w:rsid w:val="009869E1"/>
    <w:rsid w:val="00986AF0"/>
    <w:rsid w:val="00986C90"/>
    <w:rsid w:val="00986E61"/>
    <w:rsid w:val="00987340"/>
    <w:rsid w:val="00987368"/>
    <w:rsid w:val="0098756B"/>
    <w:rsid w:val="0098760A"/>
    <w:rsid w:val="00987CC7"/>
    <w:rsid w:val="00987D2C"/>
    <w:rsid w:val="00987F2A"/>
    <w:rsid w:val="009902D8"/>
    <w:rsid w:val="00990304"/>
    <w:rsid w:val="00990314"/>
    <w:rsid w:val="009905DE"/>
    <w:rsid w:val="009907CC"/>
    <w:rsid w:val="009907F2"/>
    <w:rsid w:val="00990906"/>
    <w:rsid w:val="00990BCB"/>
    <w:rsid w:val="00990DCA"/>
    <w:rsid w:val="00990F70"/>
    <w:rsid w:val="009911D9"/>
    <w:rsid w:val="00991406"/>
    <w:rsid w:val="00991634"/>
    <w:rsid w:val="00991648"/>
    <w:rsid w:val="00991695"/>
    <w:rsid w:val="009918B2"/>
    <w:rsid w:val="0099240D"/>
    <w:rsid w:val="00992810"/>
    <w:rsid w:val="00992CB9"/>
    <w:rsid w:val="00992E39"/>
    <w:rsid w:val="0099307F"/>
    <w:rsid w:val="00993325"/>
    <w:rsid w:val="0099345F"/>
    <w:rsid w:val="009935BE"/>
    <w:rsid w:val="00993FE7"/>
    <w:rsid w:val="00994229"/>
    <w:rsid w:val="009942A4"/>
    <w:rsid w:val="00994316"/>
    <w:rsid w:val="00994532"/>
    <w:rsid w:val="00994631"/>
    <w:rsid w:val="00994A73"/>
    <w:rsid w:val="00994AE7"/>
    <w:rsid w:val="00994CFE"/>
    <w:rsid w:val="00994D13"/>
    <w:rsid w:val="00994DD9"/>
    <w:rsid w:val="009955F2"/>
    <w:rsid w:val="00995708"/>
    <w:rsid w:val="00995755"/>
    <w:rsid w:val="0099620F"/>
    <w:rsid w:val="0099627D"/>
    <w:rsid w:val="00996488"/>
    <w:rsid w:val="00996739"/>
    <w:rsid w:val="009967A9"/>
    <w:rsid w:val="009968D3"/>
    <w:rsid w:val="00996E4A"/>
    <w:rsid w:val="00996F95"/>
    <w:rsid w:val="00996FEE"/>
    <w:rsid w:val="0099709B"/>
    <w:rsid w:val="009971CF"/>
    <w:rsid w:val="009972FB"/>
    <w:rsid w:val="00997738"/>
    <w:rsid w:val="00997ECA"/>
    <w:rsid w:val="00997FD7"/>
    <w:rsid w:val="00997FF5"/>
    <w:rsid w:val="009A03C2"/>
    <w:rsid w:val="009A07DC"/>
    <w:rsid w:val="009A086D"/>
    <w:rsid w:val="009A09AF"/>
    <w:rsid w:val="009A0B00"/>
    <w:rsid w:val="009A1449"/>
    <w:rsid w:val="009A16C1"/>
    <w:rsid w:val="009A1896"/>
    <w:rsid w:val="009A1B7E"/>
    <w:rsid w:val="009A1D0B"/>
    <w:rsid w:val="009A1D73"/>
    <w:rsid w:val="009A1D9C"/>
    <w:rsid w:val="009A24D7"/>
    <w:rsid w:val="009A2E54"/>
    <w:rsid w:val="009A3003"/>
    <w:rsid w:val="009A3177"/>
    <w:rsid w:val="009A34B5"/>
    <w:rsid w:val="009A3CC7"/>
    <w:rsid w:val="009A3F84"/>
    <w:rsid w:val="009A41B8"/>
    <w:rsid w:val="009A4998"/>
    <w:rsid w:val="009A49AD"/>
    <w:rsid w:val="009A4A61"/>
    <w:rsid w:val="009A4BC8"/>
    <w:rsid w:val="009A4BEE"/>
    <w:rsid w:val="009A4C5F"/>
    <w:rsid w:val="009A4F1E"/>
    <w:rsid w:val="009A50FD"/>
    <w:rsid w:val="009A5295"/>
    <w:rsid w:val="009A540D"/>
    <w:rsid w:val="009A58AF"/>
    <w:rsid w:val="009A58B2"/>
    <w:rsid w:val="009A5A80"/>
    <w:rsid w:val="009A5AF9"/>
    <w:rsid w:val="009A5B40"/>
    <w:rsid w:val="009A5C3B"/>
    <w:rsid w:val="009A60ED"/>
    <w:rsid w:val="009A628A"/>
    <w:rsid w:val="009A62B1"/>
    <w:rsid w:val="009A6345"/>
    <w:rsid w:val="009A649E"/>
    <w:rsid w:val="009A64E4"/>
    <w:rsid w:val="009A65C7"/>
    <w:rsid w:val="009A660E"/>
    <w:rsid w:val="009A6AE2"/>
    <w:rsid w:val="009A6B0C"/>
    <w:rsid w:val="009A6B96"/>
    <w:rsid w:val="009A6BCC"/>
    <w:rsid w:val="009A6D95"/>
    <w:rsid w:val="009A70DA"/>
    <w:rsid w:val="009A742A"/>
    <w:rsid w:val="009A7449"/>
    <w:rsid w:val="009A7708"/>
    <w:rsid w:val="009A78C3"/>
    <w:rsid w:val="009A7C3C"/>
    <w:rsid w:val="009A7CD2"/>
    <w:rsid w:val="009A7F2F"/>
    <w:rsid w:val="009B015E"/>
    <w:rsid w:val="009B028D"/>
    <w:rsid w:val="009B03D5"/>
    <w:rsid w:val="009B06C6"/>
    <w:rsid w:val="009B0856"/>
    <w:rsid w:val="009B0AE5"/>
    <w:rsid w:val="009B0B61"/>
    <w:rsid w:val="009B0C47"/>
    <w:rsid w:val="009B0FF0"/>
    <w:rsid w:val="009B126C"/>
    <w:rsid w:val="009B1273"/>
    <w:rsid w:val="009B1517"/>
    <w:rsid w:val="009B1739"/>
    <w:rsid w:val="009B1796"/>
    <w:rsid w:val="009B1862"/>
    <w:rsid w:val="009B1881"/>
    <w:rsid w:val="009B1896"/>
    <w:rsid w:val="009B1965"/>
    <w:rsid w:val="009B1A4C"/>
    <w:rsid w:val="009B1B13"/>
    <w:rsid w:val="009B1B1B"/>
    <w:rsid w:val="009B1E63"/>
    <w:rsid w:val="009B2787"/>
    <w:rsid w:val="009B2965"/>
    <w:rsid w:val="009B2F3B"/>
    <w:rsid w:val="009B31B8"/>
    <w:rsid w:val="009B335F"/>
    <w:rsid w:val="009B336D"/>
    <w:rsid w:val="009B3421"/>
    <w:rsid w:val="009B34E0"/>
    <w:rsid w:val="009B3722"/>
    <w:rsid w:val="009B3AD6"/>
    <w:rsid w:val="009B4151"/>
    <w:rsid w:val="009B489A"/>
    <w:rsid w:val="009B48F3"/>
    <w:rsid w:val="009B4AED"/>
    <w:rsid w:val="009B4CCE"/>
    <w:rsid w:val="009B50E8"/>
    <w:rsid w:val="009B52D7"/>
    <w:rsid w:val="009B5728"/>
    <w:rsid w:val="009B5791"/>
    <w:rsid w:val="009B590A"/>
    <w:rsid w:val="009B5C40"/>
    <w:rsid w:val="009B5F93"/>
    <w:rsid w:val="009B6227"/>
    <w:rsid w:val="009B6504"/>
    <w:rsid w:val="009B6C5A"/>
    <w:rsid w:val="009B6CA7"/>
    <w:rsid w:val="009B6F0F"/>
    <w:rsid w:val="009B7A8B"/>
    <w:rsid w:val="009B7AC2"/>
    <w:rsid w:val="009C0015"/>
    <w:rsid w:val="009C00B3"/>
    <w:rsid w:val="009C0260"/>
    <w:rsid w:val="009C02BF"/>
    <w:rsid w:val="009C0351"/>
    <w:rsid w:val="009C03D0"/>
    <w:rsid w:val="009C0606"/>
    <w:rsid w:val="009C0916"/>
    <w:rsid w:val="009C095C"/>
    <w:rsid w:val="009C0F32"/>
    <w:rsid w:val="009C12AE"/>
    <w:rsid w:val="009C1A0E"/>
    <w:rsid w:val="009C1AC5"/>
    <w:rsid w:val="009C1DE8"/>
    <w:rsid w:val="009C23EB"/>
    <w:rsid w:val="009C266A"/>
    <w:rsid w:val="009C2977"/>
    <w:rsid w:val="009C363D"/>
    <w:rsid w:val="009C3A70"/>
    <w:rsid w:val="009C3B20"/>
    <w:rsid w:val="009C3D90"/>
    <w:rsid w:val="009C45F4"/>
    <w:rsid w:val="009C491E"/>
    <w:rsid w:val="009C5106"/>
    <w:rsid w:val="009C571C"/>
    <w:rsid w:val="009C5795"/>
    <w:rsid w:val="009C5992"/>
    <w:rsid w:val="009C5CF1"/>
    <w:rsid w:val="009C60EC"/>
    <w:rsid w:val="009C6203"/>
    <w:rsid w:val="009C629B"/>
    <w:rsid w:val="009C629C"/>
    <w:rsid w:val="009C62AA"/>
    <w:rsid w:val="009C6495"/>
    <w:rsid w:val="009C6794"/>
    <w:rsid w:val="009C6900"/>
    <w:rsid w:val="009C6BCE"/>
    <w:rsid w:val="009C6CF4"/>
    <w:rsid w:val="009C6E08"/>
    <w:rsid w:val="009C6EBF"/>
    <w:rsid w:val="009C6F02"/>
    <w:rsid w:val="009C6F39"/>
    <w:rsid w:val="009C6FE5"/>
    <w:rsid w:val="009C71F6"/>
    <w:rsid w:val="009C75B3"/>
    <w:rsid w:val="009C75E3"/>
    <w:rsid w:val="009C77C8"/>
    <w:rsid w:val="009C78CB"/>
    <w:rsid w:val="009C7A85"/>
    <w:rsid w:val="009C7CE0"/>
    <w:rsid w:val="009C7F7D"/>
    <w:rsid w:val="009D0040"/>
    <w:rsid w:val="009D0205"/>
    <w:rsid w:val="009D0249"/>
    <w:rsid w:val="009D0543"/>
    <w:rsid w:val="009D0591"/>
    <w:rsid w:val="009D092D"/>
    <w:rsid w:val="009D09AD"/>
    <w:rsid w:val="009D09C1"/>
    <w:rsid w:val="009D0C37"/>
    <w:rsid w:val="009D0D12"/>
    <w:rsid w:val="009D0F19"/>
    <w:rsid w:val="009D148B"/>
    <w:rsid w:val="009D169A"/>
    <w:rsid w:val="009D16E8"/>
    <w:rsid w:val="009D176F"/>
    <w:rsid w:val="009D1B80"/>
    <w:rsid w:val="009D1C77"/>
    <w:rsid w:val="009D21F9"/>
    <w:rsid w:val="009D26C9"/>
    <w:rsid w:val="009D28C2"/>
    <w:rsid w:val="009D28D7"/>
    <w:rsid w:val="009D2999"/>
    <w:rsid w:val="009D29C2"/>
    <w:rsid w:val="009D2E1A"/>
    <w:rsid w:val="009D2FBF"/>
    <w:rsid w:val="009D35F3"/>
    <w:rsid w:val="009D36D4"/>
    <w:rsid w:val="009D3863"/>
    <w:rsid w:val="009D40D1"/>
    <w:rsid w:val="009D4512"/>
    <w:rsid w:val="009D4568"/>
    <w:rsid w:val="009D4B3F"/>
    <w:rsid w:val="009D4BEF"/>
    <w:rsid w:val="009D4CA3"/>
    <w:rsid w:val="009D4CEA"/>
    <w:rsid w:val="009D4DDA"/>
    <w:rsid w:val="009D5140"/>
    <w:rsid w:val="009D5210"/>
    <w:rsid w:val="009D5309"/>
    <w:rsid w:val="009D54A4"/>
    <w:rsid w:val="009D5581"/>
    <w:rsid w:val="009D58A5"/>
    <w:rsid w:val="009D5922"/>
    <w:rsid w:val="009D5B5E"/>
    <w:rsid w:val="009D5EFF"/>
    <w:rsid w:val="009D60F0"/>
    <w:rsid w:val="009D6104"/>
    <w:rsid w:val="009D6491"/>
    <w:rsid w:val="009D67EB"/>
    <w:rsid w:val="009D68D1"/>
    <w:rsid w:val="009D69F6"/>
    <w:rsid w:val="009D6ABC"/>
    <w:rsid w:val="009D6B34"/>
    <w:rsid w:val="009D6EEC"/>
    <w:rsid w:val="009D724D"/>
    <w:rsid w:val="009D7828"/>
    <w:rsid w:val="009D79A6"/>
    <w:rsid w:val="009D7A3E"/>
    <w:rsid w:val="009D7B2F"/>
    <w:rsid w:val="009D7E4D"/>
    <w:rsid w:val="009D7ED7"/>
    <w:rsid w:val="009D7F61"/>
    <w:rsid w:val="009E06E5"/>
    <w:rsid w:val="009E0A1B"/>
    <w:rsid w:val="009E1019"/>
    <w:rsid w:val="009E11C3"/>
    <w:rsid w:val="009E1245"/>
    <w:rsid w:val="009E1490"/>
    <w:rsid w:val="009E16F1"/>
    <w:rsid w:val="009E1864"/>
    <w:rsid w:val="009E1A15"/>
    <w:rsid w:val="009E1A4C"/>
    <w:rsid w:val="009E1CA8"/>
    <w:rsid w:val="009E1D1E"/>
    <w:rsid w:val="009E2010"/>
    <w:rsid w:val="009E20F8"/>
    <w:rsid w:val="009E2166"/>
    <w:rsid w:val="009E21B2"/>
    <w:rsid w:val="009E2497"/>
    <w:rsid w:val="009E257E"/>
    <w:rsid w:val="009E28C3"/>
    <w:rsid w:val="009E2BF4"/>
    <w:rsid w:val="009E2C7B"/>
    <w:rsid w:val="009E30C8"/>
    <w:rsid w:val="009E3145"/>
    <w:rsid w:val="009E31EB"/>
    <w:rsid w:val="009E34CC"/>
    <w:rsid w:val="009E3E14"/>
    <w:rsid w:val="009E3EC3"/>
    <w:rsid w:val="009E4112"/>
    <w:rsid w:val="009E41DC"/>
    <w:rsid w:val="009E4344"/>
    <w:rsid w:val="009E46DE"/>
    <w:rsid w:val="009E49DF"/>
    <w:rsid w:val="009E4D89"/>
    <w:rsid w:val="009E4EBF"/>
    <w:rsid w:val="009E505F"/>
    <w:rsid w:val="009E55FB"/>
    <w:rsid w:val="009E56C8"/>
    <w:rsid w:val="009E56F6"/>
    <w:rsid w:val="009E5C6B"/>
    <w:rsid w:val="009E5EBD"/>
    <w:rsid w:val="009E604C"/>
    <w:rsid w:val="009E6EBC"/>
    <w:rsid w:val="009E6F05"/>
    <w:rsid w:val="009E7095"/>
    <w:rsid w:val="009E711D"/>
    <w:rsid w:val="009E7250"/>
    <w:rsid w:val="009E725F"/>
    <w:rsid w:val="009E740D"/>
    <w:rsid w:val="009E74C0"/>
    <w:rsid w:val="009E7526"/>
    <w:rsid w:val="009E7821"/>
    <w:rsid w:val="009E7B91"/>
    <w:rsid w:val="009E7FDF"/>
    <w:rsid w:val="009F01F9"/>
    <w:rsid w:val="009F0377"/>
    <w:rsid w:val="009F047D"/>
    <w:rsid w:val="009F0549"/>
    <w:rsid w:val="009F0553"/>
    <w:rsid w:val="009F06A2"/>
    <w:rsid w:val="009F080E"/>
    <w:rsid w:val="009F1151"/>
    <w:rsid w:val="009F1178"/>
    <w:rsid w:val="009F1565"/>
    <w:rsid w:val="009F187B"/>
    <w:rsid w:val="009F18B7"/>
    <w:rsid w:val="009F1C2B"/>
    <w:rsid w:val="009F1E7E"/>
    <w:rsid w:val="009F2711"/>
    <w:rsid w:val="009F279F"/>
    <w:rsid w:val="009F2D75"/>
    <w:rsid w:val="009F2FE0"/>
    <w:rsid w:val="009F30E6"/>
    <w:rsid w:val="009F31E5"/>
    <w:rsid w:val="009F3280"/>
    <w:rsid w:val="009F347E"/>
    <w:rsid w:val="009F3559"/>
    <w:rsid w:val="009F376E"/>
    <w:rsid w:val="009F37F1"/>
    <w:rsid w:val="009F37F5"/>
    <w:rsid w:val="009F3C87"/>
    <w:rsid w:val="009F3FBD"/>
    <w:rsid w:val="009F4412"/>
    <w:rsid w:val="009F45AA"/>
    <w:rsid w:val="009F4812"/>
    <w:rsid w:val="009F4DFA"/>
    <w:rsid w:val="009F5140"/>
    <w:rsid w:val="009F5517"/>
    <w:rsid w:val="009F57BE"/>
    <w:rsid w:val="009F5CCA"/>
    <w:rsid w:val="009F60FF"/>
    <w:rsid w:val="009F6595"/>
    <w:rsid w:val="009F69E3"/>
    <w:rsid w:val="009F71E2"/>
    <w:rsid w:val="009F7849"/>
    <w:rsid w:val="009F7B01"/>
    <w:rsid w:val="009F7B06"/>
    <w:rsid w:val="009F7FAD"/>
    <w:rsid w:val="00A00518"/>
    <w:rsid w:val="00A00975"/>
    <w:rsid w:val="00A009AC"/>
    <w:rsid w:val="00A00A01"/>
    <w:rsid w:val="00A00AF9"/>
    <w:rsid w:val="00A00B7C"/>
    <w:rsid w:val="00A00BFA"/>
    <w:rsid w:val="00A00E5A"/>
    <w:rsid w:val="00A01287"/>
    <w:rsid w:val="00A01371"/>
    <w:rsid w:val="00A01394"/>
    <w:rsid w:val="00A013E4"/>
    <w:rsid w:val="00A013F8"/>
    <w:rsid w:val="00A015B0"/>
    <w:rsid w:val="00A01C63"/>
    <w:rsid w:val="00A01FA1"/>
    <w:rsid w:val="00A02103"/>
    <w:rsid w:val="00A0216A"/>
    <w:rsid w:val="00A02353"/>
    <w:rsid w:val="00A024DD"/>
    <w:rsid w:val="00A025E9"/>
    <w:rsid w:val="00A02696"/>
    <w:rsid w:val="00A0294C"/>
    <w:rsid w:val="00A02A4B"/>
    <w:rsid w:val="00A0394D"/>
    <w:rsid w:val="00A03D84"/>
    <w:rsid w:val="00A03E80"/>
    <w:rsid w:val="00A03EF1"/>
    <w:rsid w:val="00A03F0F"/>
    <w:rsid w:val="00A03F69"/>
    <w:rsid w:val="00A041A7"/>
    <w:rsid w:val="00A041CC"/>
    <w:rsid w:val="00A0433B"/>
    <w:rsid w:val="00A04678"/>
    <w:rsid w:val="00A04700"/>
    <w:rsid w:val="00A04CB3"/>
    <w:rsid w:val="00A04D78"/>
    <w:rsid w:val="00A04EAC"/>
    <w:rsid w:val="00A0520A"/>
    <w:rsid w:val="00A05452"/>
    <w:rsid w:val="00A058B9"/>
    <w:rsid w:val="00A05A60"/>
    <w:rsid w:val="00A05EAB"/>
    <w:rsid w:val="00A05ECC"/>
    <w:rsid w:val="00A061DD"/>
    <w:rsid w:val="00A06779"/>
    <w:rsid w:val="00A06822"/>
    <w:rsid w:val="00A068D9"/>
    <w:rsid w:val="00A06FDE"/>
    <w:rsid w:val="00A07275"/>
    <w:rsid w:val="00A0735D"/>
    <w:rsid w:val="00A07746"/>
    <w:rsid w:val="00A0774F"/>
    <w:rsid w:val="00A07ABF"/>
    <w:rsid w:val="00A07BC4"/>
    <w:rsid w:val="00A07C13"/>
    <w:rsid w:val="00A07D84"/>
    <w:rsid w:val="00A10121"/>
    <w:rsid w:val="00A10294"/>
    <w:rsid w:val="00A10349"/>
    <w:rsid w:val="00A103F1"/>
    <w:rsid w:val="00A107FB"/>
    <w:rsid w:val="00A1090D"/>
    <w:rsid w:val="00A10BDB"/>
    <w:rsid w:val="00A110C7"/>
    <w:rsid w:val="00A110DB"/>
    <w:rsid w:val="00A11372"/>
    <w:rsid w:val="00A117DD"/>
    <w:rsid w:val="00A11A79"/>
    <w:rsid w:val="00A120F7"/>
    <w:rsid w:val="00A1222A"/>
    <w:rsid w:val="00A12441"/>
    <w:rsid w:val="00A1247C"/>
    <w:rsid w:val="00A1252D"/>
    <w:rsid w:val="00A127BA"/>
    <w:rsid w:val="00A12836"/>
    <w:rsid w:val="00A129FE"/>
    <w:rsid w:val="00A12B99"/>
    <w:rsid w:val="00A12C0E"/>
    <w:rsid w:val="00A12C1C"/>
    <w:rsid w:val="00A13001"/>
    <w:rsid w:val="00A130E2"/>
    <w:rsid w:val="00A1317B"/>
    <w:rsid w:val="00A13689"/>
    <w:rsid w:val="00A1397B"/>
    <w:rsid w:val="00A13A21"/>
    <w:rsid w:val="00A13A49"/>
    <w:rsid w:val="00A13AB7"/>
    <w:rsid w:val="00A13C97"/>
    <w:rsid w:val="00A13E5C"/>
    <w:rsid w:val="00A1409E"/>
    <w:rsid w:val="00A143B1"/>
    <w:rsid w:val="00A145C6"/>
    <w:rsid w:val="00A14648"/>
    <w:rsid w:val="00A14713"/>
    <w:rsid w:val="00A14C07"/>
    <w:rsid w:val="00A14DDD"/>
    <w:rsid w:val="00A1534D"/>
    <w:rsid w:val="00A1556D"/>
    <w:rsid w:val="00A15685"/>
    <w:rsid w:val="00A15747"/>
    <w:rsid w:val="00A157E2"/>
    <w:rsid w:val="00A15A93"/>
    <w:rsid w:val="00A15C3A"/>
    <w:rsid w:val="00A1641C"/>
    <w:rsid w:val="00A1658F"/>
    <w:rsid w:val="00A16F9D"/>
    <w:rsid w:val="00A171B9"/>
    <w:rsid w:val="00A174F5"/>
    <w:rsid w:val="00A1759B"/>
    <w:rsid w:val="00A176E1"/>
    <w:rsid w:val="00A17B53"/>
    <w:rsid w:val="00A17C2E"/>
    <w:rsid w:val="00A17F16"/>
    <w:rsid w:val="00A17FAF"/>
    <w:rsid w:val="00A2004A"/>
    <w:rsid w:val="00A2019D"/>
    <w:rsid w:val="00A2069B"/>
    <w:rsid w:val="00A20956"/>
    <w:rsid w:val="00A20B11"/>
    <w:rsid w:val="00A20C2D"/>
    <w:rsid w:val="00A20C5B"/>
    <w:rsid w:val="00A214C7"/>
    <w:rsid w:val="00A217C8"/>
    <w:rsid w:val="00A21894"/>
    <w:rsid w:val="00A218A6"/>
    <w:rsid w:val="00A21D53"/>
    <w:rsid w:val="00A22032"/>
    <w:rsid w:val="00A221CA"/>
    <w:rsid w:val="00A223D9"/>
    <w:rsid w:val="00A22882"/>
    <w:rsid w:val="00A22885"/>
    <w:rsid w:val="00A22B15"/>
    <w:rsid w:val="00A22BE1"/>
    <w:rsid w:val="00A22D8C"/>
    <w:rsid w:val="00A2334F"/>
    <w:rsid w:val="00A23735"/>
    <w:rsid w:val="00A238C4"/>
    <w:rsid w:val="00A23CA4"/>
    <w:rsid w:val="00A24090"/>
    <w:rsid w:val="00A2440D"/>
    <w:rsid w:val="00A247B1"/>
    <w:rsid w:val="00A24B0D"/>
    <w:rsid w:val="00A24CBF"/>
    <w:rsid w:val="00A2514E"/>
    <w:rsid w:val="00A252C7"/>
    <w:rsid w:val="00A255CA"/>
    <w:rsid w:val="00A25A82"/>
    <w:rsid w:val="00A260EF"/>
    <w:rsid w:val="00A26163"/>
    <w:rsid w:val="00A26303"/>
    <w:rsid w:val="00A2636F"/>
    <w:rsid w:val="00A26554"/>
    <w:rsid w:val="00A2685F"/>
    <w:rsid w:val="00A26A66"/>
    <w:rsid w:val="00A26D12"/>
    <w:rsid w:val="00A26E2D"/>
    <w:rsid w:val="00A271D7"/>
    <w:rsid w:val="00A27506"/>
    <w:rsid w:val="00A2762E"/>
    <w:rsid w:val="00A278B7"/>
    <w:rsid w:val="00A27B8A"/>
    <w:rsid w:val="00A27DC9"/>
    <w:rsid w:val="00A30461"/>
    <w:rsid w:val="00A30B78"/>
    <w:rsid w:val="00A30C70"/>
    <w:rsid w:val="00A31059"/>
    <w:rsid w:val="00A311AE"/>
    <w:rsid w:val="00A313E3"/>
    <w:rsid w:val="00A31698"/>
    <w:rsid w:val="00A317FE"/>
    <w:rsid w:val="00A31B5F"/>
    <w:rsid w:val="00A31CBC"/>
    <w:rsid w:val="00A32538"/>
    <w:rsid w:val="00A32662"/>
    <w:rsid w:val="00A32BD3"/>
    <w:rsid w:val="00A32DA8"/>
    <w:rsid w:val="00A33056"/>
    <w:rsid w:val="00A33266"/>
    <w:rsid w:val="00A33C61"/>
    <w:rsid w:val="00A3426D"/>
    <w:rsid w:val="00A345F4"/>
    <w:rsid w:val="00A34CA4"/>
    <w:rsid w:val="00A34DD3"/>
    <w:rsid w:val="00A34DE9"/>
    <w:rsid w:val="00A34E26"/>
    <w:rsid w:val="00A35621"/>
    <w:rsid w:val="00A35B68"/>
    <w:rsid w:val="00A35BE8"/>
    <w:rsid w:val="00A35BF9"/>
    <w:rsid w:val="00A35C4A"/>
    <w:rsid w:val="00A361E3"/>
    <w:rsid w:val="00A36688"/>
    <w:rsid w:val="00A36800"/>
    <w:rsid w:val="00A36818"/>
    <w:rsid w:val="00A36EC1"/>
    <w:rsid w:val="00A377BB"/>
    <w:rsid w:val="00A37D88"/>
    <w:rsid w:val="00A37F85"/>
    <w:rsid w:val="00A37FC0"/>
    <w:rsid w:val="00A403AE"/>
    <w:rsid w:val="00A405D6"/>
    <w:rsid w:val="00A40A64"/>
    <w:rsid w:val="00A40B21"/>
    <w:rsid w:val="00A40B31"/>
    <w:rsid w:val="00A40B60"/>
    <w:rsid w:val="00A40CBE"/>
    <w:rsid w:val="00A4100B"/>
    <w:rsid w:val="00A4157B"/>
    <w:rsid w:val="00A41618"/>
    <w:rsid w:val="00A419B5"/>
    <w:rsid w:val="00A41CAE"/>
    <w:rsid w:val="00A41D65"/>
    <w:rsid w:val="00A4225A"/>
    <w:rsid w:val="00A427E8"/>
    <w:rsid w:val="00A42A41"/>
    <w:rsid w:val="00A42F70"/>
    <w:rsid w:val="00A431ED"/>
    <w:rsid w:val="00A43269"/>
    <w:rsid w:val="00A433F8"/>
    <w:rsid w:val="00A43411"/>
    <w:rsid w:val="00A4347E"/>
    <w:rsid w:val="00A43774"/>
    <w:rsid w:val="00A43800"/>
    <w:rsid w:val="00A43D80"/>
    <w:rsid w:val="00A440B5"/>
    <w:rsid w:val="00A443AE"/>
    <w:rsid w:val="00A44836"/>
    <w:rsid w:val="00A44AAA"/>
    <w:rsid w:val="00A44C37"/>
    <w:rsid w:val="00A44D69"/>
    <w:rsid w:val="00A458D1"/>
    <w:rsid w:val="00A45B23"/>
    <w:rsid w:val="00A45D55"/>
    <w:rsid w:val="00A45FF4"/>
    <w:rsid w:val="00A461D4"/>
    <w:rsid w:val="00A462BB"/>
    <w:rsid w:val="00A4726E"/>
    <w:rsid w:val="00A47527"/>
    <w:rsid w:val="00A47B7E"/>
    <w:rsid w:val="00A502DA"/>
    <w:rsid w:val="00A50553"/>
    <w:rsid w:val="00A50B59"/>
    <w:rsid w:val="00A50B71"/>
    <w:rsid w:val="00A50B78"/>
    <w:rsid w:val="00A50FFF"/>
    <w:rsid w:val="00A51305"/>
    <w:rsid w:val="00A513BF"/>
    <w:rsid w:val="00A51720"/>
    <w:rsid w:val="00A5176B"/>
    <w:rsid w:val="00A517D7"/>
    <w:rsid w:val="00A51845"/>
    <w:rsid w:val="00A5243D"/>
    <w:rsid w:val="00A52653"/>
    <w:rsid w:val="00A52664"/>
    <w:rsid w:val="00A5279A"/>
    <w:rsid w:val="00A52BB8"/>
    <w:rsid w:val="00A52CCB"/>
    <w:rsid w:val="00A530C4"/>
    <w:rsid w:val="00A539D1"/>
    <w:rsid w:val="00A53BD4"/>
    <w:rsid w:val="00A53DDD"/>
    <w:rsid w:val="00A53F00"/>
    <w:rsid w:val="00A541C8"/>
    <w:rsid w:val="00A541C9"/>
    <w:rsid w:val="00A542EE"/>
    <w:rsid w:val="00A542F6"/>
    <w:rsid w:val="00A543C9"/>
    <w:rsid w:val="00A549B2"/>
    <w:rsid w:val="00A549B8"/>
    <w:rsid w:val="00A55165"/>
    <w:rsid w:val="00A55191"/>
    <w:rsid w:val="00A55488"/>
    <w:rsid w:val="00A556C1"/>
    <w:rsid w:val="00A556D9"/>
    <w:rsid w:val="00A55B09"/>
    <w:rsid w:val="00A55BC3"/>
    <w:rsid w:val="00A55DF5"/>
    <w:rsid w:val="00A56279"/>
    <w:rsid w:val="00A56294"/>
    <w:rsid w:val="00A5636A"/>
    <w:rsid w:val="00A56420"/>
    <w:rsid w:val="00A56605"/>
    <w:rsid w:val="00A566FE"/>
    <w:rsid w:val="00A56A74"/>
    <w:rsid w:val="00A56B81"/>
    <w:rsid w:val="00A56CA8"/>
    <w:rsid w:val="00A56D5E"/>
    <w:rsid w:val="00A56D96"/>
    <w:rsid w:val="00A56F1B"/>
    <w:rsid w:val="00A56F1E"/>
    <w:rsid w:val="00A57093"/>
    <w:rsid w:val="00A574C6"/>
    <w:rsid w:val="00A57561"/>
    <w:rsid w:val="00A5767B"/>
    <w:rsid w:val="00A600E4"/>
    <w:rsid w:val="00A60248"/>
    <w:rsid w:val="00A602CA"/>
    <w:rsid w:val="00A602FB"/>
    <w:rsid w:val="00A60471"/>
    <w:rsid w:val="00A6082D"/>
    <w:rsid w:val="00A608E0"/>
    <w:rsid w:val="00A609D5"/>
    <w:rsid w:val="00A60E2E"/>
    <w:rsid w:val="00A60E71"/>
    <w:rsid w:val="00A60FDC"/>
    <w:rsid w:val="00A61178"/>
    <w:rsid w:val="00A61232"/>
    <w:rsid w:val="00A61489"/>
    <w:rsid w:val="00A61A24"/>
    <w:rsid w:val="00A6202B"/>
    <w:rsid w:val="00A62305"/>
    <w:rsid w:val="00A62322"/>
    <w:rsid w:val="00A62432"/>
    <w:rsid w:val="00A626CB"/>
    <w:rsid w:val="00A62C71"/>
    <w:rsid w:val="00A62D59"/>
    <w:rsid w:val="00A637A6"/>
    <w:rsid w:val="00A6380E"/>
    <w:rsid w:val="00A6381B"/>
    <w:rsid w:val="00A63F22"/>
    <w:rsid w:val="00A640A9"/>
    <w:rsid w:val="00A6426A"/>
    <w:rsid w:val="00A642E9"/>
    <w:rsid w:val="00A64347"/>
    <w:rsid w:val="00A643ED"/>
    <w:rsid w:val="00A64437"/>
    <w:rsid w:val="00A644C3"/>
    <w:rsid w:val="00A646D7"/>
    <w:rsid w:val="00A646F6"/>
    <w:rsid w:val="00A64B30"/>
    <w:rsid w:val="00A64B41"/>
    <w:rsid w:val="00A6502D"/>
    <w:rsid w:val="00A650EB"/>
    <w:rsid w:val="00A657A5"/>
    <w:rsid w:val="00A66239"/>
    <w:rsid w:val="00A6671B"/>
    <w:rsid w:val="00A66A90"/>
    <w:rsid w:val="00A66FF8"/>
    <w:rsid w:val="00A67002"/>
    <w:rsid w:val="00A671AD"/>
    <w:rsid w:val="00A6769B"/>
    <w:rsid w:val="00A678FF"/>
    <w:rsid w:val="00A67EFE"/>
    <w:rsid w:val="00A67FB9"/>
    <w:rsid w:val="00A70207"/>
    <w:rsid w:val="00A7024E"/>
    <w:rsid w:val="00A703F7"/>
    <w:rsid w:val="00A70418"/>
    <w:rsid w:val="00A706C3"/>
    <w:rsid w:val="00A70A0E"/>
    <w:rsid w:val="00A70B69"/>
    <w:rsid w:val="00A70BEF"/>
    <w:rsid w:val="00A70DC7"/>
    <w:rsid w:val="00A7178B"/>
    <w:rsid w:val="00A71C1D"/>
    <w:rsid w:val="00A721E2"/>
    <w:rsid w:val="00A72245"/>
    <w:rsid w:val="00A723C7"/>
    <w:rsid w:val="00A7240C"/>
    <w:rsid w:val="00A72413"/>
    <w:rsid w:val="00A724E8"/>
    <w:rsid w:val="00A728A8"/>
    <w:rsid w:val="00A72902"/>
    <w:rsid w:val="00A72F2C"/>
    <w:rsid w:val="00A73087"/>
    <w:rsid w:val="00A73145"/>
    <w:rsid w:val="00A732C0"/>
    <w:rsid w:val="00A73327"/>
    <w:rsid w:val="00A734E8"/>
    <w:rsid w:val="00A736B7"/>
    <w:rsid w:val="00A736D4"/>
    <w:rsid w:val="00A7389C"/>
    <w:rsid w:val="00A73A7E"/>
    <w:rsid w:val="00A73D28"/>
    <w:rsid w:val="00A74000"/>
    <w:rsid w:val="00A740D7"/>
    <w:rsid w:val="00A741F8"/>
    <w:rsid w:val="00A7465E"/>
    <w:rsid w:val="00A750E7"/>
    <w:rsid w:val="00A755B8"/>
    <w:rsid w:val="00A755CE"/>
    <w:rsid w:val="00A755D1"/>
    <w:rsid w:val="00A75A0D"/>
    <w:rsid w:val="00A75ABD"/>
    <w:rsid w:val="00A75C47"/>
    <w:rsid w:val="00A75E2B"/>
    <w:rsid w:val="00A75F35"/>
    <w:rsid w:val="00A7602F"/>
    <w:rsid w:val="00A760F1"/>
    <w:rsid w:val="00A76F5A"/>
    <w:rsid w:val="00A7700C"/>
    <w:rsid w:val="00A77156"/>
    <w:rsid w:val="00A772D3"/>
    <w:rsid w:val="00A7737E"/>
    <w:rsid w:val="00A77511"/>
    <w:rsid w:val="00A7779D"/>
    <w:rsid w:val="00A777D6"/>
    <w:rsid w:val="00A77D68"/>
    <w:rsid w:val="00A77EA2"/>
    <w:rsid w:val="00A77F42"/>
    <w:rsid w:val="00A80209"/>
    <w:rsid w:val="00A804D1"/>
    <w:rsid w:val="00A804D8"/>
    <w:rsid w:val="00A8086A"/>
    <w:rsid w:val="00A80CB1"/>
    <w:rsid w:val="00A80F18"/>
    <w:rsid w:val="00A81161"/>
    <w:rsid w:val="00A81187"/>
    <w:rsid w:val="00A814FF"/>
    <w:rsid w:val="00A81741"/>
    <w:rsid w:val="00A81D17"/>
    <w:rsid w:val="00A81E2E"/>
    <w:rsid w:val="00A81E79"/>
    <w:rsid w:val="00A81EEC"/>
    <w:rsid w:val="00A81F64"/>
    <w:rsid w:val="00A8219C"/>
    <w:rsid w:val="00A82B7B"/>
    <w:rsid w:val="00A82D76"/>
    <w:rsid w:val="00A82EE7"/>
    <w:rsid w:val="00A82F1F"/>
    <w:rsid w:val="00A8392D"/>
    <w:rsid w:val="00A83DF5"/>
    <w:rsid w:val="00A843A0"/>
    <w:rsid w:val="00A8449A"/>
    <w:rsid w:val="00A84CB4"/>
    <w:rsid w:val="00A84CD4"/>
    <w:rsid w:val="00A85171"/>
    <w:rsid w:val="00A8526B"/>
    <w:rsid w:val="00A85572"/>
    <w:rsid w:val="00A85761"/>
    <w:rsid w:val="00A85CAC"/>
    <w:rsid w:val="00A85EDE"/>
    <w:rsid w:val="00A85F52"/>
    <w:rsid w:val="00A86575"/>
    <w:rsid w:val="00A86B15"/>
    <w:rsid w:val="00A86F62"/>
    <w:rsid w:val="00A86FAC"/>
    <w:rsid w:val="00A87198"/>
    <w:rsid w:val="00A872C9"/>
    <w:rsid w:val="00A8738E"/>
    <w:rsid w:val="00A8739D"/>
    <w:rsid w:val="00A874E6"/>
    <w:rsid w:val="00A8760F"/>
    <w:rsid w:val="00A877E0"/>
    <w:rsid w:val="00A879AC"/>
    <w:rsid w:val="00A87A23"/>
    <w:rsid w:val="00A87AC7"/>
    <w:rsid w:val="00A87D80"/>
    <w:rsid w:val="00A87EC6"/>
    <w:rsid w:val="00A87F93"/>
    <w:rsid w:val="00A90019"/>
    <w:rsid w:val="00A901D8"/>
    <w:rsid w:val="00A901E0"/>
    <w:rsid w:val="00A902A2"/>
    <w:rsid w:val="00A90562"/>
    <w:rsid w:val="00A905C9"/>
    <w:rsid w:val="00A90CEC"/>
    <w:rsid w:val="00A90D34"/>
    <w:rsid w:val="00A90E4A"/>
    <w:rsid w:val="00A90F15"/>
    <w:rsid w:val="00A915F4"/>
    <w:rsid w:val="00A92257"/>
    <w:rsid w:val="00A92277"/>
    <w:rsid w:val="00A92887"/>
    <w:rsid w:val="00A929EB"/>
    <w:rsid w:val="00A92D28"/>
    <w:rsid w:val="00A92EF4"/>
    <w:rsid w:val="00A9338F"/>
    <w:rsid w:val="00A93521"/>
    <w:rsid w:val="00A93746"/>
    <w:rsid w:val="00A93910"/>
    <w:rsid w:val="00A93B66"/>
    <w:rsid w:val="00A93C02"/>
    <w:rsid w:val="00A93E4D"/>
    <w:rsid w:val="00A94138"/>
    <w:rsid w:val="00A9419C"/>
    <w:rsid w:val="00A941EE"/>
    <w:rsid w:val="00A94332"/>
    <w:rsid w:val="00A94400"/>
    <w:rsid w:val="00A94448"/>
    <w:rsid w:val="00A946DC"/>
    <w:rsid w:val="00A9532B"/>
    <w:rsid w:val="00A9538D"/>
    <w:rsid w:val="00A9587D"/>
    <w:rsid w:val="00A959C3"/>
    <w:rsid w:val="00A95A9B"/>
    <w:rsid w:val="00A95AE1"/>
    <w:rsid w:val="00A95CE0"/>
    <w:rsid w:val="00A95D7C"/>
    <w:rsid w:val="00A95D9D"/>
    <w:rsid w:val="00A95EF3"/>
    <w:rsid w:val="00A96632"/>
    <w:rsid w:val="00A96854"/>
    <w:rsid w:val="00A96A32"/>
    <w:rsid w:val="00A9723A"/>
    <w:rsid w:val="00A9744E"/>
    <w:rsid w:val="00A97812"/>
    <w:rsid w:val="00A97893"/>
    <w:rsid w:val="00A97CDE"/>
    <w:rsid w:val="00A97E7F"/>
    <w:rsid w:val="00AA00F9"/>
    <w:rsid w:val="00AA0113"/>
    <w:rsid w:val="00AA0170"/>
    <w:rsid w:val="00AA01EE"/>
    <w:rsid w:val="00AA09D1"/>
    <w:rsid w:val="00AA09E0"/>
    <w:rsid w:val="00AA0E47"/>
    <w:rsid w:val="00AA127F"/>
    <w:rsid w:val="00AA136F"/>
    <w:rsid w:val="00AA16BC"/>
    <w:rsid w:val="00AA183B"/>
    <w:rsid w:val="00AA18F7"/>
    <w:rsid w:val="00AA19CB"/>
    <w:rsid w:val="00AA19EC"/>
    <w:rsid w:val="00AA1A4E"/>
    <w:rsid w:val="00AA1BDC"/>
    <w:rsid w:val="00AA1C87"/>
    <w:rsid w:val="00AA1F1A"/>
    <w:rsid w:val="00AA1F6E"/>
    <w:rsid w:val="00AA206F"/>
    <w:rsid w:val="00AA22BD"/>
    <w:rsid w:val="00AA2306"/>
    <w:rsid w:val="00AA242C"/>
    <w:rsid w:val="00AA24B3"/>
    <w:rsid w:val="00AA24E3"/>
    <w:rsid w:val="00AA28C5"/>
    <w:rsid w:val="00AA2D88"/>
    <w:rsid w:val="00AA2E9E"/>
    <w:rsid w:val="00AA2F7F"/>
    <w:rsid w:val="00AA3006"/>
    <w:rsid w:val="00AA3326"/>
    <w:rsid w:val="00AA3536"/>
    <w:rsid w:val="00AA3640"/>
    <w:rsid w:val="00AA373E"/>
    <w:rsid w:val="00AA39E7"/>
    <w:rsid w:val="00AA3A7C"/>
    <w:rsid w:val="00AA3DBE"/>
    <w:rsid w:val="00AA408E"/>
    <w:rsid w:val="00AA411A"/>
    <w:rsid w:val="00AA44D5"/>
    <w:rsid w:val="00AA44EE"/>
    <w:rsid w:val="00AA48E1"/>
    <w:rsid w:val="00AA4A4F"/>
    <w:rsid w:val="00AA4A7E"/>
    <w:rsid w:val="00AA4CA2"/>
    <w:rsid w:val="00AA4D5F"/>
    <w:rsid w:val="00AA4E99"/>
    <w:rsid w:val="00AA514C"/>
    <w:rsid w:val="00AA52C9"/>
    <w:rsid w:val="00AA5351"/>
    <w:rsid w:val="00AA53BD"/>
    <w:rsid w:val="00AA5988"/>
    <w:rsid w:val="00AA63A2"/>
    <w:rsid w:val="00AA6448"/>
    <w:rsid w:val="00AA64EF"/>
    <w:rsid w:val="00AA6744"/>
    <w:rsid w:val="00AA6A2D"/>
    <w:rsid w:val="00AA6F4D"/>
    <w:rsid w:val="00AA71D9"/>
    <w:rsid w:val="00AA7202"/>
    <w:rsid w:val="00AA72D6"/>
    <w:rsid w:val="00AA7363"/>
    <w:rsid w:val="00AA73BE"/>
    <w:rsid w:val="00AA7521"/>
    <w:rsid w:val="00AA75EA"/>
    <w:rsid w:val="00AA76F0"/>
    <w:rsid w:val="00AA7C19"/>
    <w:rsid w:val="00AA7C8B"/>
    <w:rsid w:val="00AA7CC0"/>
    <w:rsid w:val="00AA7D34"/>
    <w:rsid w:val="00AA7E3A"/>
    <w:rsid w:val="00AB005A"/>
    <w:rsid w:val="00AB01DD"/>
    <w:rsid w:val="00AB022D"/>
    <w:rsid w:val="00AB088D"/>
    <w:rsid w:val="00AB0C4F"/>
    <w:rsid w:val="00AB1021"/>
    <w:rsid w:val="00AB11EE"/>
    <w:rsid w:val="00AB15BC"/>
    <w:rsid w:val="00AB165F"/>
    <w:rsid w:val="00AB18B5"/>
    <w:rsid w:val="00AB1A69"/>
    <w:rsid w:val="00AB1A83"/>
    <w:rsid w:val="00AB1DAE"/>
    <w:rsid w:val="00AB2090"/>
    <w:rsid w:val="00AB237A"/>
    <w:rsid w:val="00AB2439"/>
    <w:rsid w:val="00AB25CB"/>
    <w:rsid w:val="00AB26A1"/>
    <w:rsid w:val="00AB27BD"/>
    <w:rsid w:val="00AB2D1B"/>
    <w:rsid w:val="00AB2EA9"/>
    <w:rsid w:val="00AB2F64"/>
    <w:rsid w:val="00AB34BE"/>
    <w:rsid w:val="00AB3770"/>
    <w:rsid w:val="00AB3823"/>
    <w:rsid w:val="00AB3ACA"/>
    <w:rsid w:val="00AB3B40"/>
    <w:rsid w:val="00AB3EB5"/>
    <w:rsid w:val="00AB3F33"/>
    <w:rsid w:val="00AB3FF1"/>
    <w:rsid w:val="00AB4291"/>
    <w:rsid w:val="00AB4316"/>
    <w:rsid w:val="00AB4B9A"/>
    <w:rsid w:val="00AB530C"/>
    <w:rsid w:val="00AB53D5"/>
    <w:rsid w:val="00AB571B"/>
    <w:rsid w:val="00AB5810"/>
    <w:rsid w:val="00AB588D"/>
    <w:rsid w:val="00AB5A7F"/>
    <w:rsid w:val="00AB5B4B"/>
    <w:rsid w:val="00AB5FD5"/>
    <w:rsid w:val="00AB62EF"/>
    <w:rsid w:val="00AB64FA"/>
    <w:rsid w:val="00AB6A78"/>
    <w:rsid w:val="00AB7795"/>
    <w:rsid w:val="00AB78C1"/>
    <w:rsid w:val="00AB7AA5"/>
    <w:rsid w:val="00AB7B6A"/>
    <w:rsid w:val="00AB7D25"/>
    <w:rsid w:val="00AB7D5B"/>
    <w:rsid w:val="00AC0556"/>
    <w:rsid w:val="00AC0649"/>
    <w:rsid w:val="00AC0672"/>
    <w:rsid w:val="00AC07B2"/>
    <w:rsid w:val="00AC0972"/>
    <w:rsid w:val="00AC0C69"/>
    <w:rsid w:val="00AC0E17"/>
    <w:rsid w:val="00AC1682"/>
    <w:rsid w:val="00AC19A7"/>
    <w:rsid w:val="00AC1B48"/>
    <w:rsid w:val="00AC1B70"/>
    <w:rsid w:val="00AC1E93"/>
    <w:rsid w:val="00AC2212"/>
    <w:rsid w:val="00AC2437"/>
    <w:rsid w:val="00AC2545"/>
    <w:rsid w:val="00AC25AA"/>
    <w:rsid w:val="00AC268D"/>
    <w:rsid w:val="00AC285B"/>
    <w:rsid w:val="00AC29A7"/>
    <w:rsid w:val="00AC2A80"/>
    <w:rsid w:val="00AC2D08"/>
    <w:rsid w:val="00AC3A04"/>
    <w:rsid w:val="00AC3D26"/>
    <w:rsid w:val="00AC41DF"/>
    <w:rsid w:val="00AC4767"/>
    <w:rsid w:val="00AC48AA"/>
    <w:rsid w:val="00AC4CD0"/>
    <w:rsid w:val="00AC4F0A"/>
    <w:rsid w:val="00AC5036"/>
    <w:rsid w:val="00AC5442"/>
    <w:rsid w:val="00AC5749"/>
    <w:rsid w:val="00AC59AB"/>
    <w:rsid w:val="00AC5AAE"/>
    <w:rsid w:val="00AC5D14"/>
    <w:rsid w:val="00AC5E28"/>
    <w:rsid w:val="00AC5EF5"/>
    <w:rsid w:val="00AC60CC"/>
    <w:rsid w:val="00AC6DA4"/>
    <w:rsid w:val="00AC6FF1"/>
    <w:rsid w:val="00AC75F6"/>
    <w:rsid w:val="00AC78CC"/>
    <w:rsid w:val="00AC7DF2"/>
    <w:rsid w:val="00AD03B2"/>
    <w:rsid w:val="00AD06D8"/>
    <w:rsid w:val="00AD07A0"/>
    <w:rsid w:val="00AD0BBD"/>
    <w:rsid w:val="00AD0BE0"/>
    <w:rsid w:val="00AD0E10"/>
    <w:rsid w:val="00AD0F79"/>
    <w:rsid w:val="00AD1155"/>
    <w:rsid w:val="00AD1162"/>
    <w:rsid w:val="00AD1474"/>
    <w:rsid w:val="00AD182E"/>
    <w:rsid w:val="00AD1834"/>
    <w:rsid w:val="00AD1E73"/>
    <w:rsid w:val="00AD26C9"/>
    <w:rsid w:val="00AD26D9"/>
    <w:rsid w:val="00AD27CC"/>
    <w:rsid w:val="00AD27E4"/>
    <w:rsid w:val="00AD2B07"/>
    <w:rsid w:val="00AD30BB"/>
    <w:rsid w:val="00AD34B4"/>
    <w:rsid w:val="00AD35DA"/>
    <w:rsid w:val="00AD3FD7"/>
    <w:rsid w:val="00AD402C"/>
    <w:rsid w:val="00AD415D"/>
    <w:rsid w:val="00AD45CF"/>
    <w:rsid w:val="00AD48A4"/>
    <w:rsid w:val="00AD4AC8"/>
    <w:rsid w:val="00AD51C1"/>
    <w:rsid w:val="00AD51F6"/>
    <w:rsid w:val="00AD52B6"/>
    <w:rsid w:val="00AD5A82"/>
    <w:rsid w:val="00AD5FEB"/>
    <w:rsid w:val="00AD6918"/>
    <w:rsid w:val="00AD7126"/>
    <w:rsid w:val="00AD7736"/>
    <w:rsid w:val="00AD789C"/>
    <w:rsid w:val="00AD7C8B"/>
    <w:rsid w:val="00AD7CAD"/>
    <w:rsid w:val="00AD7EF4"/>
    <w:rsid w:val="00AD7F6B"/>
    <w:rsid w:val="00AE0059"/>
    <w:rsid w:val="00AE0068"/>
    <w:rsid w:val="00AE0367"/>
    <w:rsid w:val="00AE0421"/>
    <w:rsid w:val="00AE04AF"/>
    <w:rsid w:val="00AE066A"/>
    <w:rsid w:val="00AE0842"/>
    <w:rsid w:val="00AE0872"/>
    <w:rsid w:val="00AE0D37"/>
    <w:rsid w:val="00AE0DE8"/>
    <w:rsid w:val="00AE1448"/>
    <w:rsid w:val="00AE1733"/>
    <w:rsid w:val="00AE1A0B"/>
    <w:rsid w:val="00AE1B66"/>
    <w:rsid w:val="00AE1D36"/>
    <w:rsid w:val="00AE216E"/>
    <w:rsid w:val="00AE2265"/>
    <w:rsid w:val="00AE249F"/>
    <w:rsid w:val="00AE2736"/>
    <w:rsid w:val="00AE2755"/>
    <w:rsid w:val="00AE288E"/>
    <w:rsid w:val="00AE2A21"/>
    <w:rsid w:val="00AE2B21"/>
    <w:rsid w:val="00AE2DF7"/>
    <w:rsid w:val="00AE2E2B"/>
    <w:rsid w:val="00AE346D"/>
    <w:rsid w:val="00AE3476"/>
    <w:rsid w:val="00AE3924"/>
    <w:rsid w:val="00AE4672"/>
    <w:rsid w:val="00AE4763"/>
    <w:rsid w:val="00AE4785"/>
    <w:rsid w:val="00AE4B69"/>
    <w:rsid w:val="00AE4E82"/>
    <w:rsid w:val="00AE4EA9"/>
    <w:rsid w:val="00AE509E"/>
    <w:rsid w:val="00AE50AC"/>
    <w:rsid w:val="00AE50E5"/>
    <w:rsid w:val="00AE5130"/>
    <w:rsid w:val="00AE5643"/>
    <w:rsid w:val="00AE57DC"/>
    <w:rsid w:val="00AE5A18"/>
    <w:rsid w:val="00AE5B40"/>
    <w:rsid w:val="00AE5E2D"/>
    <w:rsid w:val="00AE5F81"/>
    <w:rsid w:val="00AE5F90"/>
    <w:rsid w:val="00AE6388"/>
    <w:rsid w:val="00AE6617"/>
    <w:rsid w:val="00AE6635"/>
    <w:rsid w:val="00AE679C"/>
    <w:rsid w:val="00AE6836"/>
    <w:rsid w:val="00AE6A6D"/>
    <w:rsid w:val="00AE71A7"/>
    <w:rsid w:val="00AE7612"/>
    <w:rsid w:val="00AE773A"/>
    <w:rsid w:val="00AE7886"/>
    <w:rsid w:val="00AE79B1"/>
    <w:rsid w:val="00AE7DE4"/>
    <w:rsid w:val="00AE7F59"/>
    <w:rsid w:val="00AF00E0"/>
    <w:rsid w:val="00AF00F9"/>
    <w:rsid w:val="00AF0334"/>
    <w:rsid w:val="00AF04AD"/>
    <w:rsid w:val="00AF05D7"/>
    <w:rsid w:val="00AF0712"/>
    <w:rsid w:val="00AF0796"/>
    <w:rsid w:val="00AF08E4"/>
    <w:rsid w:val="00AF0CFF"/>
    <w:rsid w:val="00AF1317"/>
    <w:rsid w:val="00AF136A"/>
    <w:rsid w:val="00AF173D"/>
    <w:rsid w:val="00AF189D"/>
    <w:rsid w:val="00AF1CBF"/>
    <w:rsid w:val="00AF1D4A"/>
    <w:rsid w:val="00AF2015"/>
    <w:rsid w:val="00AF260E"/>
    <w:rsid w:val="00AF2E53"/>
    <w:rsid w:val="00AF30E4"/>
    <w:rsid w:val="00AF30E7"/>
    <w:rsid w:val="00AF31EC"/>
    <w:rsid w:val="00AF325A"/>
    <w:rsid w:val="00AF3709"/>
    <w:rsid w:val="00AF3C85"/>
    <w:rsid w:val="00AF3C9F"/>
    <w:rsid w:val="00AF3E03"/>
    <w:rsid w:val="00AF3FAD"/>
    <w:rsid w:val="00AF4242"/>
    <w:rsid w:val="00AF4346"/>
    <w:rsid w:val="00AF451E"/>
    <w:rsid w:val="00AF463F"/>
    <w:rsid w:val="00AF464E"/>
    <w:rsid w:val="00AF49A4"/>
    <w:rsid w:val="00AF4A29"/>
    <w:rsid w:val="00AF4CC0"/>
    <w:rsid w:val="00AF51F1"/>
    <w:rsid w:val="00AF524F"/>
    <w:rsid w:val="00AF52C8"/>
    <w:rsid w:val="00AF5336"/>
    <w:rsid w:val="00AF59B9"/>
    <w:rsid w:val="00AF5E3B"/>
    <w:rsid w:val="00AF69AC"/>
    <w:rsid w:val="00AF6A17"/>
    <w:rsid w:val="00AF6E49"/>
    <w:rsid w:val="00AF721C"/>
    <w:rsid w:val="00AF7338"/>
    <w:rsid w:val="00AF760E"/>
    <w:rsid w:val="00AF771A"/>
    <w:rsid w:val="00AF77A1"/>
    <w:rsid w:val="00AF7B73"/>
    <w:rsid w:val="00B0056C"/>
    <w:rsid w:val="00B0063D"/>
    <w:rsid w:val="00B00A23"/>
    <w:rsid w:val="00B00B0D"/>
    <w:rsid w:val="00B00C6B"/>
    <w:rsid w:val="00B00DBA"/>
    <w:rsid w:val="00B00EBA"/>
    <w:rsid w:val="00B01038"/>
    <w:rsid w:val="00B01140"/>
    <w:rsid w:val="00B01233"/>
    <w:rsid w:val="00B01303"/>
    <w:rsid w:val="00B01370"/>
    <w:rsid w:val="00B01743"/>
    <w:rsid w:val="00B018A2"/>
    <w:rsid w:val="00B01B2A"/>
    <w:rsid w:val="00B01C72"/>
    <w:rsid w:val="00B024E6"/>
    <w:rsid w:val="00B02521"/>
    <w:rsid w:val="00B025F2"/>
    <w:rsid w:val="00B02943"/>
    <w:rsid w:val="00B02AA8"/>
    <w:rsid w:val="00B02DA4"/>
    <w:rsid w:val="00B031B9"/>
    <w:rsid w:val="00B03653"/>
    <w:rsid w:val="00B0365C"/>
    <w:rsid w:val="00B03A18"/>
    <w:rsid w:val="00B03B0E"/>
    <w:rsid w:val="00B03C5A"/>
    <w:rsid w:val="00B03C62"/>
    <w:rsid w:val="00B03D0E"/>
    <w:rsid w:val="00B03EBC"/>
    <w:rsid w:val="00B04020"/>
    <w:rsid w:val="00B045BC"/>
    <w:rsid w:val="00B04723"/>
    <w:rsid w:val="00B04C10"/>
    <w:rsid w:val="00B04CA0"/>
    <w:rsid w:val="00B04DC5"/>
    <w:rsid w:val="00B05002"/>
    <w:rsid w:val="00B0520B"/>
    <w:rsid w:val="00B0531A"/>
    <w:rsid w:val="00B054B0"/>
    <w:rsid w:val="00B054B8"/>
    <w:rsid w:val="00B05FC5"/>
    <w:rsid w:val="00B0642A"/>
    <w:rsid w:val="00B06687"/>
    <w:rsid w:val="00B06910"/>
    <w:rsid w:val="00B0695B"/>
    <w:rsid w:val="00B06C83"/>
    <w:rsid w:val="00B06C92"/>
    <w:rsid w:val="00B07031"/>
    <w:rsid w:val="00B0704C"/>
    <w:rsid w:val="00B07169"/>
    <w:rsid w:val="00B07E78"/>
    <w:rsid w:val="00B108F8"/>
    <w:rsid w:val="00B108FD"/>
    <w:rsid w:val="00B10A49"/>
    <w:rsid w:val="00B10E47"/>
    <w:rsid w:val="00B10FC8"/>
    <w:rsid w:val="00B11010"/>
    <w:rsid w:val="00B11215"/>
    <w:rsid w:val="00B114EF"/>
    <w:rsid w:val="00B11953"/>
    <w:rsid w:val="00B12061"/>
    <w:rsid w:val="00B12282"/>
    <w:rsid w:val="00B12793"/>
    <w:rsid w:val="00B129BB"/>
    <w:rsid w:val="00B12BC0"/>
    <w:rsid w:val="00B12C9F"/>
    <w:rsid w:val="00B12E77"/>
    <w:rsid w:val="00B12EBE"/>
    <w:rsid w:val="00B12F4F"/>
    <w:rsid w:val="00B12F7D"/>
    <w:rsid w:val="00B13077"/>
    <w:rsid w:val="00B130EA"/>
    <w:rsid w:val="00B1384F"/>
    <w:rsid w:val="00B139EE"/>
    <w:rsid w:val="00B13B3C"/>
    <w:rsid w:val="00B13D02"/>
    <w:rsid w:val="00B13ECD"/>
    <w:rsid w:val="00B13F42"/>
    <w:rsid w:val="00B14504"/>
    <w:rsid w:val="00B1470C"/>
    <w:rsid w:val="00B148AF"/>
    <w:rsid w:val="00B149C8"/>
    <w:rsid w:val="00B14DC6"/>
    <w:rsid w:val="00B1585F"/>
    <w:rsid w:val="00B158DD"/>
    <w:rsid w:val="00B159F3"/>
    <w:rsid w:val="00B15BBD"/>
    <w:rsid w:val="00B16C8D"/>
    <w:rsid w:val="00B16F61"/>
    <w:rsid w:val="00B17475"/>
    <w:rsid w:val="00B17B6B"/>
    <w:rsid w:val="00B17CA9"/>
    <w:rsid w:val="00B17CE4"/>
    <w:rsid w:val="00B17D10"/>
    <w:rsid w:val="00B17E46"/>
    <w:rsid w:val="00B17E5D"/>
    <w:rsid w:val="00B17F55"/>
    <w:rsid w:val="00B17FD6"/>
    <w:rsid w:val="00B20092"/>
    <w:rsid w:val="00B200CC"/>
    <w:rsid w:val="00B2035E"/>
    <w:rsid w:val="00B208F2"/>
    <w:rsid w:val="00B20A21"/>
    <w:rsid w:val="00B20ED6"/>
    <w:rsid w:val="00B20F20"/>
    <w:rsid w:val="00B21364"/>
    <w:rsid w:val="00B21955"/>
    <w:rsid w:val="00B219EF"/>
    <w:rsid w:val="00B21E3C"/>
    <w:rsid w:val="00B21EF9"/>
    <w:rsid w:val="00B22065"/>
    <w:rsid w:val="00B22340"/>
    <w:rsid w:val="00B22363"/>
    <w:rsid w:val="00B225D2"/>
    <w:rsid w:val="00B226A1"/>
    <w:rsid w:val="00B2279B"/>
    <w:rsid w:val="00B227B1"/>
    <w:rsid w:val="00B22A82"/>
    <w:rsid w:val="00B22C84"/>
    <w:rsid w:val="00B22CDD"/>
    <w:rsid w:val="00B23387"/>
    <w:rsid w:val="00B23570"/>
    <w:rsid w:val="00B23620"/>
    <w:rsid w:val="00B23996"/>
    <w:rsid w:val="00B239A0"/>
    <w:rsid w:val="00B239DD"/>
    <w:rsid w:val="00B23D0F"/>
    <w:rsid w:val="00B23D88"/>
    <w:rsid w:val="00B2448B"/>
    <w:rsid w:val="00B244FA"/>
    <w:rsid w:val="00B24880"/>
    <w:rsid w:val="00B252C5"/>
    <w:rsid w:val="00B2570A"/>
    <w:rsid w:val="00B257FF"/>
    <w:rsid w:val="00B2596F"/>
    <w:rsid w:val="00B25A47"/>
    <w:rsid w:val="00B25E0D"/>
    <w:rsid w:val="00B26013"/>
    <w:rsid w:val="00B260C4"/>
    <w:rsid w:val="00B2610D"/>
    <w:rsid w:val="00B2628E"/>
    <w:rsid w:val="00B262E3"/>
    <w:rsid w:val="00B26B08"/>
    <w:rsid w:val="00B26DCC"/>
    <w:rsid w:val="00B27785"/>
    <w:rsid w:val="00B2784A"/>
    <w:rsid w:val="00B27B86"/>
    <w:rsid w:val="00B27E4E"/>
    <w:rsid w:val="00B3007C"/>
    <w:rsid w:val="00B30106"/>
    <w:rsid w:val="00B3016F"/>
    <w:rsid w:val="00B3021B"/>
    <w:rsid w:val="00B308F7"/>
    <w:rsid w:val="00B30918"/>
    <w:rsid w:val="00B30A62"/>
    <w:rsid w:val="00B30A88"/>
    <w:rsid w:val="00B30BD6"/>
    <w:rsid w:val="00B30C7A"/>
    <w:rsid w:val="00B30CE0"/>
    <w:rsid w:val="00B30D0F"/>
    <w:rsid w:val="00B30FFA"/>
    <w:rsid w:val="00B310F0"/>
    <w:rsid w:val="00B3133B"/>
    <w:rsid w:val="00B313DD"/>
    <w:rsid w:val="00B31499"/>
    <w:rsid w:val="00B31543"/>
    <w:rsid w:val="00B315E6"/>
    <w:rsid w:val="00B3190A"/>
    <w:rsid w:val="00B31A35"/>
    <w:rsid w:val="00B31CBB"/>
    <w:rsid w:val="00B32047"/>
    <w:rsid w:val="00B32293"/>
    <w:rsid w:val="00B322AB"/>
    <w:rsid w:val="00B32666"/>
    <w:rsid w:val="00B3296E"/>
    <w:rsid w:val="00B32992"/>
    <w:rsid w:val="00B329EA"/>
    <w:rsid w:val="00B32BBA"/>
    <w:rsid w:val="00B32C07"/>
    <w:rsid w:val="00B32C3C"/>
    <w:rsid w:val="00B32D3A"/>
    <w:rsid w:val="00B32F30"/>
    <w:rsid w:val="00B333A7"/>
    <w:rsid w:val="00B334A5"/>
    <w:rsid w:val="00B3383B"/>
    <w:rsid w:val="00B33D13"/>
    <w:rsid w:val="00B33F82"/>
    <w:rsid w:val="00B33FAD"/>
    <w:rsid w:val="00B3428E"/>
    <w:rsid w:val="00B3448C"/>
    <w:rsid w:val="00B344DD"/>
    <w:rsid w:val="00B347C9"/>
    <w:rsid w:val="00B3484D"/>
    <w:rsid w:val="00B34D74"/>
    <w:rsid w:val="00B34D93"/>
    <w:rsid w:val="00B34E15"/>
    <w:rsid w:val="00B34E66"/>
    <w:rsid w:val="00B355AC"/>
    <w:rsid w:val="00B355D4"/>
    <w:rsid w:val="00B35B5C"/>
    <w:rsid w:val="00B35CF4"/>
    <w:rsid w:val="00B366B5"/>
    <w:rsid w:val="00B36A89"/>
    <w:rsid w:val="00B37155"/>
    <w:rsid w:val="00B371B7"/>
    <w:rsid w:val="00B37289"/>
    <w:rsid w:val="00B37502"/>
    <w:rsid w:val="00B37896"/>
    <w:rsid w:val="00B40006"/>
    <w:rsid w:val="00B40148"/>
    <w:rsid w:val="00B40876"/>
    <w:rsid w:val="00B40EEE"/>
    <w:rsid w:val="00B41089"/>
    <w:rsid w:val="00B41725"/>
    <w:rsid w:val="00B41A2C"/>
    <w:rsid w:val="00B41C90"/>
    <w:rsid w:val="00B41CFC"/>
    <w:rsid w:val="00B41E08"/>
    <w:rsid w:val="00B41EC5"/>
    <w:rsid w:val="00B42721"/>
    <w:rsid w:val="00B42B6C"/>
    <w:rsid w:val="00B42BB7"/>
    <w:rsid w:val="00B430EC"/>
    <w:rsid w:val="00B43189"/>
    <w:rsid w:val="00B4321E"/>
    <w:rsid w:val="00B43265"/>
    <w:rsid w:val="00B43943"/>
    <w:rsid w:val="00B43A60"/>
    <w:rsid w:val="00B43C3B"/>
    <w:rsid w:val="00B43EC4"/>
    <w:rsid w:val="00B440A4"/>
    <w:rsid w:val="00B442AE"/>
    <w:rsid w:val="00B445F1"/>
    <w:rsid w:val="00B44D29"/>
    <w:rsid w:val="00B44EB2"/>
    <w:rsid w:val="00B44F37"/>
    <w:rsid w:val="00B45031"/>
    <w:rsid w:val="00B45211"/>
    <w:rsid w:val="00B45548"/>
    <w:rsid w:val="00B4562A"/>
    <w:rsid w:val="00B45825"/>
    <w:rsid w:val="00B4583B"/>
    <w:rsid w:val="00B458E9"/>
    <w:rsid w:val="00B4596A"/>
    <w:rsid w:val="00B459C2"/>
    <w:rsid w:val="00B45A48"/>
    <w:rsid w:val="00B45C96"/>
    <w:rsid w:val="00B46040"/>
    <w:rsid w:val="00B460C2"/>
    <w:rsid w:val="00B461E8"/>
    <w:rsid w:val="00B4646B"/>
    <w:rsid w:val="00B467DF"/>
    <w:rsid w:val="00B46BF0"/>
    <w:rsid w:val="00B46CCE"/>
    <w:rsid w:val="00B46E43"/>
    <w:rsid w:val="00B47176"/>
    <w:rsid w:val="00B47261"/>
    <w:rsid w:val="00B47333"/>
    <w:rsid w:val="00B4738A"/>
    <w:rsid w:val="00B47391"/>
    <w:rsid w:val="00B47488"/>
    <w:rsid w:val="00B47573"/>
    <w:rsid w:val="00B47B43"/>
    <w:rsid w:val="00B50447"/>
    <w:rsid w:val="00B5047C"/>
    <w:rsid w:val="00B506A7"/>
    <w:rsid w:val="00B50987"/>
    <w:rsid w:val="00B50A20"/>
    <w:rsid w:val="00B50DB1"/>
    <w:rsid w:val="00B5112E"/>
    <w:rsid w:val="00B51154"/>
    <w:rsid w:val="00B51403"/>
    <w:rsid w:val="00B516FF"/>
    <w:rsid w:val="00B519E0"/>
    <w:rsid w:val="00B51ABA"/>
    <w:rsid w:val="00B51B7F"/>
    <w:rsid w:val="00B51D27"/>
    <w:rsid w:val="00B51DA8"/>
    <w:rsid w:val="00B51E28"/>
    <w:rsid w:val="00B51F2C"/>
    <w:rsid w:val="00B51FA3"/>
    <w:rsid w:val="00B52274"/>
    <w:rsid w:val="00B52497"/>
    <w:rsid w:val="00B526F7"/>
    <w:rsid w:val="00B528AA"/>
    <w:rsid w:val="00B52ACA"/>
    <w:rsid w:val="00B52B41"/>
    <w:rsid w:val="00B52D2D"/>
    <w:rsid w:val="00B52E43"/>
    <w:rsid w:val="00B53697"/>
    <w:rsid w:val="00B536AD"/>
    <w:rsid w:val="00B53726"/>
    <w:rsid w:val="00B53797"/>
    <w:rsid w:val="00B537AD"/>
    <w:rsid w:val="00B538FE"/>
    <w:rsid w:val="00B53B93"/>
    <w:rsid w:val="00B53D09"/>
    <w:rsid w:val="00B53DC8"/>
    <w:rsid w:val="00B53E9C"/>
    <w:rsid w:val="00B53EF6"/>
    <w:rsid w:val="00B54200"/>
    <w:rsid w:val="00B54579"/>
    <w:rsid w:val="00B54665"/>
    <w:rsid w:val="00B54984"/>
    <w:rsid w:val="00B549E0"/>
    <w:rsid w:val="00B54AE4"/>
    <w:rsid w:val="00B54B65"/>
    <w:rsid w:val="00B54CCC"/>
    <w:rsid w:val="00B550AD"/>
    <w:rsid w:val="00B552A9"/>
    <w:rsid w:val="00B55879"/>
    <w:rsid w:val="00B55CAF"/>
    <w:rsid w:val="00B5665A"/>
    <w:rsid w:val="00B56D03"/>
    <w:rsid w:val="00B56EA6"/>
    <w:rsid w:val="00B56F5B"/>
    <w:rsid w:val="00B5763B"/>
    <w:rsid w:val="00B57E92"/>
    <w:rsid w:val="00B57EDB"/>
    <w:rsid w:val="00B57FEE"/>
    <w:rsid w:val="00B6001B"/>
    <w:rsid w:val="00B6010F"/>
    <w:rsid w:val="00B606CF"/>
    <w:rsid w:val="00B606D7"/>
    <w:rsid w:val="00B6095D"/>
    <w:rsid w:val="00B60CD7"/>
    <w:rsid w:val="00B60F50"/>
    <w:rsid w:val="00B61267"/>
    <w:rsid w:val="00B613B9"/>
    <w:rsid w:val="00B61527"/>
    <w:rsid w:val="00B61560"/>
    <w:rsid w:val="00B615D0"/>
    <w:rsid w:val="00B6167B"/>
    <w:rsid w:val="00B61F48"/>
    <w:rsid w:val="00B62300"/>
    <w:rsid w:val="00B6234C"/>
    <w:rsid w:val="00B623FC"/>
    <w:rsid w:val="00B62518"/>
    <w:rsid w:val="00B62670"/>
    <w:rsid w:val="00B6289B"/>
    <w:rsid w:val="00B632E6"/>
    <w:rsid w:val="00B6334A"/>
    <w:rsid w:val="00B63606"/>
    <w:rsid w:val="00B63876"/>
    <w:rsid w:val="00B638C4"/>
    <w:rsid w:val="00B6394B"/>
    <w:rsid w:val="00B639C8"/>
    <w:rsid w:val="00B63A3D"/>
    <w:rsid w:val="00B63B1F"/>
    <w:rsid w:val="00B63B91"/>
    <w:rsid w:val="00B63E7D"/>
    <w:rsid w:val="00B63FC6"/>
    <w:rsid w:val="00B64029"/>
    <w:rsid w:val="00B6439E"/>
    <w:rsid w:val="00B6451A"/>
    <w:rsid w:val="00B647D3"/>
    <w:rsid w:val="00B64BC8"/>
    <w:rsid w:val="00B64D83"/>
    <w:rsid w:val="00B64D8D"/>
    <w:rsid w:val="00B65116"/>
    <w:rsid w:val="00B652B9"/>
    <w:rsid w:val="00B65A15"/>
    <w:rsid w:val="00B65AEF"/>
    <w:rsid w:val="00B65DAC"/>
    <w:rsid w:val="00B66735"/>
    <w:rsid w:val="00B66B23"/>
    <w:rsid w:val="00B66B63"/>
    <w:rsid w:val="00B66D9F"/>
    <w:rsid w:val="00B66F48"/>
    <w:rsid w:val="00B67036"/>
    <w:rsid w:val="00B67109"/>
    <w:rsid w:val="00B677AE"/>
    <w:rsid w:val="00B67A05"/>
    <w:rsid w:val="00B67D12"/>
    <w:rsid w:val="00B70502"/>
    <w:rsid w:val="00B70C13"/>
    <w:rsid w:val="00B713A5"/>
    <w:rsid w:val="00B71A85"/>
    <w:rsid w:val="00B71C1D"/>
    <w:rsid w:val="00B723BC"/>
    <w:rsid w:val="00B729A5"/>
    <w:rsid w:val="00B72A3C"/>
    <w:rsid w:val="00B72EB0"/>
    <w:rsid w:val="00B72ED5"/>
    <w:rsid w:val="00B72FD4"/>
    <w:rsid w:val="00B730BA"/>
    <w:rsid w:val="00B7318A"/>
    <w:rsid w:val="00B73453"/>
    <w:rsid w:val="00B73505"/>
    <w:rsid w:val="00B73551"/>
    <w:rsid w:val="00B7385E"/>
    <w:rsid w:val="00B73A0B"/>
    <w:rsid w:val="00B73B73"/>
    <w:rsid w:val="00B73ECE"/>
    <w:rsid w:val="00B73F75"/>
    <w:rsid w:val="00B74036"/>
    <w:rsid w:val="00B740CB"/>
    <w:rsid w:val="00B74248"/>
    <w:rsid w:val="00B743B9"/>
    <w:rsid w:val="00B74D09"/>
    <w:rsid w:val="00B74EB0"/>
    <w:rsid w:val="00B7514A"/>
    <w:rsid w:val="00B75222"/>
    <w:rsid w:val="00B75384"/>
    <w:rsid w:val="00B75402"/>
    <w:rsid w:val="00B75FD0"/>
    <w:rsid w:val="00B75FDA"/>
    <w:rsid w:val="00B75FF8"/>
    <w:rsid w:val="00B7611D"/>
    <w:rsid w:val="00B761E8"/>
    <w:rsid w:val="00B76248"/>
    <w:rsid w:val="00B76917"/>
    <w:rsid w:val="00B76D8D"/>
    <w:rsid w:val="00B76DB1"/>
    <w:rsid w:val="00B770E6"/>
    <w:rsid w:val="00B771DC"/>
    <w:rsid w:val="00B77705"/>
    <w:rsid w:val="00B779BE"/>
    <w:rsid w:val="00B77BD1"/>
    <w:rsid w:val="00B77BEF"/>
    <w:rsid w:val="00B77C3C"/>
    <w:rsid w:val="00B77D52"/>
    <w:rsid w:val="00B77E07"/>
    <w:rsid w:val="00B77F3E"/>
    <w:rsid w:val="00B77FBA"/>
    <w:rsid w:val="00B803A8"/>
    <w:rsid w:val="00B80938"/>
    <w:rsid w:val="00B80A85"/>
    <w:rsid w:val="00B80E60"/>
    <w:rsid w:val="00B8107E"/>
    <w:rsid w:val="00B811FB"/>
    <w:rsid w:val="00B8129F"/>
    <w:rsid w:val="00B816D2"/>
    <w:rsid w:val="00B81C0A"/>
    <w:rsid w:val="00B81DF4"/>
    <w:rsid w:val="00B81FAF"/>
    <w:rsid w:val="00B822E7"/>
    <w:rsid w:val="00B82701"/>
    <w:rsid w:val="00B82745"/>
    <w:rsid w:val="00B82CD8"/>
    <w:rsid w:val="00B82D0F"/>
    <w:rsid w:val="00B83252"/>
    <w:rsid w:val="00B8330B"/>
    <w:rsid w:val="00B83431"/>
    <w:rsid w:val="00B83810"/>
    <w:rsid w:val="00B842A6"/>
    <w:rsid w:val="00B84399"/>
    <w:rsid w:val="00B843B7"/>
    <w:rsid w:val="00B84437"/>
    <w:rsid w:val="00B8443F"/>
    <w:rsid w:val="00B84B82"/>
    <w:rsid w:val="00B84BD9"/>
    <w:rsid w:val="00B84D3F"/>
    <w:rsid w:val="00B84DBB"/>
    <w:rsid w:val="00B84DD7"/>
    <w:rsid w:val="00B84FB3"/>
    <w:rsid w:val="00B8505C"/>
    <w:rsid w:val="00B850D4"/>
    <w:rsid w:val="00B858AE"/>
    <w:rsid w:val="00B85948"/>
    <w:rsid w:val="00B85CF7"/>
    <w:rsid w:val="00B85FA2"/>
    <w:rsid w:val="00B86A1A"/>
    <w:rsid w:val="00B86B85"/>
    <w:rsid w:val="00B87006"/>
    <w:rsid w:val="00B873F6"/>
    <w:rsid w:val="00B877E1"/>
    <w:rsid w:val="00B87BC1"/>
    <w:rsid w:val="00B87DEA"/>
    <w:rsid w:val="00B904F5"/>
    <w:rsid w:val="00B90639"/>
    <w:rsid w:val="00B908E0"/>
    <w:rsid w:val="00B90A19"/>
    <w:rsid w:val="00B90A4F"/>
    <w:rsid w:val="00B90B86"/>
    <w:rsid w:val="00B90C5A"/>
    <w:rsid w:val="00B911DD"/>
    <w:rsid w:val="00B912D9"/>
    <w:rsid w:val="00B913B2"/>
    <w:rsid w:val="00B913FB"/>
    <w:rsid w:val="00B91539"/>
    <w:rsid w:val="00B91550"/>
    <w:rsid w:val="00B9170F"/>
    <w:rsid w:val="00B91D73"/>
    <w:rsid w:val="00B91DEF"/>
    <w:rsid w:val="00B91F91"/>
    <w:rsid w:val="00B92062"/>
    <w:rsid w:val="00B9242E"/>
    <w:rsid w:val="00B92466"/>
    <w:rsid w:val="00B924CA"/>
    <w:rsid w:val="00B9259D"/>
    <w:rsid w:val="00B92670"/>
    <w:rsid w:val="00B92727"/>
    <w:rsid w:val="00B92A9B"/>
    <w:rsid w:val="00B92DFA"/>
    <w:rsid w:val="00B92F23"/>
    <w:rsid w:val="00B9322E"/>
    <w:rsid w:val="00B932BE"/>
    <w:rsid w:val="00B938C4"/>
    <w:rsid w:val="00B938F7"/>
    <w:rsid w:val="00B93C83"/>
    <w:rsid w:val="00B93F67"/>
    <w:rsid w:val="00B94684"/>
    <w:rsid w:val="00B94EE2"/>
    <w:rsid w:val="00B958A5"/>
    <w:rsid w:val="00B95937"/>
    <w:rsid w:val="00B95D5A"/>
    <w:rsid w:val="00B95E3C"/>
    <w:rsid w:val="00B960DA"/>
    <w:rsid w:val="00B96270"/>
    <w:rsid w:val="00B962BC"/>
    <w:rsid w:val="00B9644B"/>
    <w:rsid w:val="00B96585"/>
    <w:rsid w:val="00B96C46"/>
    <w:rsid w:val="00B96CF5"/>
    <w:rsid w:val="00B96FED"/>
    <w:rsid w:val="00B97010"/>
    <w:rsid w:val="00B97303"/>
    <w:rsid w:val="00B974C8"/>
    <w:rsid w:val="00B976A0"/>
    <w:rsid w:val="00B977BD"/>
    <w:rsid w:val="00B97A9E"/>
    <w:rsid w:val="00B97B0F"/>
    <w:rsid w:val="00B97DB2"/>
    <w:rsid w:val="00BA01E6"/>
    <w:rsid w:val="00BA0751"/>
    <w:rsid w:val="00BA195B"/>
    <w:rsid w:val="00BA19B7"/>
    <w:rsid w:val="00BA1AED"/>
    <w:rsid w:val="00BA1DD3"/>
    <w:rsid w:val="00BA1FCC"/>
    <w:rsid w:val="00BA2030"/>
    <w:rsid w:val="00BA2070"/>
    <w:rsid w:val="00BA20E9"/>
    <w:rsid w:val="00BA218B"/>
    <w:rsid w:val="00BA24CB"/>
    <w:rsid w:val="00BA29D1"/>
    <w:rsid w:val="00BA2D98"/>
    <w:rsid w:val="00BA3493"/>
    <w:rsid w:val="00BA3A2E"/>
    <w:rsid w:val="00BA3A79"/>
    <w:rsid w:val="00BA3E2A"/>
    <w:rsid w:val="00BA3E62"/>
    <w:rsid w:val="00BA406C"/>
    <w:rsid w:val="00BA44B0"/>
    <w:rsid w:val="00BA4500"/>
    <w:rsid w:val="00BA4920"/>
    <w:rsid w:val="00BA492A"/>
    <w:rsid w:val="00BA493B"/>
    <w:rsid w:val="00BA4CF1"/>
    <w:rsid w:val="00BA4D3D"/>
    <w:rsid w:val="00BA4E34"/>
    <w:rsid w:val="00BA5042"/>
    <w:rsid w:val="00BA5084"/>
    <w:rsid w:val="00BA5217"/>
    <w:rsid w:val="00BA523D"/>
    <w:rsid w:val="00BA56A9"/>
    <w:rsid w:val="00BA5844"/>
    <w:rsid w:val="00BA5B11"/>
    <w:rsid w:val="00BA5B2F"/>
    <w:rsid w:val="00BA5E6C"/>
    <w:rsid w:val="00BA5EE7"/>
    <w:rsid w:val="00BA60B6"/>
    <w:rsid w:val="00BA6112"/>
    <w:rsid w:val="00BA6728"/>
    <w:rsid w:val="00BA67E6"/>
    <w:rsid w:val="00BA67F2"/>
    <w:rsid w:val="00BA696B"/>
    <w:rsid w:val="00BA6C48"/>
    <w:rsid w:val="00BA6F37"/>
    <w:rsid w:val="00BA6FB6"/>
    <w:rsid w:val="00BA7E96"/>
    <w:rsid w:val="00BA7EA7"/>
    <w:rsid w:val="00BB001A"/>
    <w:rsid w:val="00BB01C4"/>
    <w:rsid w:val="00BB02EF"/>
    <w:rsid w:val="00BB056B"/>
    <w:rsid w:val="00BB05DE"/>
    <w:rsid w:val="00BB069F"/>
    <w:rsid w:val="00BB0836"/>
    <w:rsid w:val="00BB09A5"/>
    <w:rsid w:val="00BB0A1C"/>
    <w:rsid w:val="00BB0BBB"/>
    <w:rsid w:val="00BB0C00"/>
    <w:rsid w:val="00BB0F01"/>
    <w:rsid w:val="00BB1140"/>
    <w:rsid w:val="00BB1574"/>
    <w:rsid w:val="00BB1998"/>
    <w:rsid w:val="00BB1A51"/>
    <w:rsid w:val="00BB2868"/>
    <w:rsid w:val="00BB291B"/>
    <w:rsid w:val="00BB295B"/>
    <w:rsid w:val="00BB2C16"/>
    <w:rsid w:val="00BB2FB0"/>
    <w:rsid w:val="00BB2FC9"/>
    <w:rsid w:val="00BB2FEB"/>
    <w:rsid w:val="00BB314A"/>
    <w:rsid w:val="00BB318B"/>
    <w:rsid w:val="00BB364F"/>
    <w:rsid w:val="00BB3AE5"/>
    <w:rsid w:val="00BB3BE8"/>
    <w:rsid w:val="00BB3DE1"/>
    <w:rsid w:val="00BB3E1F"/>
    <w:rsid w:val="00BB43F1"/>
    <w:rsid w:val="00BB44AF"/>
    <w:rsid w:val="00BB48D4"/>
    <w:rsid w:val="00BB4B51"/>
    <w:rsid w:val="00BB4D74"/>
    <w:rsid w:val="00BB4F40"/>
    <w:rsid w:val="00BB4F7B"/>
    <w:rsid w:val="00BB532D"/>
    <w:rsid w:val="00BB53C3"/>
    <w:rsid w:val="00BB5920"/>
    <w:rsid w:val="00BB5D0F"/>
    <w:rsid w:val="00BB5D60"/>
    <w:rsid w:val="00BB609E"/>
    <w:rsid w:val="00BB670C"/>
    <w:rsid w:val="00BB6826"/>
    <w:rsid w:val="00BB6AE3"/>
    <w:rsid w:val="00BB6B03"/>
    <w:rsid w:val="00BB6B9C"/>
    <w:rsid w:val="00BB6C2C"/>
    <w:rsid w:val="00BB6C2E"/>
    <w:rsid w:val="00BB7517"/>
    <w:rsid w:val="00BB764C"/>
    <w:rsid w:val="00BB7804"/>
    <w:rsid w:val="00BB78B4"/>
    <w:rsid w:val="00BB7971"/>
    <w:rsid w:val="00BB7AC4"/>
    <w:rsid w:val="00BB7F79"/>
    <w:rsid w:val="00BB7FF3"/>
    <w:rsid w:val="00BC01FE"/>
    <w:rsid w:val="00BC0217"/>
    <w:rsid w:val="00BC025B"/>
    <w:rsid w:val="00BC0449"/>
    <w:rsid w:val="00BC0692"/>
    <w:rsid w:val="00BC06A0"/>
    <w:rsid w:val="00BC0809"/>
    <w:rsid w:val="00BC0AAD"/>
    <w:rsid w:val="00BC0DD3"/>
    <w:rsid w:val="00BC0EA3"/>
    <w:rsid w:val="00BC0FA7"/>
    <w:rsid w:val="00BC101F"/>
    <w:rsid w:val="00BC1160"/>
    <w:rsid w:val="00BC146F"/>
    <w:rsid w:val="00BC1496"/>
    <w:rsid w:val="00BC16A8"/>
    <w:rsid w:val="00BC16FF"/>
    <w:rsid w:val="00BC1809"/>
    <w:rsid w:val="00BC18B1"/>
    <w:rsid w:val="00BC19E1"/>
    <w:rsid w:val="00BC1F96"/>
    <w:rsid w:val="00BC1FFA"/>
    <w:rsid w:val="00BC28DC"/>
    <w:rsid w:val="00BC2CAA"/>
    <w:rsid w:val="00BC2FFB"/>
    <w:rsid w:val="00BC32AC"/>
    <w:rsid w:val="00BC34B7"/>
    <w:rsid w:val="00BC36C0"/>
    <w:rsid w:val="00BC3EFB"/>
    <w:rsid w:val="00BC3FCD"/>
    <w:rsid w:val="00BC4375"/>
    <w:rsid w:val="00BC44ED"/>
    <w:rsid w:val="00BC4533"/>
    <w:rsid w:val="00BC4869"/>
    <w:rsid w:val="00BC494B"/>
    <w:rsid w:val="00BC4A37"/>
    <w:rsid w:val="00BC4B19"/>
    <w:rsid w:val="00BC4B94"/>
    <w:rsid w:val="00BC4BE9"/>
    <w:rsid w:val="00BC526D"/>
    <w:rsid w:val="00BC539F"/>
    <w:rsid w:val="00BC58C1"/>
    <w:rsid w:val="00BC5CDE"/>
    <w:rsid w:val="00BC5ED6"/>
    <w:rsid w:val="00BC6019"/>
    <w:rsid w:val="00BC613C"/>
    <w:rsid w:val="00BC6253"/>
    <w:rsid w:val="00BC680D"/>
    <w:rsid w:val="00BC6BAF"/>
    <w:rsid w:val="00BC6CDC"/>
    <w:rsid w:val="00BC7003"/>
    <w:rsid w:val="00BC7048"/>
    <w:rsid w:val="00BC7242"/>
    <w:rsid w:val="00BC727D"/>
    <w:rsid w:val="00BC7299"/>
    <w:rsid w:val="00BC74BE"/>
    <w:rsid w:val="00BC75A4"/>
    <w:rsid w:val="00BC7776"/>
    <w:rsid w:val="00BC7852"/>
    <w:rsid w:val="00BC7AD7"/>
    <w:rsid w:val="00BC7C22"/>
    <w:rsid w:val="00BC7F99"/>
    <w:rsid w:val="00BD020B"/>
    <w:rsid w:val="00BD0330"/>
    <w:rsid w:val="00BD06F6"/>
    <w:rsid w:val="00BD0850"/>
    <w:rsid w:val="00BD0923"/>
    <w:rsid w:val="00BD092F"/>
    <w:rsid w:val="00BD0956"/>
    <w:rsid w:val="00BD0F69"/>
    <w:rsid w:val="00BD1157"/>
    <w:rsid w:val="00BD158E"/>
    <w:rsid w:val="00BD1AA3"/>
    <w:rsid w:val="00BD1D32"/>
    <w:rsid w:val="00BD2187"/>
    <w:rsid w:val="00BD24B6"/>
    <w:rsid w:val="00BD293B"/>
    <w:rsid w:val="00BD2A2B"/>
    <w:rsid w:val="00BD2D5F"/>
    <w:rsid w:val="00BD2DE1"/>
    <w:rsid w:val="00BD3011"/>
    <w:rsid w:val="00BD3154"/>
    <w:rsid w:val="00BD32D0"/>
    <w:rsid w:val="00BD3522"/>
    <w:rsid w:val="00BD37F6"/>
    <w:rsid w:val="00BD39DB"/>
    <w:rsid w:val="00BD3A0E"/>
    <w:rsid w:val="00BD3ADD"/>
    <w:rsid w:val="00BD46F4"/>
    <w:rsid w:val="00BD478E"/>
    <w:rsid w:val="00BD488C"/>
    <w:rsid w:val="00BD4916"/>
    <w:rsid w:val="00BD4F22"/>
    <w:rsid w:val="00BD50DB"/>
    <w:rsid w:val="00BD5283"/>
    <w:rsid w:val="00BD5321"/>
    <w:rsid w:val="00BD536F"/>
    <w:rsid w:val="00BD5413"/>
    <w:rsid w:val="00BD57F5"/>
    <w:rsid w:val="00BD5819"/>
    <w:rsid w:val="00BD5A94"/>
    <w:rsid w:val="00BD5CEA"/>
    <w:rsid w:val="00BD5E72"/>
    <w:rsid w:val="00BD608C"/>
    <w:rsid w:val="00BD6157"/>
    <w:rsid w:val="00BD6166"/>
    <w:rsid w:val="00BD62D6"/>
    <w:rsid w:val="00BD6345"/>
    <w:rsid w:val="00BD6430"/>
    <w:rsid w:val="00BD662E"/>
    <w:rsid w:val="00BD69C3"/>
    <w:rsid w:val="00BD6C31"/>
    <w:rsid w:val="00BD6C8E"/>
    <w:rsid w:val="00BD6CAD"/>
    <w:rsid w:val="00BD6DAF"/>
    <w:rsid w:val="00BD7025"/>
    <w:rsid w:val="00BD7190"/>
    <w:rsid w:val="00BD727F"/>
    <w:rsid w:val="00BD72AD"/>
    <w:rsid w:val="00BD734C"/>
    <w:rsid w:val="00BD73DB"/>
    <w:rsid w:val="00BD75C0"/>
    <w:rsid w:val="00BD7729"/>
    <w:rsid w:val="00BD7799"/>
    <w:rsid w:val="00BD7A44"/>
    <w:rsid w:val="00BD7B9A"/>
    <w:rsid w:val="00BD7E15"/>
    <w:rsid w:val="00BE01FF"/>
    <w:rsid w:val="00BE03B2"/>
    <w:rsid w:val="00BE0513"/>
    <w:rsid w:val="00BE0552"/>
    <w:rsid w:val="00BE0911"/>
    <w:rsid w:val="00BE0997"/>
    <w:rsid w:val="00BE0BB6"/>
    <w:rsid w:val="00BE0D23"/>
    <w:rsid w:val="00BE0DFF"/>
    <w:rsid w:val="00BE0FFE"/>
    <w:rsid w:val="00BE13D3"/>
    <w:rsid w:val="00BE1672"/>
    <w:rsid w:val="00BE1720"/>
    <w:rsid w:val="00BE1784"/>
    <w:rsid w:val="00BE17FF"/>
    <w:rsid w:val="00BE1939"/>
    <w:rsid w:val="00BE1ED9"/>
    <w:rsid w:val="00BE1F1C"/>
    <w:rsid w:val="00BE2155"/>
    <w:rsid w:val="00BE22ED"/>
    <w:rsid w:val="00BE2D40"/>
    <w:rsid w:val="00BE3663"/>
    <w:rsid w:val="00BE3A33"/>
    <w:rsid w:val="00BE434A"/>
    <w:rsid w:val="00BE43DD"/>
    <w:rsid w:val="00BE449D"/>
    <w:rsid w:val="00BE459D"/>
    <w:rsid w:val="00BE48CA"/>
    <w:rsid w:val="00BE49AF"/>
    <w:rsid w:val="00BE4C80"/>
    <w:rsid w:val="00BE4E92"/>
    <w:rsid w:val="00BE50C5"/>
    <w:rsid w:val="00BE5138"/>
    <w:rsid w:val="00BE544A"/>
    <w:rsid w:val="00BE54FF"/>
    <w:rsid w:val="00BE58AF"/>
    <w:rsid w:val="00BE5D1F"/>
    <w:rsid w:val="00BE5E23"/>
    <w:rsid w:val="00BE645D"/>
    <w:rsid w:val="00BE661B"/>
    <w:rsid w:val="00BE6674"/>
    <w:rsid w:val="00BE677A"/>
    <w:rsid w:val="00BE6998"/>
    <w:rsid w:val="00BE6C09"/>
    <w:rsid w:val="00BE7063"/>
    <w:rsid w:val="00BE7155"/>
    <w:rsid w:val="00BE7406"/>
    <w:rsid w:val="00BE7571"/>
    <w:rsid w:val="00BE76A9"/>
    <w:rsid w:val="00BE7E84"/>
    <w:rsid w:val="00BE7F0A"/>
    <w:rsid w:val="00BE7FAB"/>
    <w:rsid w:val="00BF02C7"/>
    <w:rsid w:val="00BF05D8"/>
    <w:rsid w:val="00BF0959"/>
    <w:rsid w:val="00BF0B7E"/>
    <w:rsid w:val="00BF0C28"/>
    <w:rsid w:val="00BF0E4F"/>
    <w:rsid w:val="00BF0EE0"/>
    <w:rsid w:val="00BF0F39"/>
    <w:rsid w:val="00BF0F8A"/>
    <w:rsid w:val="00BF11CB"/>
    <w:rsid w:val="00BF1343"/>
    <w:rsid w:val="00BF16A0"/>
    <w:rsid w:val="00BF18B4"/>
    <w:rsid w:val="00BF19D2"/>
    <w:rsid w:val="00BF1B1E"/>
    <w:rsid w:val="00BF200B"/>
    <w:rsid w:val="00BF2058"/>
    <w:rsid w:val="00BF22FD"/>
    <w:rsid w:val="00BF2386"/>
    <w:rsid w:val="00BF25FE"/>
    <w:rsid w:val="00BF2FC8"/>
    <w:rsid w:val="00BF30C6"/>
    <w:rsid w:val="00BF32A8"/>
    <w:rsid w:val="00BF33CB"/>
    <w:rsid w:val="00BF33EC"/>
    <w:rsid w:val="00BF35C4"/>
    <w:rsid w:val="00BF3730"/>
    <w:rsid w:val="00BF3882"/>
    <w:rsid w:val="00BF3ADA"/>
    <w:rsid w:val="00BF3E9E"/>
    <w:rsid w:val="00BF41EA"/>
    <w:rsid w:val="00BF449A"/>
    <w:rsid w:val="00BF454C"/>
    <w:rsid w:val="00BF45DF"/>
    <w:rsid w:val="00BF4637"/>
    <w:rsid w:val="00BF468C"/>
    <w:rsid w:val="00BF4BB8"/>
    <w:rsid w:val="00BF4BEC"/>
    <w:rsid w:val="00BF4C73"/>
    <w:rsid w:val="00BF4CCB"/>
    <w:rsid w:val="00BF54DF"/>
    <w:rsid w:val="00BF59BE"/>
    <w:rsid w:val="00BF5DD8"/>
    <w:rsid w:val="00BF6021"/>
    <w:rsid w:val="00BF60C4"/>
    <w:rsid w:val="00BF6196"/>
    <w:rsid w:val="00BF66AF"/>
    <w:rsid w:val="00BF6A15"/>
    <w:rsid w:val="00BF6BE0"/>
    <w:rsid w:val="00BF6D38"/>
    <w:rsid w:val="00BF727F"/>
    <w:rsid w:val="00BF7545"/>
    <w:rsid w:val="00BF7962"/>
    <w:rsid w:val="00BF7A94"/>
    <w:rsid w:val="00BF7B60"/>
    <w:rsid w:val="00BF7C1A"/>
    <w:rsid w:val="00BF7D8A"/>
    <w:rsid w:val="00C00772"/>
    <w:rsid w:val="00C007EE"/>
    <w:rsid w:val="00C00830"/>
    <w:rsid w:val="00C00A45"/>
    <w:rsid w:val="00C00E71"/>
    <w:rsid w:val="00C00E85"/>
    <w:rsid w:val="00C01050"/>
    <w:rsid w:val="00C01592"/>
    <w:rsid w:val="00C016C4"/>
    <w:rsid w:val="00C01870"/>
    <w:rsid w:val="00C01A19"/>
    <w:rsid w:val="00C01B21"/>
    <w:rsid w:val="00C01BA7"/>
    <w:rsid w:val="00C01D62"/>
    <w:rsid w:val="00C01D9E"/>
    <w:rsid w:val="00C02012"/>
    <w:rsid w:val="00C026E8"/>
    <w:rsid w:val="00C02709"/>
    <w:rsid w:val="00C029AB"/>
    <w:rsid w:val="00C02A8F"/>
    <w:rsid w:val="00C02DAA"/>
    <w:rsid w:val="00C02EDD"/>
    <w:rsid w:val="00C02FCC"/>
    <w:rsid w:val="00C03076"/>
    <w:rsid w:val="00C03165"/>
    <w:rsid w:val="00C032AB"/>
    <w:rsid w:val="00C03591"/>
    <w:rsid w:val="00C035AA"/>
    <w:rsid w:val="00C038AD"/>
    <w:rsid w:val="00C03CA3"/>
    <w:rsid w:val="00C03F45"/>
    <w:rsid w:val="00C0451D"/>
    <w:rsid w:val="00C04754"/>
    <w:rsid w:val="00C04766"/>
    <w:rsid w:val="00C04A43"/>
    <w:rsid w:val="00C04F59"/>
    <w:rsid w:val="00C05385"/>
    <w:rsid w:val="00C05426"/>
    <w:rsid w:val="00C054AA"/>
    <w:rsid w:val="00C05729"/>
    <w:rsid w:val="00C05751"/>
    <w:rsid w:val="00C05898"/>
    <w:rsid w:val="00C05B26"/>
    <w:rsid w:val="00C05FDC"/>
    <w:rsid w:val="00C05FF8"/>
    <w:rsid w:val="00C0661E"/>
    <w:rsid w:val="00C068A6"/>
    <w:rsid w:val="00C06952"/>
    <w:rsid w:val="00C06A10"/>
    <w:rsid w:val="00C06A8D"/>
    <w:rsid w:val="00C06CC5"/>
    <w:rsid w:val="00C07CDE"/>
    <w:rsid w:val="00C07FFD"/>
    <w:rsid w:val="00C1003E"/>
    <w:rsid w:val="00C10189"/>
    <w:rsid w:val="00C1098A"/>
    <w:rsid w:val="00C109EA"/>
    <w:rsid w:val="00C10E9A"/>
    <w:rsid w:val="00C114CF"/>
    <w:rsid w:val="00C1160F"/>
    <w:rsid w:val="00C119FE"/>
    <w:rsid w:val="00C11DB3"/>
    <w:rsid w:val="00C11FFF"/>
    <w:rsid w:val="00C120B4"/>
    <w:rsid w:val="00C126AE"/>
    <w:rsid w:val="00C12EEC"/>
    <w:rsid w:val="00C13687"/>
    <w:rsid w:val="00C13821"/>
    <w:rsid w:val="00C13EB9"/>
    <w:rsid w:val="00C13EE1"/>
    <w:rsid w:val="00C147AA"/>
    <w:rsid w:val="00C14C87"/>
    <w:rsid w:val="00C14C95"/>
    <w:rsid w:val="00C14E5D"/>
    <w:rsid w:val="00C151DB"/>
    <w:rsid w:val="00C1520C"/>
    <w:rsid w:val="00C1522A"/>
    <w:rsid w:val="00C1573E"/>
    <w:rsid w:val="00C15A35"/>
    <w:rsid w:val="00C15AF0"/>
    <w:rsid w:val="00C15B48"/>
    <w:rsid w:val="00C15F18"/>
    <w:rsid w:val="00C16565"/>
    <w:rsid w:val="00C16833"/>
    <w:rsid w:val="00C1687D"/>
    <w:rsid w:val="00C16941"/>
    <w:rsid w:val="00C16CB9"/>
    <w:rsid w:val="00C1745A"/>
    <w:rsid w:val="00C1761F"/>
    <w:rsid w:val="00C17760"/>
    <w:rsid w:val="00C179FC"/>
    <w:rsid w:val="00C17AB9"/>
    <w:rsid w:val="00C17AC6"/>
    <w:rsid w:val="00C17C8F"/>
    <w:rsid w:val="00C17D47"/>
    <w:rsid w:val="00C17FC8"/>
    <w:rsid w:val="00C20326"/>
    <w:rsid w:val="00C2048D"/>
    <w:rsid w:val="00C204BB"/>
    <w:rsid w:val="00C206CA"/>
    <w:rsid w:val="00C20808"/>
    <w:rsid w:val="00C20A14"/>
    <w:rsid w:val="00C20B6E"/>
    <w:rsid w:val="00C20D2C"/>
    <w:rsid w:val="00C20E3D"/>
    <w:rsid w:val="00C212CD"/>
    <w:rsid w:val="00C216B4"/>
    <w:rsid w:val="00C2190B"/>
    <w:rsid w:val="00C21BEC"/>
    <w:rsid w:val="00C21C6D"/>
    <w:rsid w:val="00C221A7"/>
    <w:rsid w:val="00C221BE"/>
    <w:rsid w:val="00C2229A"/>
    <w:rsid w:val="00C223C6"/>
    <w:rsid w:val="00C223F8"/>
    <w:rsid w:val="00C22489"/>
    <w:rsid w:val="00C2262B"/>
    <w:rsid w:val="00C2289A"/>
    <w:rsid w:val="00C228D6"/>
    <w:rsid w:val="00C22C84"/>
    <w:rsid w:val="00C22D71"/>
    <w:rsid w:val="00C22ED7"/>
    <w:rsid w:val="00C233DE"/>
    <w:rsid w:val="00C233E0"/>
    <w:rsid w:val="00C23508"/>
    <w:rsid w:val="00C23537"/>
    <w:rsid w:val="00C2382E"/>
    <w:rsid w:val="00C2391C"/>
    <w:rsid w:val="00C23DDB"/>
    <w:rsid w:val="00C24051"/>
    <w:rsid w:val="00C2451F"/>
    <w:rsid w:val="00C24903"/>
    <w:rsid w:val="00C2503F"/>
    <w:rsid w:val="00C253AE"/>
    <w:rsid w:val="00C2550C"/>
    <w:rsid w:val="00C2575E"/>
    <w:rsid w:val="00C25911"/>
    <w:rsid w:val="00C25E09"/>
    <w:rsid w:val="00C25EEC"/>
    <w:rsid w:val="00C25F03"/>
    <w:rsid w:val="00C25FDA"/>
    <w:rsid w:val="00C26018"/>
    <w:rsid w:val="00C2685F"/>
    <w:rsid w:val="00C268F7"/>
    <w:rsid w:val="00C26AAB"/>
    <w:rsid w:val="00C26AC5"/>
    <w:rsid w:val="00C26BDA"/>
    <w:rsid w:val="00C26DDA"/>
    <w:rsid w:val="00C26FAF"/>
    <w:rsid w:val="00C2733F"/>
    <w:rsid w:val="00C274B0"/>
    <w:rsid w:val="00C276DA"/>
    <w:rsid w:val="00C27717"/>
    <w:rsid w:val="00C27A4D"/>
    <w:rsid w:val="00C27D0F"/>
    <w:rsid w:val="00C27DB8"/>
    <w:rsid w:val="00C27E9E"/>
    <w:rsid w:val="00C27ECC"/>
    <w:rsid w:val="00C27F44"/>
    <w:rsid w:val="00C3023A"/>
    <w:rsid w:val="00C309EC"/>
    <w:rsid w:val="00C30DB3"/>
    <w:rsid w:val="00C30DF4"/>
    <w:rsid w:val="00C30F62"/>
    <w:rsid w:val="00C3113B"/>
    <w:rsid w:val="00C31172"/>
    <w:rsid w:val="00C311C8"/>
    <w:rsid w:val="00C3131D"/>
    <w:rsid w:val="00C31661"/>
    <w:rsid w:val="00C316C4"/>
    <w:rsid w:val="00C31745"/>
    <w:rsid w:val="00C317F0"/>
    <w:rsid w:val="00C319D2"/>
    <w:rsid w:val="00C31AE2"/>
    <w:rsid w:val="00C31BF2"/>
    <w:rsid w:val="00C31DA8"/>
    <w:rsid w:val="00C31E13"/>
    <w:rsid w:val="00C31EFF"/>
    <w:rsid w:val="00C3224E"/>
    <w:rsid w:val="00C32463"/>
    <w:rsid w:val="00C3273E"/>
    <w:rsid w:val="00C32898"/>
    <w:rsid w:val="00C32957"/>
    <w:rsid w:val="00C32E01"/>
    <w:rsid w:val="00C3365E"/>
    <w:rsid w:val="00C33871"/>
    <w:rsid w:val="00C33878"/>
    <w:rsid w:val="00C33B52"/>
    <w:rsid w:val="00C33B59"/>
    <w:rsid w:val="00C33B7B"/>
    <w:rsid w:val="00C33BB2"/>
    <w:rsid w:val="00C33BCF"/>
    <w:rsid w:val="00C33D5D"/>
    <w:rsid w:val="00C33EDF"/>
    <w:rsid w:val="00C34136"/>
    <w:rsid w:val="00C3414B"/>
    <w:rsid w:val="00C3433B"/>
    <w:rsid w:val="00C3452D"/>
    <w:rsid w:val="00C34596"/>
    <w:rsid w:val="00C3470D"/>
    <w:rsid w:val="00C34AB4"/>
    <w:rsid w:val="00C34B08"/>
    <w:rsid w:val="00C34C3C"/>
    <w:rsid w:val="00C35144"/>
    <w:rsid w:val="00C3518C"/>
    <w:rsid w:val="00C353C1"/>
    <w:rsid w:val="00C35447"/>
    <w:rsid w:val="00C35699"/>
    <w:rsid w:val="00C3576E"/>
    <w:rsid w:val="00C35966"/>
    <w:rsid w:val="00C35D33"/>
    <w:rsid w:val="00C360E5"/>
    <w:rsid w:val="00C36617"/>
    <w:rsid w:val="00C366AC"/>
    <w:rsid w:val="00C366E9"/>
    <w:rsid w:val="00C367B0"/>
    <w:rsid w:val="00C36906"/>
    <w:rsid w:val="00C36963"/>
    <w:rsid w:val="00C370C6"/>
    <w:rsid w:val="00C372E5"/>
    <w:rsid w:val="00C374ED"/>
    <w:rsid w:val="00C37B97"/>
    <w:rsid w:val="00C40156"/>
    <w:rsid w:val="00C4029F"/>
    <w:rsid w:val="00C404F9"/>
    <w:rsid w:val="00C405A0"/>
    <w:rsid w:val="00C4086E"/>
    <w:rsid w:val="00C40A2C"/>
    <w:rsid w:val="00C40CF9"/>
    <w:rsid w:val="00C40DB1"/>
    <w:rsid w:val="00C41075"/>
    <w:rsid w:val="00C41141"/>
    <w:rsid w:val="00C4128E"/>
    <w:rsid w:val="00C418C1"/>
    <w:rsid w:val="00C41AA4"/>
    <w:rsid w:val="00C41DBF"/>
    <w:rsid w:val="00C4256E"/>
    <w:rsid w:val="00C42595"/>
    <w:rsid w:val="00C42649"/>
    <w:rsid w:val="00C427EF"/>
    <w:rsid w:val="00C429F5"/>
    <w:rsid w:val="00C42A74"/>
    <w:rsid w:val="00C42B33"/>
    <w:rsid w:val="00C430FD"/>
    <w:rsid w:val="00C4328D"/>
    <w:rsid w:val="00C436E7"/>
    <w:rsid w:val="00C43BD3"/>
    <w:rsid w:val="00C43DEE"/>
    <w:rsid w:val="00C44077"/>
    <w:rsid w:val="00C443AF"/>
    <w:rsid w:val="00C445ED"/>
    <w:rsid w:val="00C446DF"/>
    <w:rsid w:val="00C44994"/>
    <w:rsid w:val="00C44C07"/>
    <w:rsid w:val="00C450CE"/>
    <w:rsid w:val="00C450EC"/>
    <w:rsid w:val="00C45123"/>
    <w:rsid w:val="00C45288"/>
    <w:rsid w:val="00C453EA"/>
    <w:rsid w:val="00C456EE"/>
    <w:rsid w:val="00C45822"/>
    <w:rsid w:val="00C46607"/>
    <w:rsid w:val="00C4675C"/>
    <w:rsid w:val="00C46839"/>
    <w:rsid w:val="00C47034"/>
    <w:rsid w:val="00C471D9"/>
    <w:rsid w:val="00C47693"/>
    <w:rsid w:val="00C476BE"/>
    <w:rsid w:val="00C47724"/>
    <w:rsid w:val="00C477C8"/>
    <w:rsid w:val="00C479CA"/>
    <w:rsid w:val="00C502AA"/>
    <w:rsid w:val="00C5047C"/>
    <w:rsid w:val="00C505A3"/>
    <w:rsid w:val="00C50A4E"/>
    <w:rsid w:val="00C50AE3"/>
    <w:rsid w:val="00C50D09"/>
    <w:rsid w:val="00C51250"/>
    <w:rsid w:val="00C51846"/>
    <w:rsid w:val="00C5184D"/>
    <w:rsid w:val="00C51B4A"/>
    <w:rsid w:val="00C5203D"/>
    <w:rsid w:val="00C52110"/>
    <w:rsid w:val="00C523E8"/>
    <w:rsid w:val="00C52860"/>
    <w:rsid w:val="00C52C52"/>
    <w:rsid w:val="00C52F57"/>
    <w:rsid w:val="00C53038"/>
    <w:rsid w:val="00C53489"/>
    <w:rsid w:val="00C537C8"/>
    <w:rsid w:val="00C53879"/>
    <w:rsid w:val="00C5393A"/>
    <w:rsid w:val="00C53F38"/>
    <w:rsid w:val="00C53FAD"/>
    <w:rsid w:val="00C5456A"/>
    <w:rsid w:val="00C54708"/>
    <w:rsid w:val="00C54784"/>
    <w:rsid w:val="00C54881"/>
    <w:rsid w:val="00C54C1D"/>
    <w:rsid w:val="00C55069"/>
    <w:rsid w:val="00C552E4"/>
    <w:rsid w:val="00C55871"/>
    <w:rsid w:val="00C5595A"/>
    <w:rsid w:val="00C55B55"/>
    <w:rsid w:val="00C55E13"/>
    <w:rsid w:val="00C55EE9"/>
    <w:rsid w:val="00C55F06"/>
    <w:rsid w:val="00C561B0"/>
    <w:rsid w:val="00C562A4"/>
    <w:rsid w:val="00C565F3"/>
    <w:rsid w:val="00C56E9D"/>
    <w:rsid w:val="00C56EF3"/>
    <w:rsid w:val="00C57279"/>
    <w:rsid w:val="00C57409"/>
    <w:rsid w:val="00C57644"/>
    <w:rsid w:val="00C57955"/>
    <w:rsid w:val="00C57C12"/>
    <w:rsid w:val="00C57E11"/>
    <w:rsid w:val="00C6011D"/>
    <w:rsid w:val="00C60550"/>
    <w:rsid w:val="00C60744"/>
    <w:rsid w:val="00C608B9"/>
    <w:rsid w:val="00C60B5F"/>
    <w:rsid w:val="00C60F24"/>
    <w:rsid w:val="00C61082"/>
    <w:rsid w:val="00C61164"/>
    <w:rsid w:val="00C613F4"/>
    <w:rsid w:val="00C614EB"/>
    <w:rsid w:val="00C61618"/>
    <w:rsid w:val="00C61B14"/>
    <w:rsid w:val="00C61BA0"/>
    <w:rsid w:val="00C61C0A"/>
    <w:rsid w:val="00C61E8E"/>
    <w:rsid w:val="00C61F07"/>
    <w:rsid w:val="00C61FD1"/>
    <w:rsid w:val="00C621DA"/>
    <w:rsid w:val="00C62732"/>
    <w:rsid w:val="00C62B0B"/>
    <w:rsid w:val="00C62C84"/>
    <w:rsid w:val="00C62CE4"/>
    <w:rsid w:val="00C630A1"/>
    <w:rsid w:val="00C63460"/>
    <w:rsid w:val="00C6373B"/>
    <w:rsid w:val="00C63755"/>
    <w:rsid w:val="00C63935"/>
    <w:rsid w:val="00C63A23"/>
    <w:rsid w:val="00C63AC2"/>
    <w:rsid w:val="00C63AE9"/>
    <w:rsid w:val="00C63FC9"/>
    <w:rsid w:val="00C64444"/>
    <w:rsid w:val="00C644A5"/>
    <w:rsid w:val="00C6480F"/>
    <w:rsid w:val="00C648D6"/>
    <w:rsid w:val="00C64959"/>
    <w:rsid w:val="00C64A0A"/>
    <w:rsid w:val="00C64AD7"/>
    <w:rsid w:val="00C64B1F"/>
    <w:rsid w:val="00C65322"/>
    <w:rsid w:val="00C6570F"/>
    <w:rsid w:val="00C65C04"/>
    <w:rsid w:val="00C65D6D"/>
    <w:rsid w:val="00C65D91"/>
    <w:rsid w:val="00C65F4D"/>
    <w:rsid w:val="00C66054"/>
    <w:rsid w:val="00C66073"/>
    <w:rsid w:val="00C6608B"/>
    <w:rsid w:val="00C6678A"/>
    <w:rsid w:val="00C66A5F"/>
    <w:rsid w:val="00C66C50"/>
    <w:rsid w:val="00C66DCE"/>
    <w:rsid w:val="00C66E12"/>
    <w:rsid w:val="00C66E18"/>
    <w:rsid w:val="00C66EAC"/>
    <w:rsid w:val="00C66FAE"/>
    <w:rsid w:val="00C671BA"/>
    <w:rsid w:val="00C6756A"/>
    <w:rsid w:val="00C675D6"/>
    <w:rsid w:val="00C67BDC"/>
    <w:rsid w:val="00C67CEE"/>
    <w:rsid w:val="00C702DF"/>
    <w:rsid w:val="00C7062C"/>
    <w:rsid w:val="00C70815"/>
    <w:rsid w:val="00C70886"/>
    <w:rsid w:val="00C70979"/>
    <w:rsid w:val="00C70E13"/>
    <w:rsid w:val="00C713D8"/>
    <w:rsid w:val="00C713F7"/>
    <w:rsid w:val="00C7178B"/>
    <w:rsid w:val="00C71A28"/>
    <w:rsid w:val="00C71B0A"/>
    <w:rsid w:val="00C71BA5"/>
    <w:rsid w:val="00C71C99"/>
    <w:rsid w:val="00C71F60"/>
    <w:rsid w:val="00C71F71"/>
    <w:rsid w:val="00C72176"/>
    <w:rsid w:val="00C7223B"/>
    <w:rsid w:val="00C7259A"/>
    <w:rsid w:val="00C7265E"/>
    <w:rsid w:val="00C72A20"/>
    <w:rsid w:val="00C72AF0"/>
    <w:rsid w:val="00C72B3B"/>
    <w:rsid w:val="00C72C43"/>
    <w:rsid w:val="00C72D3E"/>
    <w:rsid w:val="00C7303F"/>
    <w:rsid w:val="00C7351D"/>
    <w:rsid w:val="00C73694"/>
    <w:rsid w:val="00C73A84"/>
    <w:rsid w:val="00C73B02"/>
    <w:rsid w:val="00C73D0E"/>
    <w:rsid w:val="00C742D5"/>
    <w:rsid w:val="00C744D8"/>
    <w:rsid w:val="00C74566"/>
    <w:rsid w:val="00C74620"/>
    <w:rsid w:val="00C749F9"/>
    <w:rsid w:val="00C74DB0"/>
    <w:rsid w:val="00C74EEA"/>
    <w:rsid w:val="00C74F42"/>
    <w:rsid w:val="00C75428"/>
    <w:rsid w:val="00C756E6"/>
    <w:rsid w:val="00C76227"/>
    <w:rsid w:val="00C76296"/>
    <w:rsid w:val="00C7669F"/>
    <w:rsid w:val="00C76A34"/>
    <w:rsid w:val="00C77235"/>
    <w:rsid w:val="00C7743E"/>
    <w:rsid w:val="00C7758C"/>
    <w:rsid w:val="00C776F6"/>
    <w:rsid w:val="00C77B1A"/>
    <w:rsid w:val="00C77CB6"/>
    <w:rsid w:val="00C800D8"/>
    <w:rsid w:val="00C8014D"/>
    <w:rsid w:val="00C801A9"/>
    <w:rsid w:val="00C804B2"/>
    <w:rsid w:val="00C8071C"/>
    <w:rsid w:val="00C8081F"/>
    <w:rsid w:val="00C80850"/>
    <w:rsid w:val="00C808C5"/>
    <w:rsid w:val="00C809D0"/>
    <w:rsid w:val="00C80A6B"/>
    <w:rsid w:val="00C80D3C"/>
    <w:rsid w:val="00C80D58"/>
    <w:rsid w:val="00C80DE4"/>
    <w:rsid w:val="00C80F77"/>
    <w:rsid w:val="00C810B5"/>
    <w:rsid w:val="00C810FF"/>
    <w:rsid w:val="00C8113A"/>
    <w:rsid w:val="00C81202"/>
    <w:rsid w:val="00C8121B"/>
    <w:rsid w:val="00C8160C"/>
    <w:rsid w:val="00C8173C"/>
    <w:rsid w:val="00C8187B"/>
    <w:rsid w:val="00C81A06"/>
    <w:rsid w:val="00C81C83"/>
    <w:rsid w:val="00C81DFD"/>
    <w:rsid w:val="00C8204A"/>
    <w:rsid w:val="00C821FC"/>
    <w:rsid w:val="00C8223E"/>
    <w:rsid w:val="00C827DB"/>
    <w:rsid w:val="00C828DD"/>
    <w:rsid w:val="00C82B3F"/>
    <w:rsid w:val="00C83094"/>
    <w:rsid w:val="00C830EA"/>
    <w:rsid w:val="00C831C8"/>
    <w:rsid w:val="00C83237"/>
    <w:rsid w:val="00C832FE"/>
    <w:rsid w:val="00C833FC"/>
    <w:rsid w:val="00C834BF"/>
    <w:rsid w:val="00C83758"/>
    <w:rsid w:val="00C83818"/>
    <w:rsid w:val="00C8388A"/>
    <w:rsid w:val="00C83AF5"/>
    <w:rsid w:val="00C83D2F"/>
    <w:rsid w:val="00C84020"/>
    <w:rsid w:val="00C8414C"/>
    <w:rsid w:val="00C843DB"/>
    <w:rsid w:val="00C84912"/>
    <w:rsid w:val="00C84BA3"/>
    <w:rsid w:val="00C84C1F"/>
    <w:rsid w:val="00C84F47"/>
    <w:rsid w:val="00C85113"/>
    <w:rsid w:val="00C855CD"/>
    <w:rsid w:val="00C855DC"/>
    <w:rsid w:val="00C8580C"/>
    <w:rsid w:val="00C8595F"/>
    <w:rsid w:val="00C859A2"/>
    <w:rsid w:val="00C85CCC"/>
    <w:rsid w:val="00C8605F"/>
    <w:rsid w:val="00C8636D"/>
    <w:rsid w:val="00C86A75"/>
    <w:rsid w:val="00C86C9E"/>
    <w:rsid w:val="00C86D62"/>
    <w:rsid w:val="00C86E03"/>
    <w:rsid w:val="00C86F0E"/>
    <w:rsid w:val="00C87072"/>
    <w:rsid w:val="00C87159"/>
    <w:rsid w:val="00C87680"/>
    <w:rsid w:val="00C87897"/>
    <w:rsid w:val="00C87AFA"/>
    <w:rsid w:val="00C901EB"/>
    <w:rsid w:val="00C902FB"/>
    <w:rsid w:val="00C90316"/>
    <w:rsid w:val="00C9035A"/>
    <w:rsid w:val="00C903C6"/>
    <w:rsid w:val="00C905AB"/>
    <w:rsid w:val="00C90760"/>
    <w:rsid w:val="00C9088B"/>
    <w:rsid w:val="00C90946"/>
    <w:rsid w:val="00C90FD2"/>
    <w:rsid w:val="00C91103"/>
    <w:rsid w:val="00C9140A"/>
    <w:rsid w:val="00C914A8"/>
    <w:rsid w:val="00C9161B"/>
    <w:rsid w:val="00C91687"/>
    <w:rsid w:val="00C91823"/>
    <w:rsid w:val="00C91A2D"/>
    <w:rsid w:val="00C922EB"/>
    <w:rsid w:val="00C92490"/>
    <w:rsid w:val="00C92585"/>
    <w:rsid w:val="00C92645"/>
    <w:rsid w:val="00C92709"/>
    <w:rsid w:val="00C928D4"/>
    <w:rsid w:val="00C929C7"/>
    <w:rsid w:val="00C92FB8"/>
    <w:rsid w:val="00C93923"/>
    <w:rsid w:val="00C93C35"/>
    <w:rsid w:val="00C93DF5"/>
    <w:rsid w:val="00C94001"/>
    <w:rsid w:val="00C9412E"/>
    <w:rsid w:val="00C941CE"/>
    <w:rsid w:val="00C94610"/>
    <w:rsid w:val="00C948BD"/>
    <w:rsid w:val="00C94D40"/>
    <w:rsid w:val="00C94E89"/>
    <w:rsid w:val="00C94EAD"/>
    <w:rsid w:val="00C950B7"/>
    <w:rsid w:val="00C9513E"/>
    <w:rsid w:val="00C95451"/>
    <w:rsid w:val="00C95513"/>
    <w:rsid w:val="00C957C2"/>
    <w:rsid w:val="00C9590A"/>
    <w:rsid w:val="00C95952"/>
    <w:rsid w:val="00C95A9E"/>
    <w:rsid w:val="00C95B23"/>
    <w:rsid w:val="00C9624B"/>
    <w:rsid w:val="00C9656D"/>
    <w:rsid w:val="00C96586"/>
    <w:rsid w:val="00C9670C"/>
    <w:rsid w:val="00C973DA"/>
    <w:rsid w:val="00C97589"/>
    <w:rsid w:val="00C97818"/>
    <w:rsid w:val="00C978AD"/>
    <w:rsid w:val="00C979EE"/>
    <w:rsid w:val="00C97C42"/>
    <w:rsid w:val="00C97C9A"/>
    <w:rsid w:val="00CA047E"/>
    <w:rsid w:val="00CA067D"/>
    <w:rsid w:val="00CA0700"/>
    <w:rsid w:val="00CA07FB"/>
    <w:rsid w:val="00CA08D4"/>
    <w:rsid w:val="00CA09BF"/>
    <w:rsid w:val="00CA0BDA"/>
    <w:rsid w:val="00CA0CFD"/>
    <w:rsid w:val="00CA0D00"/>
    <w:rsid w:val="00CA0D4A"/>
    <w:rsid w:val="00CA0DBC"/>
    <w:rsid w:val="00CA1230"/>
    <w:rsid w:val="00CA13BC"/>
    <w:rsid w:val="00CA1506"/>
    <w:rsid w:val="00CA1580"/>
    <w:rsid w:val="00CA17DE"/>
    <w:rsid w:val="00CA1904"/>
    <w:rsid w:val="00CA1CCA"/>
    <w:rsid w:val="00CA1E37"/>
    <w:rsid w:val="00CA2026"/>
    <w:rsid w:val="00CA2120"/>
    <w:rsid w:val="00CA266D"/>
    <w:rsid w:val="00CA27CB"/>
    <w:rsid w:val="00CA2967"/>
    <w:rsid w:val="00CA2A2B"/>
    <w:rsid w:val="00CA2B71"/>
    <w:rsid w:val="00CA2B7B"/>
    <w:rsid w:val="00CA2F23"/>
    <w:rsid w:val="00CA328D"/>
    <w:rsid w:val="00CA45D6"/>
    <w:rsid w:val="00CA4768"/>
    <w:rsid w:val="00CA4E4B"/>
    <w:rsid w:val="00CA5884"/>
    <w:rsid w:val="00CA58BA"/>
    <w:rsid w:val="00CA5940"/>
    <w:rsid w:val="00CA5A82"/>
    <w:rsid w:val="00CA5A8E"/>
    <w:rsid w:val="00CA5AAD"/>
    <w:rsid w:val="00CA5AD9"/>
    <w:rsid w:val="00CA5E7F"/>
    <w:rsid w:val="00CA5F99"/>
    <w:rsid w:val="00CA6225"/>
    <w:rsid w:val="00CA6231"/>
    <w:rsid w:val="00CA6428"/>
    <w:rsid w:val="00CA689F"/>
    <w:rsid w:val="00CA6931"/>
    <w:rsid w:val="00CA6B83"/>
    <w:rsid w:val="00CA6E7B"/>
    <w:rsid w:val="00CA7105"/>
    <w:rsid w:val="00CA7236"/>
    <w:rsid w:val="00CA73BF"/>
    <w:rsid w:val="00CA7CEB"/>
    <w:rsid w:val="00CA7D9A"/>
    <w:rsid w:val="00CA7F64"/>
    <w:rsid w:val="00CB01E2"/>
    <w:rsid w:val="00CB0369"/>
    <w:rsid w:val="00CB051E"/>
    <w:rsid w:val="00CB0E16"/>
    <w:rsid w:val="00CB0FF5"/>
    <w:rsid w:val="00CB1060"/>
    <w:rsid w:val="00CB1063"/>
    <w:rsid w:val="00CB1509"/>
    <w:rsid w:val="00CB18BF"/>
    <w:rsid w:val="00CB19F1"/>
    <w:rsid w:val="00CB21DF"/>
    <w:rsid w:val="00CB28FE"/>
    <w:rsid w:val="00CB2AFC"/>
    <w:rsid w:val="00CB33E2"/>
    <w:rsid w:val="00CB34DC"/>
    <w:rsid w:val="00CB3501"/>
    <w:rsid w:val="00CB3815"/>
    <w:rsid w:val="00CB387B"/>
    <w:rsid w:val="00CB396F"/>
    <w:rsid w:val="00CB3CB1"/>
    <w:rsid w:val="00CB3D1C"/>
    <w:rsid w:val="00CB3DF9"/>
    <w:rsid w:val="00CB40B2"/>
    <w:rsid w:val="00CB4183"/>
    <w:rsid w:val="00CB4205"/>
    <w:rsid w:val="00CB42B2"/>
    <w:rsid w:val="00CB4681"/>
    <w:rsid w:val="00CB4AB3"/>
    <w:rsid w:val="00CB4B9E"/>
    <w:rsid w:val="00CB4E34"/>
    <w:rsid w:val="00CB4F30"/>
    <w:rsid w:val="00CB53D1"/>
    <w:rsid w:val="00CB5789"/>
    <w:rsid w:val="00CB5862"/>
    <w:rsid w:val="00CB58D0"/>
    <w:rsid w:val="00CB59DC"/>
    <w:rsid w:val="00CB5CC0"/>
    <w:rsid w:val="00CB5D0F"/>
    <w:rsid w:val="00CB5D33"/>
    <w:rsid w:val="00CB5F40"/>
    <w:rsid w:val="00CB5FE3"/>
    <w:rsid w:val="00CB63FF"/>
    <w:rsid w:val="00CB6426"/>
    <w:rsid w:val="00CB668B"/>
    <w:rsid w:val="00CB697A"/>
    <w:rsid w:val="00CB69FB"/>
    <w:rsid w:val="00CB6A5B"/>
    <w:rsid w:val="00CB6D13"/>
    <w:rsid w:val="00CB7075"/>
    <w:rsid w:val="00CB73A6"/>
    <w:rsid w:val="00CB74E3"/>
    <w:rsid w:val="00CB7562"/>
    <w:rsid w:val="00CB7569"/>
    <w:rsid w:val="00CB78B7"/>
    <w:rsid w:val="00CB7F5A"/>
    <w:rsid w:val="00CB7FD5"/>
    <w:rsid w:val="00CC0393"/>
    <w:rsid w:val="00CC0712"/>
    <w:rsid w:val="00CC1090"/>
    <w:rsid w:val="00CC14E2"/>
    <w:rsid w:val="00CC16B9"/>
    <w:rsid w:val="00CC1727"/>
    <w:rsid w:val="00CC199B"/>
    <w:rsid w:val="00CC1A4E"/>
    <w:rsid w:val="00CC1EBA"/>
    <w:rsid w:val="00CC2005"/>
    <w:rsid w:val="00CC23C3"/>
    <w:rsid w:val="00CC2EC4"/>
    <w:rsid w:val="00CC3435"/>
    <w:rsid w:val="00CC3838"/>
    <w:rsid w:val="00CC3AAC"/>
    <w:rsid w:val="00CC40D5"/>
    <w:rsid w:val="00CC4356"/>
    <w:rsid w:val="00CC48D4"/>
    <w:rsid w:val="00CC4BF2"/>
    <w:rsid w:val="00CC4FF0"/>
    <w:rsid w:val="00CC50B5"/>
    <w:rsid w:val="00CC51FB"/>
    <w:rsid w:val="00CC5621"/>
    <w:rsid w:val="00CC658D"/>
    <w:rsid w:val="00CC6ADF"/>
    <w:rsid w:val="00CC6F15"/>
    <w:rsid w:val="00CC70E5"/>
    <w:rsid w:val="00CC72DF"/>
    <w:rsid w:val="00CC733E"/>
    <w:rsid w:val="00CC7417"/>
    <w:rsid w:val="00CC75AC"/>
    <w:rsid w:val="00CC7609"/>
    <w:rsid w:val="00CC77B9"/>
    <w:rsid w:val="00CC7FF7"/>
    <w:rsid w:val="00CD0089"/>
    <w:rsid w:val="00CD0461"/>
    <w:rsid w:val="00CD073D"/>
    <w:rsid w:val="00CD077A"/>
    <w:rsid w:val="00CD07C6"/>
    <w:rsid w:val="00CD1007"/>
    <w:rsid w:val="00CD1172"/>
    <w:rsid w:val="00CD1571"/>
    <w:rsid w:val="00CD1666"/>
    <w:rsid w:val="00CD1E98"/>
    <w:rsid w:val="00CD238F"/>
    <w:rsid w:val="00CD2726"/>
    <w:rsid w:val="00CD2BEE"/>
    <w:rsid w:val="00CD2FC2"/>
    <w:rsid w:val="00CD32F3"/>
    <w:rsid w:val="00CD3454"/>
    <w:rsid w:val="00CD34FD"/>
    <w:rsid w:val="00CD3D11"/>
    <w:rsid w:val="00CD3DE2"/>
    <w:rsid w:val="00CD3E3A"/>
    <w:rsid w:val="00CD402C"/>
    <w:rsid w:val="00CD4204"/>
    <w:rsid w:val="00CD47D5"/>
    <w:rsid w:val="00CD47FF"/>
    <w:rsid w:val="00CD4857"/>
    <w:rsid w:val="00CD4A3E"/>
    <w:rsid w:val="00CD4B41"/>
    <w:rsid w:val="00CD4E5D"/>
    <w:rsid w:val="00CD503D"/>
    <w:rsid w:val="00CD545E"/>
    <w:rsid w:val="00CD55DB"/>
    <w:rsid w:val="00CD5721"/>
    <w:rsid w:val="00CD57FC"/>
    <w:rsid w:val="00CD597C"/>
    <w:rsid w:val="00CD5B17"/>
    <w:rsid w:val="00CD5E28"/>
    <w:rsid w:val="00CD6178"/>
    <w:rsid w:val="00CD68E6"/>
    <w:rsid w:val="00CD6C5E"/>
    <w:rsid w:val="00CD7141"/>
    <w:rsid w:val="00CD71EC"/>
    <w:rsid w:val="00CD77DB"/>
    <w:rsid w:val="00CD7C59"/>
    <w:rsid w:val="00CE00B7"/>
    <w:rsid w:val="00CE0151"/>
    <w:rsid w:val="00CE0490"/>
    <w:rsid w:val="00CE055B"/>
    <w:rsid w:val="00CE0602"/>
    <w:rsid w:val="00CE061C"/>
    <w:rsid w:val="00CE09AC"/>
    <w:rsid w:val="00CE0AF7"/>
    <w:rsid w:val="00CE0D2C"/>
    <w:rsid w:val="00CE0D45"/>
    <w:rsid w:val="00CE0DAB"/>
    <w:rsid w:val="00CE0DE7"/>
    <w:rsid w:val="00CE1122"/>
    <w:rsid w:val="00CE117A"/>
    <w:rsid w:val="00CE1353"/>
    <w:rsid w:val="00CE1530"/>
    <w:rsid w:val="00CE19AE"/>
    <w:rsid w:val="00CE1BF7"/>
    <w:rsid w:val="00CE1F98"/>
    <w:rsid w:val="00CE2118"/>
    <w:rsid w:val="00CE22E2"/>
    <w:rsid w:val="00CE238C"/>
    <w:rsid w:val="00CE25F8"/>
    <w:rsid w:val="00CE29E2"/>
    <w:rsid w:val="00CE2FCE"/>
    <w:rsid w:val="00CE3194"/>
    <w:rsid w:val="00CE35E9"/>
    <w:rsid w:val="00CE35FF"/>
    <w:rsid w:val="00CE3FEF"/>
    <w:rsid w:val="00CE4094"/>
    <w:rsid w:val="00CE41CA"/>
    <w:rsid w:val="00CE45D2"/>
    <w:rsid w:val="00CE4927"/>
    <w:rsid w:val="00CE4AA9"/>
    <w:rsid w:val="00CE4BC3"/>
    <w:rsid w:val="00CE4E11"/>
    <w:rsid w:val="00CE4EB1"/>
    <w:rsid w:val="00CE506F"/>
    <w:rsid w:val="00CE5747"/>
    <w:rsid w:val="00CE5946"/>
    <w:rsid w:val="00CE5BAC"/>
    <w:rsid w:val="00CE5CF3"/>
    <w:rsid w:val="00CE5DFD"/>
    <w:rsid w:val="00CE62A4"/>
    <w:rsid w:val="00CE65C0"/>
    <w:rsid w:val="00CE6716"/>
    <w:rsid w:val="00CE6CCD"/>
    <w:rsid w:val="00CE6D7E"/>
    <w:rsid w:val="00CE71BD"/>
    <w:rsid w:val="00CE721D"/>
    <w:rsid w:val="00CE72B6"/>
    <w:rsid w:val="00CE72D4"/>
    <w:rsid w:val="00CE7BAA"/>
    <w:rsid w:val="00CE7E90"/>
    <w:rsid w:val="00CE7EFD"/>
    <w:rsid w:val="00CF0343"/>
    <w:rsid w:val="00CF0463"/>
    <w:rsid w:val="00CF0503"/>
    <w:rsid w:val="00CF05FD"/>
    <w:rsid w:val="00CF07BA"/>
    <w:rsid w:val="00CF0842"/>
    <w:rsid w:val="00CF09FB"/>
    <w:rsid w:val="00CF0D2F"/>
    <w:rsid w:val="00CF15E6"/>
    <w:rsid w:val="00CF1FDD"/>
    <w:rsid w:val="00CF2009"/>
    <w:rsid w:val="00CF204A"/>
    <w:rsid w:val="00CF280C"/>
    <w:rsid w:val="00CF2B70"/>
    <w:rsid w:val="00CF2D1E"/>
    <w:rsid w:val="00CF2DB3"/>
    <w:rsid w:val="00CF2FCC"/>
    <w:rsid w:val="00CF302D"/>
    <w:rsid w:val="00CF319B"/>
    <w:rsid w:val="00CF331E"/>
    <w:rsid w:val="00CF33EC"/>
    <w:rsid w:val="00CF398A"/>
    <w:rsid w:val="00CF3DAA"/>
    <w:rsid w:val="00CF3DB3"/>
    <w:rsid w:val="00CF45AB"/>
    <w:rsid w:val="00CF477E"/>
    <w:rsid w:val="00CF48EF"/>
    <w:rsid w:val="00CF5807"/>
    <w:rsid w:val="00CF5D57"/>
    <w:rsid w:val="00CF619C"/>
    <w:rsid w:val="00CF67DC"/>
    <w:rsid w:val="00CF6CF1"/>
    <w:rsid w:val="00CF7300"/>
    <w:rsid w:val="00CF76E9"/>
    <w:rsid w:val="00CF79BA"/>
    <w:rsid w:val="00CF7A8B"/>
    <w:rsid w:val="00CF7CC3"/>
    <w:rsid w:val="00CF7D86"/>
    <w:rsid w:val="00CF7DAD"/>
    <w:rsid w:val="00D002CB"/>
    <w:rsid w:val="00D00385"/>
    <w:rsid w:val="00D006E2"/>
    <w:rsid w:val="00D007CA"/>
    <w:rsid w:val="00D00B67"/>
    <w:rsid w:val="00D00EE1"/>
    <w:rsid w:val="00D00EE2"/>
    <w:rsid w:val="00D0105E"/>
    <w:rsid w:val="00D01154"/>
    <w:rsid w:val="00D01362"/>
    <w:rsid w:val="00D01703"/>
    <w:rsid w:val="00D01744"/>
    <w:rsid w:val="00D0175B"/>
    <w:rsid w:val="00D01B27"/>
    <w:rsid w:val="00D01B3C"/>
    <w:rsid w:val="00D01DEF"/>
    <w:rsid w:val="00D02051"/>
    <w:rsid w:val="00D02469"/>
    <w:rsid w:val="00D02495"/>
    <w:rsid w:val="00D02613"/>
    <w:rsid w:val="00D0261B"/>
    <w:rsid w:val="00D02819"/>
    <w:rsid w:val="00D02A62"/>
    <w:rsid w:val="00D02F33"/>
    <w:rsid w:val="00D03242"/>
    <w:rsid w:val="00D03576"/>
    <w:rsid w:val="00D037B8"/>
    <w:rsid w:val="00D03A3C"/>
    <w:rsid w:val="00D03BC8"/>
    <w:rsid w:val="00D03F37"/>
    <w:rsid w:val="00D04C25"/>
    <w:rsid w:val="00D04C2B"/>
    <w:rsid w:val="00D04CEF"/>
    <w:rsid w:val="00D04D26"/>
    <w:rsid w:val="00D04DFD"/>
    <w:rsid w:val="00D04EC5"/>
    <w:rsid w:val="00D04FBD"/>
    <w:rsid w:val="00D052B7"/>
    <w:rsid w:val="00D05799"/>
    <w:rsid w:val="00D059CA"/>
    <w:rsid w:val="00D05AE6"/>
    <w:rsid w:val="00D05B71"/>
    <w:rsid w:val="00D05DBE"/>
    <w:rsid w:val="00D06216"/>
    <w:rsid w:val="00D0625F"/>
    <w:rsid w:val="00D06853"/>
    <w:rsid w:val="00D06DCC"/>
    <w:rsid w:val="00D070E2"/>
    <w:rsid w:val="00D075EB"/>
    <w:rsid w:val="00D076BD"/>
    <w:rsid w:val="00D077DE"/>
    <w:rsid w:val="00D07965"/>
    <w:rsid w:val="00D07F29"/>
    <w:rsid w:val="00D07FB9"/>
    <w:rsid w:val="00D1010A"/>
    <w:rsid w:val="00D10CA5"/>
    <w:rsid w:val="00D10CC6"/>
    <w:rsid w:val="00D10CF3"/>
    <w:rsid w:val="00D11094"/>
    <w:rsid w:val="00D1154E"/>
    <w:rsid w:val="00D116FB"/>
    <w:rsid w:val="00D1175E"/>
    <w:rsid w:val="00D119C0"/>
    <w:rsid w:val="00D11A10"/>
    <w:rsid w:val="00D11E7B"/>
    <w:rsid w:val="00D127CA"/>
    <w:rsid w:val="00D128C7"/>
    <w:rsid w:val="00D12939"/>
    <w:rsid w:val="00D12AB2"/>
    <w:rsid w:val="00D12C20"/>
    <w:rsid w:val="00D1333B"/>
    <w:rsid w:val="00D137DA"/>
    <w:rsid w:val="00D13CE2"/>
    <w:rsid w:val="00D140A3"/>
    <w:rsid w:val="00D14250"/>
    <w:rsid w:val="00D14373"/>
    <w:rsid w:val="00D145F6"/>
    <w:rsid w:val="00D14758"/>
    <w:rsid w:val="00D14880"/>
    <w:rsid w:val="00D14A96"/>
    <w:rsid w:val="00D14B4F"/>
    <w:rsid w:val="00D15724"/>
    <w:rsid w:val="00D15971"/>
    <w:rsid w:val="00D159CC"/>
    <w:rsid w:val="00D15A17"/>
    <w:rsid w:val="00D15D5D"/>
    <w:rsid w:val="00D16250"/>
    <w:rsid w:val="00D16398"/>
    <w:rsid w:val="00D164E7"/>
    <w:rsid w:val="00D16526"/>
    <w:rsid w:val="00D1694B"/>
    <w:rsid w:val="00D16971"/>
    <w:rsid w:val="00D169EA"/>
    <w:rsid w:val="00D16B61"/>
    <w:rsid w:val="00D170C4"/>
    <w:rsid w:val="00D17118"/>
    <w:rsid w:val="00D17144"/>
    <w:rsid w:val="00D172A5"/>
    <w:rsid w:val="00D172E1"/>
    <w:rsid w:val="00D173DA"/>
    <w:rsid w:val="00D17805"/>
    <w:rsid w:val="00D178BC"/>
    <w:rsid w:val="00D17EC1"/>
    <w:rsid w:val="00D2009B"/>
    <w:rsid w:val="00D20162"/>
    <w:rsid w:val="00D204CE"/>
    <w:rsid w:val="00D20C6E"/>
    <w:rsid w:val="00D210BA"/>
    <w:rsid w:val="00D21406"/>
    <w:rsid w:val="00D21766"/>
    <w:rsid w:val="00D22033"/>
    <w:rsid w:val="00D22E86"/>
    <w:rsid w:val="00D22E88"/>
    <w:rsid w:val="00D230DD"/>
    <w:rsid w:val="00D23260"/>
    <w:rsid w:val="00D23378"/>
    <w:rsid w:val="00D2352D"/>
    <w:rsid w:val="00D23707"/>
    <w:rsid w:val="00D2388E"/>
    <w:rsid w:val="00D238D9"/>
    <w:rsid w:val="00D23A5B"/>
    <w:rsid w:val="00D23E08"/>
    <w:rsid w:val="00D2407A"/>
    <w:rsid w:val="00D24082"/>
    <w:rsid w:val="00D24216"/>
    <w:rsid w:val="00D247C3"/>
    <w:rsid w:val="00D24CBE"/>
    <w:rsid w:val="00D24EC4"/>
    <w:rsid w:val="00D24FE0"/>
    <w:rsid w:val="00D251AF"/>
    <w:rsid w:val="00D25641"/>
    <w:rsid w:val="00D257D7"/>
    <w:rsid w:val="00D25837"/>
    <w:rsid w:val="00D25B08"/>
    <w:rsid w:val="00D25C05"/>
    <w:rsid w:val="00D25DDA"/>
    <w:rsid w:val="00D25E61"/>
    <w:rsid w:val="00D25F57"/>
    <w:rsid w:val="00D260D7"/>
    <w:rsid w:val="00D261BC"/>
    <w:rsid w:val="00D26693"/>
    <w:rsid w:val="00D26844"/>
    <w:rsid w:val="00D26912"/>
    <w:rsid w:val="00D26B1B"/>
    <w:rsid w:val="00D26D1B"/>
    <w:rsid w:val="00D26D4A"/>
    <w:rsid w:val="00D26DF8"/>
    <w:rsid w:val="00D2709B"/>
    <w:rsid w:val="00D270B6"/>
    <w:rsid w:val="00D27999"/>
    <w:rsid w:val="00D27B8E"/>
    <w:rsid w:val="00D27DFB"/>
    <w:rsid w:val="00D30276"/>
    <w:rsid w:val="00D302A9"/>
    <w:rsid w:val="00D30421"/>
    <w:rsid w:val="00D3046F"/>
    <w:rsid w:val="00D307D3"/>
    <w:rsid w:val="00D30AF7"/>
    <w:rsid w:val="00D30BC5"/>
    <w:rsid w:val="00D30DE3"/>
    <w:rsid w:val="00D30F20"/>
    <w:rsid w:val="00D3101D"/>
    <w:rsid w:val="00D312AE"/>
    <w:rsid w:val="00D313B6"/>
    <w:rsid w:val="00D3188A"/>
    <w:rsid w:val="00D318EE"/>
    <w:rsid w:val="00D319A7"/>
    <w:rsid w:val="00D31B49"/>
    <w:rsid w:val="00D32296"/>
    <w:rsid w:val="00D323B1"/>
    <w:rsid w:val="00D32416"/>
    <w:rsid w:val="00D324B4"/>
    <w:rsid w:val="00D32CFC"/>
    <w:rsid w:val="00D332DC"/>
    <w:rsid w:val="00D333FB"/>
    <w:rsid w:val="00D335ED"/>
    <w:rsid w:val="00D33717"/>
    <w:rsid w:val="00D33AB2"/>
    <w:rsid w:val="00D33C11"/>
    <w:rsid w:val="00D33C2C"/>
    <w:rsid w:val="00D33E1A"/>
    <w:rsid w:val="00D34021"/>
    <w:rsid w:val="00D344C4"/>
    <w:rsid w:val="00D34599"/>
    <w:rsid w:val="00D346E7"/>
    <w:rsid w:val="00D34ED3"/>
    <w:rsid w:val="00D350CE"/>
    <w:rsid w:val="00D35BED"/>
    <w:rsid w:val="00D3653A"/>
    <w:rsid w:val="00D36804"/>
    <w:rsid w:val="00D36DC2"/>
    <w:rsid w:val="00D36E05"/>
    <w:rsid w:val="00D36E3A"/>
    <w:rsid w:val="00D36F39"/>
    <w:rsid w:val="00D37252"/>
    <w:rsid w:val="00D37415"/>
    <w:rsid w:val="00D37499"/>
    <w:rsid w:val="00D37574"/>
    <w:rsid w:val="00D37610"/>
    <w:rsid w:val="00D37B17"/>
    <w:rsid w:val="00D405B2"/>
    <w:rsid w:val="00D40F05"/>
    <w:rsid w:val="00D41422"/>
    <w:rsid w:val="00D419CD"/>
    <w:rsid w:val="00D41B09"/>
    <w:rsid w:val="00D42141"/>
    <w:rsid w:val="00D42155"/>
    <w:rsid w:val="00D42B29"/>
    <w:rsid w:val="00D42BAF"/>
    <w:rsid w:val="00D42C72"/>
    <w:rsid w:val="00D430D7"/>
    <w:rsid w:val="00D43434"/>
    <w:rsid w:val="00D434F5"/>
    <w:rsid w:val="00D43575"/>
    <w:rsid w:val="00D4357C"/>
    <w:rsid w:val="00D43631"/>
    <w:rsid w:val="00D43918"/>
    <w:rsid w:val="00D43A0F"/>
    <w:rsid w:val="00D43AA5"/>
    <w:rsid w:val="00D43CEB"/>
    <w:rsid w:val="00D4426F"/>
    <w:rsid w:val="00D442C7"/>
    <w:rsid w:val="00D447A9"/>
    <w:rsid w:val="00D447DF"/>
    <w:rsid w:val="00D44805"/>
    <w:rsid w:val="00D44831"/>
    <w:rsid w:val="00D448F5"/>
    <w:rsid w:val="00D44A00"/>
    <w:rsid w:val="00D44AB1"/>
    <w:rsid w:val="00D44CC6"/>
    <w:rsid w:val="00D452C4"/>
    <w:rsid w:val="00D45553"/>
    <w:rsid w:val="00D4565A"/>
    <w:rsid w:val="00D456AB"/>
    <w:rsid w:val="00D45764"/>
    <w:rsid w:val="00D458DD"/>
    <w:rsid w:val="00D45E0E"/>
    <w:rsid w:val="00D46214"/>
    <w:rsid w:val="00D470D0"/>
    <w:rsid w:val="00D472BD"/>
    <w:rsid w:val="00D473B1"/>
    <w:rsid w:val="00D473F3"/>
    <w:rsid w:val="00D47956"/>
    <w:rsid w:val="00D47A8B"/>
    <w:rsid w:val="00D47E8E"/>
    <w:rsid w:val="00D47F54"/>
    <w:rsid w:val="00D50122"/>
    <w:rsid w:val="00D5019C"/>
    <w:rsid w:val="00D503B6"/>
    <w:rsid w:val="00D503E7"/>
    <w:rsid w:val="00D50554"/>
    <w:rsid w:val="00D50B5B"/>
    <w:rsid w:val="00D50DCA"/>
    <w:rsid w:val="00D511D3"/>
    <w:rsid w:val="00D514CE"/>
    <w:rsid w:val="00D51BEA"/>
    <w:rsid w:val="00D51D9F"/>
    <w:rsid w:val="00D51FD7"/>
    <w:rsid w:val="00D5207D"/>
    <w:rsid w:val="00D5237C"/>
    <w:rsid w:val="00D523E1"/>
    <w:rsid w:val="00D52DE0"/>
    <w:rsid w:val="00D52E15"/>
    <w:rsid w:val="00D52FA9"/>
    <w:rsid w:val="00D530E5"/>
    <w:rsid w:val="00D534D6"/>
    <w:rsid w:val="00D5396E"/>
    <w:rsid w:val="00D53D3F"/>
    <w:rsid w:val="00D53D8F"/>
    <w:rsid w:val="00D53DAA"/>
    <w:rsid w:val="00D543BC"/>
    <w:rsid w:val="00D546F7"/>
    <w:rsid w:val="00D54723"/>
    <w:rsid w:val="00D548A3"/>
    <w:rsid w:val="00D54904"/>
    <w:rsid w:val="00D54F7C"/>
    <w:rsid w:val="00D54F92"/>
    <w:rsid w:val="00D55212"/>
    <w:rsid w:val="00D552F5"/>
    <w:rsid w:val="00D55A89"/>
    <w:rsid w:val="00D55B08"/>
    <w:rsid w:val="00D56607"/>
    <w:rsid w:val="00D56D98"/>
    <w:rsid w:val="00D56F52"/>
    <w:rsid w:val="00D57164"/>
    <w:rsid w:val="00D5730F"/>
    <w:rsid w:val="00D5767E"/>
    <w:rsid w:val="00D5770F"/>
    <w:rsid w:val="00D577FD"/>
    <w:rsid w:val="00D579A4"/>
    <w:rsid w:val="00D57E0F"/>
    <w:rsid w:val="00D6015B"/>
    <w:rsid w:val="00D60862"/>
    <w:rsid w:val="00D60A0F"/>
    <w:rsid w:val="00D60B09"/>
    <w:rsid w:val="00D614ED"/>
    <w:rsid w:val="00D616DF"/>
    <w:rsid w:val="00D61F4A"/>
    <w:rsid w:val="00D6200C"/>
    <w:rsid w:val="00D626EE"/>
    <w:rsid w:val="00D6270F"/>
    <w:rsid w:val="00D6304C"/>
    <w:rsid w:val="00D631CE"/>
    <w:rsid w:val="00D633F7"/>
    <w:rsid w:val="00D63AC9"/>
    <w:rsid w:val="00D6402F"/>
    <w:rsid w:val="00D64246"/>
    <w:rsid w:val="00D647AF"/>
    <w:rsid w:val="00D648E5"/>
    <w:rsid w:val="00D64965"/>
    <w:rsid w:val="00D649C4"/>
    <w:rsid w:val="00D64A0F"/>
    <w:rsid w:val="00D64B78"/>
    <w:rsid w:val="00D64E8D"/>
    <w:rsid w:val="00D6525B"/>
    <w:rsid w:val="00D653AF"/>
    <w:rsid w:val="00D653FE"/>
    <w:rsid w:val="00D654C4"/>
    <w:rsid w:val="00D659D9"/>
    <w:rsid w:val="00D65EBA"/>
    <w:rsid w:val="00D66038"/>
    <w:rsid w:val="00D661D0"/>
    <w:rsid w:val="00D66480"/>
    <w:rsid w:val="00D66B29"/>
    <w:rsid w:val="00D66C25"/>
    <w:rsid w:val="00D66EBC"/>
    <w:rsid w:val="00D6719F"/>
    <w:rsid w:val="00D671BF"/>
    <w:rsid w:val="00D6731E"/>
    <w:rsid w:val="00D674D3"/>
    <w:rsid w:val="00D675E2"/>
    <w:rsid w:val="00D67648"/>
    <w:rsid w:val="00D67BAB"/>
    <w:rsid w:val="00D67F88"/>
    <w:rsid w:val="00D70013"/>
    <w:rsid w:val="00D7036E"/>
    <w:rsid w:val="00D705D7"/>
    <w:rsid w:val="00D70631"/>
    <w:rsid w:val="00D708CA"/>
    <w:rsid w:val="00D70CAB"/>
    <w:rsid w:val="00D712CD"/>
    <w:rsid w:val="00D7134E"/>
    <w:rsid w:val="00D713D0"/>
    <w:rsid w:val="00D7140A"/>
    <w:rsid w:val="00D7155B"/>
    <w:rsid w:val="00D7168B"/>
    <w:rsid w:val="00D71C2A"/>
    <w:rsid w:val="00D71CA8"/>
    <w:rsid w:val="00D71E92"/>
    <w:rsid w:val="00D71EC4"/>
    <w:rsid w:val="00D71EEF"/>
    <w:rsid w:val="00D720C0"/>
    <w:rsid w:val="00D72236"/>
    <w:rsid w:val="00D7227B"/>
    <w:rsid w:val="00D7248F"/>
    <w:rsid w:val="00D725E3"/>
    <w:rsid w:val="00D728C7"/>
    <w:rsid w:val="00D72A8A"/>
    <w:rsid w:val="00D72F33"/>
    <w:rsid w:val="00D73467"/>
    <w:rsid w:val="00D7346C"/>
    <w:rsid w:val="00D73EBC"/>
    <w:rsid w:val="00D74048"/>
    <w:rsid w:val="00D74068"/>
    <w:rsid w:val="00D74086"/>
    <w:rsid w:val="00D741C0"/>
    <w:rsid w:val="00D741C4"/>
    <w:rsid w:val="00D7422E"/>
    <w:rsid w:val="00D7431C"/>
    <w:rsid w:val="00D74AB0"/>
    <w:rsid w:val="00D74AE7"/>
    <w:rsid w:val="00D75DB4"/>
    <w:rsid w:val="00D7660F"/>
    <w:rsid w:val="00D76988"/>
    <w:rsid w:val="00D76F8B"/>
    <w:rsid w:val="00D77095"/>
    <w:rsid w:val="00D772F9"/>
    <w:rsid w:val="00D778DC"/>
    <w:rsid w:val="00D77A23"/>
    <w:rsid w:val="00D77B2B"/>
    <w:rsid w:val="00D77F90"/>
    <w:rsid w:val="00D80010"/>
    <w:rsid w:val="00D8001D"/>
    <w:rsid w:val="00D800AD"/>
    <w:rsid w:val="00D8016B"/>
    <w:rsid w:val="00D80248"/>
    <w:rsid w:val="00D80404"/>
    <w:rsid w:val="00D80963"/>
    <w:rsid w:val="00D80F8E"/>
    <w:rsid w:val="00D80F8F"/>
    <w:rsid w:val="00D81003"/>
    <w:rsid w:val="00D819C2"/>
    <w:rsid w:val="00D81AA1"/>
    <w:rsid w:val="00D81E60"/>
    <w:rsid w:val="00D81EF2"/>
    <w:rsid w:val="00D82000"/>
    <w:rsid w:val="00D826F1"/>
    <w:rsid w:val="00D82751"/>
    <w:rsid w:val="00D82A4E"/>
    <w:rsid w:val="00D82F18"/>
    <w:rsid w:val="00D83186"/>
    <w:rsid w:val="00D832EF"/>
    <w:rsid w:val="00D8364F"/>
    <w:rsid w:val="00D8380E"/>
    <w:rsid w:val="00D83985"/>
    <w:rsid w:val="00D83AC3"/>
    <w:rsid w:val="00D83F43"/>
    <w:rsid w:val="00D84DD5"/>
    <w:rsid w:val="00D84E3D"/>
    <w:rsid w:val="00D85524"/>
    <w:rsid w:val="00D85668"/>
    <w:rsid w:val="00D858B0"/>
    <w:rsid w:val="00D858C5"/>
    <w:rsid w:val="00D8594C"/>
    <w:rsid w:val="00D85D30"/>
    <w:rsid w:val="00D85D4F"/>
    <w:rsid w:val="00D85D95"/>
    <w:rsid w:val="00D85E22"/>
    <w:rsid w:val="00D8609A"/>
    <w:rsid w:val="00D86103"/>
    <w:rsid w:val="00D8622C"/>
    <w:rsid w:val="00D865E3"/>
    <w:rsid w:val="00D86772"/>
    <w:rsid w:val="00D86811"/>
    <w:rsid w:val="00D868B0"/>
    <w:rsid w:val="00D86B50"/>
    <w:rsid w:val="00D87001"/>
    <w:rsid w:val="00D87277"/>
    <w:rsid w:val="00D8735B"/>
    <w:rsid w:val="00D87910"/>
    <w:rsid w:val="00D87943"/>
    <w:rsid w:val="00D87A86"/>
    <w:rsid w:val="00D87B00"/>
    <w:rsid w:val="00D87D7C"/>
    <w:rsid w:val="00D87DB6"/>
    <w:rsid w:val="00D87E09"/>
    <w:rsid w:val="00D87FE6"/>
    <w:rsid w:val="00D900F8"/>
    <w:rsid w:val="00D9012F"/>
    <w:rsid w:val="00D9014A"/>
    <w:rsid w:val="00D901E3"/>
    <w:rsid w:val="00D90AD0"/>
    <w:rsid w:val="00D90BFC"/>
    <w:rsid w:val="00D90C88"/>
    <w:rsid w:val="00D9100C"/>
    <w:rsid w:val="00D9117D"/>
    <w:rsid w:val="00D91426"/>
    <w:rsid w:val="00D9164C"/>
    <w:rsid w:val="00D9193F"/>
    <w:rsid w:val="00D91B51"/>
    <w:rsid w:val="00D92077"/>
    <w:rsid w:val="00D92135"/>
    <w:rsid w:val="00D92491"/>
    <w:rsid w:val="00D92592"/>
    <w:rsid w:val="00D926B5"/>
    <w:rsid w:val="00D92D05"/>
    <w:rsid w:val="00D92D74"/>
    <w:rsid w:val="00D92F53"/>
    <w:rsid w:val="00D932ED"/>
    <w:rsid w:val="00D9351A"/>
    <w:rsid w:val="00D93536"/>
    <w:rsid w:val="00D93579"/>
    <w:rsid w:val="00D93D24"/>
    <w:rsid w:val="00D941DB"/>
    <w:rsid w:val="00D9432D"/>
    <w:rsid w:val="00D94584"/>
    <w:rsid w:val="00D9465B"/>
    <w:rsid w:val="00D9468F"/>
    <w:rsid w:val="00D9484E"/>
    <w:rsid w:val="00D94962"/>
    <w:rsid w:val="00D94B84"/>
    <w:rsid w:val="00D94E42"/>
    <w:rsid w:val="00D94F6C"/>
    <w:rsid w:val="00D94F7D"/>
    <w:rsid w:val="00D94FD3"/>
    <w:rsid w:val="00D95157"/>
    <w:rsid w:val="00D95167"/>
    <w:rsid w:val="00D952E5"/>
    <w:rsid w:val="00D957A3"/>
    <w:rsid w:val="00D95805"/>
    <w:rsid w:val="00D95921"/>
    <w:rsid w:val="00D959AF"/>
    <w:rsid w:val="00D959FA"/>
    <w:rsid w:val="00D95B08"/>
    <w:rsid w:val="00D95BAE"/>
    <w:rsid w:val="00D95C50"/>
    <w:rsid w:val="00D96192"/>
    <w:rsid w:val="00D96195"/>
    <w:rsid w:val="00D96697"/>
    <w:rsid w:val="00D96909"/>
    <w:rsid w:val="00D9695F"/>
    <w:rsid w:val="00D969D6"/>
    <w:rsid w:val="00D96B73"/>
    <w:rsid w:val="00D96E57"/>
    <w:rsid w:val="00D96EE3"/>
    <w:rsid w:val="00D97256"/>
    <w:rsid w:val="00D97823"/>
    <w:rsid w:val="00D97A06"/>
    <w:rsid w:val="00D97B87"/>
    <w:rsid w:val="00D97CCE"/>
    <w:rsid w:val="00D97DA7"/>
    <w:rsid w:val="00DA0079"/>
    <w:rsid w:val="00DA00DE"/>
    <w:rsid w:val="00DA0232"/>
    <w:rsid w:val="00DA0300"/>
    <w:rsid w:val="00DA034F"/>
    <w:rsid w:val="00DA03B4"/>
    <w:rsid w:val="00DA0514"/>
    <w:rsid w:val="00DA05D3"/>
    <w:rsid w:val="00DA0749"/>
    <w:rsid w:val="00DA0765"/>
    <w:rsid w:val="00DA0843"/>
    <w:rsid w:val="00DA0D9D"/>
    <w:rsid w:val="00DA1199"/>
    <w:rsid w:val="00DA126A"/>
    <w:rsid w:val="00DA14BE"/>
    <w:rsid w:val="00DA1664"/>
    <w:rsid w:val="00DA1821"/>
    <w:rsid w:val="00DA1875"/>
    <w:rsid w:val="00DA18C5"/>
    <w:rsid w:val="00DA1EC1"/>
    <w:rsid w:val="00DA1F81"/>
    <w:rsid w:val="00DA28C4"/>
    <w:rsid w:val="00DA2A92"/>
    <w:rsid w:val="00DA2C5B"/>
    <w:rsid w:val="00DA305C"/>
    <w:rsid w:val="00DA310F"/>
    <w:rsid w:val="00DA3187"/>
    <w:rsid w:val="00DA3223"/>
    <w:rsid w:val="00DA3270"/>
    <w:rsid w:val="00DA3520"/>
    <w:rsid w:val="00DA37AB"/>
    <w:rsid w:val="00DA3879"/>
    <w:rsid w:val="00DA393A"/>
    <w:rsid w:val="00DA3943"/>
    <w:rsid w:val="00DA3A7C"/>
    <w:rsid w:val="00DA3A82"/>
    <w:rsid w:val="00DA3CB2"/>
    <w:rsid w:val="00DA3DDA"/>
    <w:rsid w:val="00DA3E26"/>
    <w:rsid w:val="00DA405A"/>
    <w:rsid w:val="00DA409E"/>
    <w:rsid w:val="00DA4203"/>
    <w:rsid w:val="00DA4481"/>
    <w:rsid w:val="00DA4696"/>
    <w:rsid w:val="00DA47DD"/>
    <w:rsid w:val="00DA521A"/>
    <w:rsid w:val="00DA54C8"/>
    <w:rsid w:val="00DA5530"/>
    <w:rsid w:val="00DA556C"/>
    <w:rsid w:val="00DA5C4B"/>
    <w:rsid w:val="00DA5EDF"/>
    <w:rsid w:val="00DA6066"/>
    <w:rsid w:val="00DA66C9"/>
    <w:rsid w:val="00DA66E7"/>
    <w:rsid w:val="00DA6797"/>
    <w:rsid w:val="00DA6940"/>
    <w:rsid w:val="00DA6BFF"/>
    <w:rsid w:val="00DA6E2B"/>
    <w:rsid w:val="00DA6E5B"/>
    <w:rsid w:val="00DA6F34"/>
    <w:rsid w:val="00DA6FCD"/>
    <w:rsid w:val="00DA7050"/>
    <w:rsid w:val="00DA729B"/>
    <w:rsid w:val="00DA7512"/>
    <w:rsid w:val="00DA76B7"/>
    <w:rsid w:val="00DA76DA"/>
    <w:rsid w:val="00DA797D"/>
    <w:rsid w:val="00DA7C7C"/>
    <w:rsid w:val="00DB0594"/>
    <w:rsid w:val="00DB0901"/>
    <w:rsid w:val="00DB0B35"/>
    <w:rsid w:val="00DB0B68"/>
    <w:rsid w:val="00DB106E"/>
    <w:rsid w:val="00DB10CD"/>
    <w:rsid w:val="00DB12E4"/>
    <w:rsid w:val="00DB16F9"/>
    <w:rsid w:val="00DB1822"/>
    <w:rsid w:val="00DB193C"/>
    <w:rsid w:val="00DB1D0F"/>
    <w:rsid w:val="00DB20BC"/>
    <w:rsid w:val="00DB2514"/>
    <w:rsid w:val="00DB2585"/>
    <w:rsid w:val="00DB26A5"/>
    <w:rsid w:val="00DB26E6"/>
    <w:rsid w:val="00DB29EA"/>
    <w:rsid w:val="00DB29F4"/>
    <w:rsid w:val="00DB2A91"/>
    <w:rsid w:val="00DB2E2E"/>
    <w:rsid w:val="00DB32EA"/>
    <w:rsid w:val="00DB3653"/>
    <w:rsid w:val="00DB39B7"/>
    <w:rsid w:val="00DB3C8A"/>
    <w:rsid w:val="00DB3F39"/>
    <w:rsid w:val="00DB4275"/>
    <w:rsid w:val="00DB42D4"/>
    <w:rsid w:val="00DB44BB"/>
    <w:rsid w:val="00DB4534"/>
    <w:rsid w:val="00DB456E"/>
    <w:rsid w:val="00DB4573"/>
    <w:rsid w:val="00DB4801"/>
    <w:rsid w:val="00DB4856"/>
    <w:rsid w:val="00DB48B3"/>
    <w:rsid w:val="00DB4B43"/>
    <w:rsid w:val="00DB4C1A"/>
    <w:rsid w:val="00DB52F8"/>
    <w:rsid w:val="00DB5314"/>
    <w:rsid w:val="00DB5354"/>
    <w:rsid w:val="00DB5672"/>
    <w:rsid w:val="00DB5684"/>
    <w:rsid w:val="00DB58D9"/>
    <w:rsid w:val="00DB5AA9"/>
    <w:rsid w:val="00DB5F4E"/>
    <w:rsid w:val="00DB62F4"/>
    <w:rsid w:val="00DB6568"/>
    <w:rsid w:val="00DB6A4A"/>
    <w:rsid w:val="00DB6AA4"/>
    <w:rsid w:val="00DB6B3D"/>
    <w:rsid w:val="00DB6CC7"/>
    <w:rsid w:val="00DB6CF3"/>
    <w:rsid w:val="00DB6E53"/>
    <w:rsid w:val="00DB7038"/>
    <w:rsid w:val="00DB75AB"/>
    <w:rsid w:val="00DB782C"/>
    <w:rsid w:val="00DB7C32"/>
    <w:rsid w:val="00DB7D74"/>
    <w:rsid w:val="00DC008E"/>
    <w:rsid w:val="00DC0F4A"/>
    <w:rsid w:val="00DC0FE1"/>
    <w:rsid w:val="00DC1126"/>
    <w:rsid w:val="00DC135A"/>
    <w:rsid w:val="00DC14AF"/>
    <w:rsid w:val="00DC1602"/>
    <w:rsid w:val="00DC171D"/>
    <w:rsid w:val="00DC1BD5"/>
    <w:rsid w:val="00DC2060"/>
    <w:rsid w:val="00DC23FA"/>
    <w:rsid w:val="00DC2456"/>
    <w:rsid w:val="00DC2BB6"/>
    <w:rsid w:val="00DC2CEC"/>
    <w:rsid w:val="00DC2D6E"/>
    <w:rsid w:val="00DC2F10"/>
    <w:rsid w:val="00DC2F64"/>
    <w:rsid w:val="00DC2FD5"/>
    <w:rsid w:val="00DC306A"/>
    <w:rsid w:val="00DC32D2"/>
    <w:rsid w:val="00DC363D"/>
    <w:rsid w:val="00DC3759"/>
    <w:rsid w:val="00DC38B6"/>
    <w:rsid w:val="00DC39C1"/>
    <w:rsid w:val="00DC3C73"/>
    <w:rsid w:val="00DC42A4"/>
    <w:rsid w:val="00DC46F5"/>
    <w:rsid w:val="00DC49EF"/>
    <w:rsid w:val="00DC4A22"/>
    <w:rsid w:val="00DC4AE0"/>
    <w:rsid w:val="00DC4B5F"/>
    <w:rsid w:val="00DC531A"/>
    <w:rsid w:val="00DC548A"/>
    <w:rsid w:val="00DC548F"/>
    <w:rsid w:val="00DC54C7"/>
    <w:rsid w:val="00DC573A"/>
    <w:rsid w:val="00DC57BF"/>
    <w:rsid w:val="00DC57D7"/>
    <w:rsid w:val="00DC5838"/>
    <w:rsid w:val="00DC5853"/>
    <w:rsid w:val="00DC5D7F"/>
    <w:rsid w:val="00DC5ED5"/>
    <w:rsid w:val="00DC5FA6"/>
    <w:rsid w:val="00DC6A6B"/>
    <w:rsid w:val="00DC6B70"/>
    <w:rsid w:val="00DC6E83"/>
    <w:rsid w:val="00DC71CA"/>
    <w:rsid w:val="00DC7249"/>
    <w:rsid w:val="00DC72C2"/>
    <w:rsid w:val="00DC7511"/>
    <w:rsid w:val="00DC7BD7"/>
    <w:rsid w:val="00DC7CC1"/>
    <w:rsid w:val="00DC7F68"/>
    <w:rsid w:val="00DC7FBD"/>
    <w:rsid w:val="00DD04C9"/>
    <w:rsid w:val="00DD0759"/>
    <w:rsid w:val="00DD0AAD"/>
    <w:rsid w:val="00DD0B1A"/>
    <w:rsid w:val="00DD0CCB"/>
    <w:rsid w:val="00DD0E65"/>
    <w:rsid w:val="00DD13E2"/>
    <w:rsid w:val="00DD14F8"/>
    <w:rsid w:val="00DD19A4"/>
    <w:rsid w:val="00DD1AA0"/>
    <w:rsid w:val="00DD1AE0"/>
    <w:rsid w:val="00DD1D79"/>
    <w:rsid w:val="00DD1F50"/>
    <w:rsid w:val="00DD21EC"/>
    <w:rsid w:val="00DD23BD"/>
    <w:rsid w:val="00DD256E"/>
    <w:rsid w:val="00DD280A"/>
    <w:rsid w:val="00DD2E3E"/>
    <w:rsid w:val="00DD309E"/>
    <w:rsid w:val="00DD327D"/>
    <w:rsid w:val="00DD34C5"/>
    <w:rsid w:val="00DD3591"/>
    <w:rsid w:val="00DD35B2"/>
    <w:rsid w:val="00DD4161"/>
    <w:rsid w:val="00DD43BA"/>
    <w:rsid w:val="00DD4477"/>
    <w:rsid w:val="00DD4507"/>
    <w:rsid w:val="00DD450C"/>
    <w:rsid w:val="00DD4AAA"/>
    <w:rsid w:val="00DD4CB7"/>
    <w:rsid w:val="00DD4D07"/>
    <w:rsid w:val="00DD4D99"/>
    <w:rsid w:val="00DD52F9"/>
    <w:rsid w:val="00DD55DE"/>
    <w:rsid w:val="00DD56F7"/>
    <w:rsid w:val="00DD5857"/>
    <w:rsid w:val="00DD593E"/>
    <w:rsid w:val="00DD5C27"/>
    <w:rsid w:val="00DD5CFB"/>
    <w:rsid w:val="00DD5E1F"/>
    <w:rsid w:val="00DD5E6B"/>
    <w:rsid w:val="00DD5E78"/>
    <w:rsid w:val="00DD6100"/>
    <w:rsid w:val="00DD6168"/>
    <w:rsid w:val="00DD61F7"/>
    <w:rsid w:val="00DD651F"/>
    <w:rsid w:val="00DD6DAD"/>
    <w:rsid w:val="00DD70BD"/>
    <w:rsid w:val="00DD7378"/>
    <w:rsid w:val="00DD73CE"/>
    <w:rsid w:val="00DD7538"/>
    <w:rsid w:val="00DD7A84"/>
    <w:rsid w:val="00DD7C34"/>
    <w:rsid w:val="00DD7CD6"/>
    <w:rsid w:val="00DD7D8A"/>
    <w:rsid w:val="00DE00D2"/>
    <w:rsid w:val="00DE045B"/>
    <w:rsid w:val="00DE05D1"/>
    <w:rsid w:val="00DE05E0"/>
    <w:rsid w:val="00DE0B59"/>
    <w:rsid w:val="00DE0FA2"/>
    <w:rsid w:val="00DE1132"/>
    <w:rsid w:val="00DE1446"/>
    <w:rsid w:val="00DE159F"/>
    <w:rsid w:val="00DE17E5"/>
    <w:rsid w:val="00DE18F2"/>
    <w:rsid w:val="00DE1910"/>
    <w:rsid w:val="00DE1A6E"/>
    <w:rsid w:val="00DE1B31"/>
    <w:rsid w:val="00DE1EBD"/>
    <w:rsid w:val="00DE22AD"/>
    <w:rsid w:val="00DE259A"/>
    <w:rsid w:val="00DE2ABD"/>
    <w:rsid w:val="00DE2B88"/>
    <w:rsid w:val="00DE2E6F"/>
    <w:rsid w:val="00DE2F86"/>
    <w:rsid w:val="00DE321A"/>
    <w:rsid w:val="00DE3361"/>
    <w:rsid w:val="00DE3428"/>
    <w:rsid w:val="00DE37F3"/>
    <w:rsid w:val="00DE3B4A"/>
    <w:rsid w:val="00DE3B8B"/>
    <w:rsid w:val="00DE3C04"/>
    <w:rsid w:val="00DE3C43"/>
    <w:rsid w:val="00DE3F76"/>
    <w:rsid w:val="00DE41F1"/>
    <w:rsid w:val="00DE41F7"/>
    <w:rsid w:val="00DE43A3"/>
    <w:rsid w:val="00DE4414"/>
    <w:rsid w:val="00DE4AB1"/>
    <w:rsid w:val="00DE4C96"/>
    <w:rsid w:val="00DE4CF4"/>
    <w:rsid w:val="00DE4EEE"/>
    <w:rsid w:val="00DE5150"/>
    <w:rsid w:val="00DE5211"/>
    <w:rsid w:val="00DE566E"/>
    <w:rsid w:val="00DE57B1"/>
    <w:rsid w:val="00DE580D"/>
    <w:rsid w:val="00DE5D1B"/>
    <w:rsid w:val="00DE6119"/>
    <w:rsid w:val="00DE6467"/>
    <w:rsid w:val="00DE6710"/>
    <w:rsid w:val="00DE6DE4"/>
    <w:rsid w:val="00DE6DF2"/>
    <w:rsid w:val="00DE6F5E"/>
    <w:rsid w:val="00DE7429"/>
    <w:rsid w:val="00DE7834"/>
    <w:rsid w:val="00DE7AAF"/>
    <w:rsid w:val="00DF0264"/>
    <w:rsid w:val="00DF05DB"/>
    <w:rsid w:val="00DF09C9"/>
    <w:rsid w:val="00DF0AB0"/>
    <w:rsid w:val="00DF0C78"/>
    <w:rsid w:val="00DF0DC6"/>
    <w:rsid w:val="00DF0E6F"/>
    <w:rsid w:val="00DF10D3"/>
    <w:rsid w:val="00DF17DA"/>
    <w:rsid w:val="00DF18BC"/>
    <w:rsid w:val="00DF1AC0"/>
    <w:rsid w:val="00DF1B01"/>
    <w:rsid w:val="00DF1BCF"/>
    <w:rsid w:val="00DF1BD7"/>
    <w:rsid w:val="00DF1BE7"/>
    <w:rsid w:val="00DF1C3A"/>
    <w:rsid w:val="00DF1FA3"/>
    <w:rsid w:val="00DF2278"/>
    <w:rsid w:val="00DF2634"/>
    <w:rsid w:val="00DF28E2"/>
    <w:rsid w:val="00DF2F20"/>
    <w:rsid w:val="00DF2FBE"/>
    <w:rsid w:val="00DF30C1"/>
    <w:rsid w:val="00DF3257"/>
    <w:rsid w:val="00DF351F"/>
    <w:rsid w:val="00DF3529"/>
    <w:rsid w:val="00DF35F4"/>
    <w:rsid w:val="00DF3986"/>
    <w:rsid w:val="00DF3A13"/>
    <w:rsid w:val="00DF3C56"/>
    <w:rsid w:val="00DF3DF6"/>
    <w:rsid w:val="00DF3F5A"/>
    <w:rsid w:val="00DF3FDB"/>
    <w:rsid w:val="00DF421F"/>
    <w:rsid w:val="00DF4435"/>
    <w:rsid w:val="00DF443B"/>
    <w:rsid w:val="00DF45E5"/>
    <w:rsid w:val="00DF48F5"/>
    <w:rsid w:val="00DF4A17"/>
    <w:rsid w:val="00DF4AFE"/>
    <w:rsid w:val="00DF4B11"/>
    <w:rsid w:val="00DF4B86"/>
    <w:rsid w:val="00DF4CB7"/>
    <w:rsid w:val="00DF4D08"/>
    <w:rsid w:val="00DF4EAD"/>
    <w:rsid w:val="00DF4F10"/>
    <w:rsid w:val="00DF5046"/>
    <w:rsid w:val="00DF511C"/>
    <w:rsid w:val="00DF521B"/>
    <w:rsid w:val="00DF55A9"/>
    <w:rsid w:val="00DF569E"/>
    <w:rsid w:val="00DF56DA"/>
    <w:rsid w:val="00DF579C"/>
    <w:rsid w:val="00DF57EE"/>
    <w:rsid w:val="00DF5909"/>
    <w:rsid w:val="00DF5A1C"/>
    <w:rsid w:val="00DF5A9A"/>
    <w:rsid w:val="00DF5E40"/>
    <w:rsid w:val="00DF6076"/>
    <w:rsid w:val="00DF64BA"/>
    <w:rsid w:val="00DF6603"/>
    <w:rsid w:val="00DF6813"/>
    <w:rsid w:val="00DF6AF4"/>
    <w:rsid w:val="00DF6C79"/>
    <w:rsid w:val="00DF6CEF"/>
    <w:rsid w:val="00DF785B"/>
    <w:rsid w:val="00DF78FD"/>
    <w:rsid w:val="00DF7926"/>
    <w:rsid w:val="00DF7BC0"/>
    <w:rsid w:val="00DF7E5A"/>
    <w:rsid w:val="00E0041A"/>
    <w:rsid w:val="00E0054E"/>
    <w:rsid w:val="00E00A5B"/>
    <w:rsid w:val="00E00A5E"/>
    <w:rsid w:val="00E00AB4"/>
    <w:rsid w:val="00E00C00"/>
    <w:rsid w:val="00E00C12"/>
    <w:rsid w:val="00E00D2F"/>
    <w:rsid w:val="00E00D32"/>
    <w:rsid w:val="00E00D40"/>
    <w:rsid w:val="00E013AB"/>
    <w:rsid w:val="00E014A9"/>
    <w:rsid w:val="00E015F2"/>
    <w:rsid w:val="00E0168D"/>
    <w:rsid w:val="00E01BB0"/>
    <w:rsid w:val="00E01C66"/>
    <w:rsid w:val="00E01CCC"/>
    <w:rsid w:val="00E01FF1"/>
    <w:rsid w:val="00E03425"/>
    <w:rsid w:val="00E0386D"/>
    <w:rsid w:val="00E03906"/>
    <w:rsid w:val="00E03C38"/>
    <w:rsid w:val="00E03D20"/>
    <w:rsid w:val="00E03D4C"/>
    <w:rsid w:val="00E03F3C"/>
    <w:rsid w:val="00E03FBF"/>
    <w:rsid w:val="00E03FFE"/>
    <w:rsid w:val="00E04232"/>
    <w:rsid w:val="00E042CF"/>
    <w:rsid w:val="00E043CC"/>
    <w:rsid w:val="00E04954"/>
    <w:rsid w:val="00E04D34"/>
    <w:rsid w:val="00E04FF8"/>
    <w:rsid w:val="00E05426"/>
    <w:rsid w:val="00E0543C"/>
    <w:rsid w:val="00E054E7"/>
    <w:rsid w:val="00E059A3"/>
    <w:rsid w:val="00E05A39"/>
    <w:rsid w:val="00E05A96"/>
    <w:rsid w:val="00E05FC2"/>
    <w:rsid w:val="00E0625D"/>
    <w:rsid w:val="00E0647B"/>
    <w:rsid w:val="00E0653E"/>
    <w:rsid w:val="00E0674E"/>
    <w:rsid w:val="00E06AAD"/>
    <w:rsid w:val="00E06AB2"/>
    <w:rsid w:val="00E06DDD"/>
    <w:rsid w:val="00E071E7"/>
    <w:rsid w:val="00E075AA"/>
    <w:rsid w:val="00E0766D"/>
    <w:rsid w:val="00E07789"/>
    <w:rsid w:val="00E079E6"/>
    <w:rsid w:val="00E07E56"/>
    <w:rsid w:val="00E1013A"/>
    <w:rsid w:val="00E102C1"/>
    <w:rsid w:val="00E110AD"/>
    <w:rsid w:val="00E1114F"/>
    <w:rsid w:val="00E1128A"/>
    <w:rsid w:val="00E113B4"/>
    <w:rsid w:val="00E1172F"/>
    <w:rsid w:val="00E119E3"/>
    <w:rsid w:val="00E11A79"/>
    <w:rsid w:val="00E11D4D"/>
    <w:rsid w:val="00E11E78"/>
    <w:rsid w:val="00E12330"/>
    <w:rsid w:val="00E1262B"/>
    <w:rsid w:val="00E1264B"/>
    <w:rsid w:val="00E126C0"/>
    <w:rsid w:val="00E127AA"/>
    <w:rsid w:val="00E12A29"/>
    <w:rsid w:val="00E12A9F"/>
    <w:rsid w:val="00E12BD7"/>
    <w:rsid w:val="00E12D47"/>
    <w:rsid w:val="00E12EC3"/>
    <w:rsid w:val="00E130DE"/>
    <w:rsid w:val="00E1347D"/>
    <w:rsid w:val="00E13674"/>
    <w:rsid w:val="00E13889"/>
    <w:rsid w:val="00E13893"/>
    <w:rsid w:val="00E139B4"/>
    <w:rsid w:val="00E143B5"/>
    <w:rsid w:val="00E1467C"/>
    <w:rsid w:val="00E146BC"/>
    <w:rsid w:val="00E151BE"/>
    <w:rsid w:val="00E15588"/>
    <w:rsid w:val="00E15D84"/>
    <w:rsid w:val="00E1619B"/>
    <w:rsid w:val="00E166FA"/>
    <w:rsid w:val="00E173EB"/>
    <w:rsid w:val="00E17619"/>
    <w:rsid w:val="00E17802"/>
    <w:rsid w:val="00E17A80"/>
    <w:rsid w:val="00E17BA7"/>
    <w:rsid w:val="00E17DBE"/>
    <w:rsid w:val="00E17DF3"/>
    <w:rsid w:val="00E17E5B"/>
    <w:rsid w:val="00E20384"/>
    <w:rsid w:val="00E205A7"/>
    <w:rsid w:val="00E20621"/>
    <w:rsid w:val="00E20792"/>
    <w:rsid w:val="00E207B9"/>
    <w:rsid w:val="00E211DA"/>
    <w:rsid w:val="00E2161E"/>
    <w:rsid w:val="00E21ABC"/>
    <w:rsid w:val="00E21E4E"/>
    <w:rsid w:val="00E2221C"/>
    <w:rsid w:val="00E22259"/>
    <w:rsid w:val="00E22283"/>
    <w:rsid w:val="00E22318"/>
    <w:rsid w:val="00E226F3"/>
    <w:rsid w:val="00E22748"/>
    <w:rsid w:val="00E22A91"/>
    <w:rsid w:val="00E22E9C"/>
    <w:rsid w:val="00E23125"/>
    <w:rsid w:val="00E23E4D"/>
    <w:rsid w:val="00E23F0E"/>
    <w:rsid w:val="00E23F35"/>
    <w:rsid w:val="00E2401D"/>
    <w:rsid w:val="00E2407E"/>
    <w:rsid w:val="00E243F2"/>
    <w:rsid w:val="00E244E9"/>
    <w:rsid w:val="00E24880"/>
    <w:rsid w:val="00E249F2"/>
    <w:rsid w:val="00E24B8C"/>
    <w:rsid w:val="00E24FBA"/>
    <w:rsid w:val="00E2503A"/>
    <w:rsid w:val="00E25554"/>
    <w:rsid w:val="00E25C63"/>
    <w:rsid w:val="00E25CF0"/>
    <w:rsid w:val="00E25F92"/>
    <w:rsid w:val="00E260A6"/>
    <w:rsid w:val="00E262FC"/>
    <w:rsid w:val="00E265CB"/>
    <w:rsid w:val="00E26998"/>
    <w:rsid w:val="00E26EB2"/>
    <w:rsid w:val="00E26EE6"/>
    <w:rsid w:val="00E26FAD"/>
    <w:rsid w:val="00E26FBC"/>
    <w:rsid w:val="00E27026"/>
    <w:rsid w:val="00E27242"/>
    <w:rsid w:val="00E278A6"/>
    <w:rsid w:val="00E279B0"/>
    <w:rsid w:val="00E27A91"/>
    <w:rsid w:val="00E27B70"/>
    <w:rsid w:val="00E27BA2"/>
    <w:rsid w:val="00E30058"/>
    <w:rsid w:val="00E3025A"/>
    <w:rsid w:val="00E302DB"/>
    <w:rsid w:val="00E304E5"/>
    <w:rsid w:val="00E30DEF"/>
    <w:rsid w:val="00E31050"/>
    <w:rsid w:val="00E31342"/>
    <w:rsid w:val="00E313B7"/>
    <w:rsid w:val="00E3144B"/>
    <w:rsid w:val="00E31948"/>
    <w:rsid w:val="00E31CCC"/>
    <w:rsid w:val="00E31CD6"/>
    <w:rsid w:val="00E321FB"/>
    <w:rsid w:val="00E32210"/>
    <w:rsid w:val="00E3272C"/>
    <w:rsid w:val="00E32841"/>
    <w:rsid w:val="00E329AC"/>
    <w:rsid w:val="00E32C47"/>
    <w:rsid w:val="00E32CA4"/>
    <w:rsid w:val="00E32EC3"/>
    <w:rsid w:val="00E330F4"/>
    <w:rsid w:val="00E332D2"/>
    <w:rsid w:val="00E33553"/>
    <w:rsid w:val="00E33699"/>
    <w:rsid w:val="00E33B6E"/>
    <w:rsid w:val="00E33CDA"/>
    <w:rsid w:val="00E34423"/>
    <w:rsid w:val="00E34465"/>
    <w:rsid w:val="00E345E5"/>
    <w:rsid w:val="00E34872"/>
    <w:rsid w:val="00E34E57"/>
    <w:rsid w:val="00E34EB1"/>
    <w:rsid w:val="00E35311"/>
    <w:rsid w:val="00E35393"/>
    <w:rsid w:val="00E35A76"/>
    <w:rsid w:val="00E35AB8"/>
    <w:rsid w:val="00E35B8B"/>
    <w:rsid w:val="00E35E94"/>
    <w:rsid w:val="00E3601C"/>
    <w:rsid w:val="00E36050"/>
    <w:rsid w:val="00E36075"/>
    <w:rsid w:val="00E36091"/>
    <w:rsid w:val="00E362F1"/>
    <w:rsid w:val="00E36411"/>
    <w:rsid w:val="00E36447"/>
    <w:rsid w:val="00E36465"/>
    <w:rsid w:val="00E36647"/>
    <w:rsid w:val="00E369BF"/>
    <w:rsid w:val="00E36B59"/>
    <w:rsid w:val="00E36CEA"/>
    <w:rsid w:val="00E36E36"/>
    <w:rsid w:val="00E37038"/>
    <w:rsid w:val="00E378CD"/>
    <w:rsid w:val="00E37AED"/>
    <w:rsid w:val="00E37CDC"/>
    <w:rsid w:val="00E37E35"/>
    <w:rsid w:val="00E37EB4"/>
    <w:rsid w:val="00E40105"/>
    <w:rsid w:val="00E40127"/>
    <w:rsid w:val="00E40587"/>
    <w:rsid w:val="00E4058E"/>
    <w:rsid w:val="00E40C39"/>
    <w:rsid w:val="00E40C4D"/>
    <w:rsid w:val="00E40FD1"/>
    <w:rsid w:val="00E40FDF"/>
    <w:rsid w:val="00E41008"/>
    <w:rsid w:val="00E410EA"/>
    <w:rsid w:val="00E4129A"/>
    <w:rsid w:val="00E415DB"/>
    <w:rsid w:val="00E416C3"/>
    <w:rsid w:val="00E416E6"/>
    <w:rsid w:val="00E41714"/>
    <w:rsid w:val="00E418C2"/>
    <w:rsid w:val="00E419BD"/>
    <w:rsid w:val="00E421FD"/>
    <w:rsid w:val="00E4257C"/>
    <w:rsid w:val="00E426B3"/>
    <w:rsid w:val="00E426C6"/>
    <w:rsid w:val="00E426F3"/>
    <w:rsid w:val="00E42736"/>
    <w:rsid w:val="00E42760"/>
    <w:rsid w:val="00E42D99"/>
    <w:rsid w:val="00E42FE0"/>
    <w:rsid w:val="00E42FFD"/>
    <w:rsid w:val="00E4302C"/>
    <w:rsid w:val="00E430C3"/>
    <w:rsid w:val="00E430D7"/>
    <w:rsid w:val="00E430F9"/>
    <w:rsid w:val="00E43167"/>
    <w:rsid w:val="00E434CC"/>
    <w:rsid w:val="00E434F0"/>
    <w:rsid w:val="00E4354E"/>
    <w:rsid w:val="00E4375F"/>
    <w:rsid w:val="00E4378A"/>
    <w:rsid w:val="00E437E3"/>
    <w:rsid w:val="00E43AB3"/>
    <w:rsid w:val="00E43AFE"/>
    <w:rsid w:val="00E43AFF"/>
    <w:rsid w:val="00E43B58"/>
    <w:rsid w:val="00E43D15"/>
    <w:rsid w:val="00E44203"/>
    <w:rsid w:val="00E4424E"/>
    <w:rsid w:val="00E4439A"/>
    <w:rsid w:val="00E44427"/>
    <w:rsid w:val="00E44588"/>
    <w:rsid w:val="00E446F8"/>
    <w:rsid w:val="00E44A68"/>
    <w:rsid w:val="00E44AF3"/>
    <w:rsid w:val="00E44B11"/>
    <w:rsid w:val="00E44FFE"/>
    <w:rsid w:val="00E4504B"/>
    <w:rsid w:val="00E451AF"/>
    <w:rsid w:val="00E4533F"/>
    <w:rsid w:val="00E45660"/>
    <w:rsid w:val="00E456C9"/>
    <w:rsid w:val="00E45A29"/>
    <w:rsid w:val="00E45CAD"/>
    <w:rsid w:val="00E45CC1"/>
    <w:rsid w:val="00E45DCC"/>
    <w:rsid w:val="00E46254"/>
    <w:rsid w:val="00E4650A"/>
    <w:rsid w:val="00E46536"/>
    <w:rsid w:val="00E46602"/>
    <w:rsid w:val="00E46729"/>
    <w:rsid w:val="00E46CE1"/>
    <w:rsid w:val="00E4709A"/>
    <w:rsid w:val="00E4713A"/>
    <w:rsid w:val="00E471EB"/>
    <w:rsid w:val="00E471EC"/>
    <w:rsid w:val="00E47461"/>
    <w:rsid w:val="00E47C00"/>
    <w:rsid w:val="00E50449"/>
    <w:rsid w:val="00E507F1"/>
    <w:rsid w:val="00E50AD8"/>
    <w:rsid w:val="00E50CDD"/>
    <w:rsid w:val="00E50E91"/>
    <w:rsid w:val="00E510EA"/>
    <w:rsid w:val="00E51250"/>
    <w:rsid w:val="00E5197A"/>
    <w:rsid w:val="00E51D00"/>
    <w:rsid w:val="00E51FF5"/>
    <w:rsid w:val="00E52208"/>
    <w:rsid w:val="00E5242C"/>
    <w:rsid w:val="00E52FA0"/>
    <w:rsid w:val="00E5311C"/>
    <w:rsid w:val="00E53429"/>
    <w:rsid w:val="00E5390E"/>
    <w:rsid w:val="00E53A73"/>
    <w:rsid w:val="00E53BED"/>
    <w:rsid w:val="00E53F62"/>
    <w:rsid w:val="00E540D6"/>
    <w:rsid w:val="00E54125"/>
    <w:rsid w:val="00E543DB"/>
    <w:rsid w:val="00E544A6"/>
    <w:rsid w:val="00E5470A"/>
    <w:rsid w:val="00E54B29"/>
    <w:rsid w:val="00E54C69"/>
    <w:rsid w:val="00E54D44"/>
    <w:rsid w:val="00E54D99"/>
    <w:rsid w:val="00E54EA9"/>
    <w:rsid w:val="00E55599"/>
    <w:rsid w:val="00E55DEC"/>
    <w:rsid w:val="00E55DFC"/>
    <w:rsid w:val="00E55FC5"/>
    <w:rsid w:val="00E55FEA"/>
    <w:rsid w:val="00E56072"/>
    <w:rsid w:val="00E56144"/>
    <w:rsid w:val="00E565E3"/>
    <w:rsid w:val="00E56953"/>
    <w:rsid w:val="00E56B1D"/>
    <w:rsid w:val="00E56EC0"/>
    <w:rsid w:val="00E57277"/>
    <w:rsid w:val="00E5798B"/>
    <w:rsid w:val="00E579A9"/>
    <w:rsid w:val="00E57E7F"/>
    <w:rsid w:val="00E57ECE"/>
    <w:rsid w:val="00E60290"/>
    <w:rsid w:val="00E607CC"/>
    <w:rsid w:val="00E60FFB"/>
    <w:rsid w:val="00E6105A"/>
    <w:rsid w:val="00E61396"/>
    <w:rsid w:val="00E6183E"/>
    <w:rsid w:val="00E61871"/>
    <w:rsid w:val="00E618D5"/>
    <w:rsid w:val="00E61A51"/>
    <w:rsid w:val="00E6201C"/>
    <w:rsid w:val="00E62135"/>
    <w:rsid w:val="00E62493"/>
    <w:rsid w:val="00E6279D"/>
    <w:rsid w:val="00E6293A"/>
    <w:rsid w:val="00E62948"/>
    <w:rsid w:val="00E629A6"/>
    <w:rsid w:val="00E62E26"/>
    <w:rsid w:val="00E634EA"/>
    <w:rsid w:val="00E63699"/>
    <w:rsid w:val="00E637B0"/>
    <w:rsid w:val="00E639E3"/>
    <w:rsid w:val="00E63A5A"/>
    <w:rsid w:val="00E63CF8"/>
    <w:rsid w:val="00E63D6C"/>
    <w:rsid w:val="00E63F01"/>
    <w:rsid w:val="00E63FDA"/>
    <w:rsid w:val="00E63FDC"/>
    <w:rsid w:val="00E64590"/>
    <w:rsid w:val="00E64791"/>
    <w:rsid w:val="00E64952"/>
    <w:rsid w:val="00E64965"/>
    <w:rsid w:val="00E64A56"/>
    <w:rsid w:val="00E64CBA"/>
    <w:rsid w:val="00E654EE"/>
    <w:rsid w:val="00E65778"/>
    <w:rsid w:val="00E65953"/>
    <w:rsid w:val="00E65B54"/>
    <w:rsid w:val="00E65DE0"/>
    <w:rsid w:val="00E65E03"/>
    <w:rsid w:val="00E65FBC"/>
    <w:rsid w:val="00E661FF"/>
    <w:rsid w:val="00E663AD"/>
    <w:rsid w:val="00E66C7E"/>
    <w:rsid w:val="00E66E05"/>
    <w:rsid w:val="00E67106"/>
    <w:rsid w:val="00E67110"/>
    <w:rsid w:val="00E671BB"/>
    <w:rsid w:val="00E6726B"/>
    <w:rsid w:val="00E6744C"/>
    <w:rsid w:val="00E6774F"/>
    <w:rsid w:val="00E67772"/>
    <w:rsid w:val="00E67C22"/>
    <w:rsid w:val="00E7007D"/>
    <w:rsid w:val="00E704E1"/>
    <w:rsid w:val="00E70647"/>
    <w:rsid w:val="00E706CA"/>
    <w:rsid w:val="00E707E2"/>
    <w:rsid w:val="00E71366"/>
    <w:rsid w:val="00E713A1"/>
    <w:rsid w:val="00E718C2"/>
    <w:rsid w:val="00E7198C"/>
    <w:rsid w:val="00E71DD6"/>
    <w:rsid w:val="00E71EC3"/>
    <w:rsid w:val="00E7208A"/>
    <w:rsid w:val="00E721E2"/>
    <w:rsid w:val="00E722BB"/>
    <w:rsid w:val="00E7247B"/>
    <w:rsid w:val="00E72CF1"/>
    <w:rsid w:val="00E72D09"/>
    <w:rsid w:val="00E72DAF"/>
    <w:rsid w:val="00E72E0E"/>
    <w:rsid w:val="00E7307A"/>
    <w:rsid w:val="00E731BE"/>
    <w:rsid w:val="00E7339C"/>
    <w:rsid w:val="00E7344A"/>
    <w:rsid w:val="00E73509"/>
    <w:rsid w:val="00E736EA"/>
    <w:rsid w:val="00E737A3"/>
    <w:rsid w:val="00E738FF"/>
    <w:rsid w:val="00E739D7"/>
    <w:rsid w:val="00E739DB"/>
    <w:rsid w:val="00E73D7C"/>
    <w:rsid w:val="00E73EAB"/>
    <w:rsid w:val="00E74042"/>
    <w:rsid w:val="00E741F2"/>
    <w:rsid w:val="00E74245"/>
    <w:rsid w:val="00E746F1"/>
    <w:rsid w:val="00E74742"/>
    <w:rsid w:val="00E749DE"/>
    <w:rsid w:val="00E74C69"/>
    <w:rsid w:val="00E74CB1"/>
    <w:rsid w:val="00E74E72"/>
    <w:rsid w:val="00E7537F"/>
    <w:rsid w:val="00E757AE"/>
    <w:rsid w:val="00E75CFA"/>
    <w:rsid w:val="00E75D48"/>
    <w:rsid w:val="00E7621B"/>
    <w:rsid w:val="00E764B5"/>
    <w:rsid w:val="00E76513"/>
    <w:rsid w:val="00E766E7"/>
    <w:rsid w:val="00E76B32"/>
    <w:rsid w:val="00E76E49"/>
    <w:rsid w:val="00E7755D"/>
    <w:rsid w:val="00E7758E"/>
    <w:rsid w:val="00E7774F"/>
    <w:rsid w:val="00E7795B"/>
    <w:rsid w:val="00E77B0B"/>
    <w:rsid w:val="00E77C3B"/>
    <w:rsid w:val="00E77E10"/>
    <w:rsid w:val="00E80145"/>
    <w:rsid w:val="00E8014B"/>
    <w:rsid w:val="00E80397"/>
    <w:rsid w:val="00E807BB"/>
    <w:rsid w:val="00E809B5"/>
    <w:rsid w:val="00E809CB"/>
    <w:rsid w:val="00E80ECC"/>
    <w:rsid w:val="00E80EF6"/>
    <w:rsid w:val="00E81040"/>
    <w:rsid w:val="00E81249"/>
    <w:rsid w:val="00E813E4"/>
    <w:rsid w:val="00E81558"/>
    <w:rsid w:val="00E819EC"/>
    <w:rsid w:val="00E81A88"/>
    <w:rsid w:val="00E81C01"/>
    <w:rsid w:val="00E81CC7"/>
    <w:rsid w:val="00E81DDB"/>
    <w:rsid w:val="00E8217C"/>
    <w:rsid w:val="00E83145"/>
    <w:rsid w:val="00E8323F"/>
    <w:rsid w:val="00E8336A"/>
    <w:rsid w:val="00E8337B"/>
    <w:rsid w:val="00E8366D"/>
    <w:rsid w:val="00E8391B"/>
    <w:rsid w:val="00E83CB1"/>
    <w:rsid w:val="00E84172"/>
    <w:rsid w:val="00E84225"/>
    <w:rsid w:val="00E84580"/>
    <w:rsid w:val="00E8461F"/>
    <w:rsid w:val="00E84AE6"/>
    <w:rsid w:val="00E84C61"/>
    <w:rsid w:val="00E84CE7"/>
    <w:rsid w:val="00E84F51"/>
    <w:rsid w:val="00E850FD"/>
    <w:rsid w:val="00E8549E"/>
    <w:rsid w:val="00E85C63"/>
    <w:rsid w:val="00E85E66"/>
    <w:rsid w:val="00E860D2"/>
    <w:rsid w:val="00E8621C"/>
    <w:rsid w:val="00E86742"/>
    <w:rsid w:val="00E867F9"/>
    <w:rsid w:val="00E86D49"/>
    <w:rsid w:val="00E86E0E"/>
    <w:rsid w:val="00E86EA7"/>
    <w:rsid w:val="00E86F7F"/>
    <w:rsid w:val="00E87034"/>
    <w:rsid w:val="00E87157"/>
    <w:rsid w:val="00E87768"/>
    <w:rsid w:val="00E87DDD"/>
    <w:rsid w:val="00E9008E"/>
    <w:rsid w:val="00E90356"/>
    <w:rsid w:val="00E904EC"/>
    <w:rsid w:val="00E905F9"/>
    <w:rsid w:val="00E907B1"/>
    <w:rsid w:val="00E90812"/>
    <w:rsid w:val="00E9083F"/>
    <w:rsid w:val="00E90868"/>
    <w:rsid w:val="00E9089D"/>
    <w:rsid w:val="00E9095C"/>
    <w:rsid w:val="00E90984"/>
    <w:rsid w:val="00E90C49"/>
    <w:rsid w:val="00E90C8C"/>
    <w:rsid w:val="00E90E72"/>
    <w:rsid w:val="00E911F3"/>
    <w:rsid w:val="00E9133E"/>
    <w:rsid w:val="00E91396"/>
    <w:rsid w:val="00E914BA"/>
    <w:rsid w:val="00E91735"/>
    <w:rsid w:val="00E9177E"/>
    <w:rsid w:val="00E92085"/>
    <w:rsid w:val="00E92099"/>
    <w:rsid w:val="00E9268F"/>
    <w:rsid w:val="00E9274B"/>
    <w:rsid w:val="00E92B4B"/>
    <w:rsid w:val="00E92D5B"/>
    <w:rsid w:val="00E9350D"/>
    <w:rsid w:val="00E93730"/>
    <w:rsid w:val="00E93841"/>
    <w:rsid w:val="00E93A46"/>
    <w:rsid w:val="00E93B80"/>
    <w:rsid w:val="00E93C25"/>
    <w:rsid w:val="00E94035"/>
    <w:rsid w:val="00E94EC9"/>
    <w:rsid w:val="00E95348"/>
    <w:rsid w:val="00E96015"/>
    <w:rsid w:val="00E960C5"/>
    <w:rsid w:val="00E9622F"/>
    <w:rsid w:val="00E962C3"/>
    <w:rsid w:val="00E96588"/>
    <w:rsid w:val="00E965AF"/>
    <w:rsid w:val="00E96798"/>
    <w:rsid w:val="00E967D3"/>
    <w:rsid w:val="00E96954"/>
    <w:rsid w:val="00E96C8E"/>
    <w:rsid w:val="00E97046"/>
    <w:rsid w:val="00E974A3"/>
    <w:rsid w:val="00E974CC"/>
    <w:rsid w:val="00E9759B"/>
    <w:rsid w:val="00E97717"/>
    <w:rsid w:val="00E97B6E"/>
    <w:rsid w:val="00E97C6A"/>
    <w:rsid w:val="00EA092A"/>
    <w:rsid w:val="00EA0B81"/>
    <w:rsid w:val="00EA0C1C"/>
    <w:rsid w:val="00EA0C7F"/>
    <w:rsid w:val="00EA122D"/>
    <w:rsid w:val="00EA1266"/>
    <w:rsid w:val="00EA19B9"/>
    <w:rsid w:val="00EA1CC4"/>
    <w:rsid w:val="00EA1EB1"/>
    <w:rsid w:val="00EA20D0"/>
    <w:rsid w:val="00EA240D"/>
    <w:rsid w:val="00EA29EB"/>
    <w:rsid w:val="00EA2C87"/>
    <w:rsid w:val="00EA2D86"/>
    <w:rsid w:val="00EA3165"/>
    <w:rsid w:val="00EA320D"/>
    <w:rsid w:val="00EA36FC"/>
    <w:rsid w:val="00EA378B"/>
    <w:rsid w:val="00EA382C"/>
    <w:rsid w:val="00EA39DF"/>
    <w:rsid w:val="00EA3C0B"/>
    <w:rsid w:val="00EA3CA5"/>
    <w:rsid w:val="00EA3F83"/>
    <w:rsid w:val="00EA40CA"/>
    <w:rsid w:val="00EA4147"/>
    <w:rsid w:val="00EA423E"/>
    <w:rsid w:val="00EA463C"/>
    <w:rsid w:val="00EA4646"/>
    <w:rsid w:val="00EA467D"/>
    <w:rsid w:val="00EA4E16"/>
    <w:rsid w:val="00EA4E3D"/>
    <w:rsid w:val="00EA5552"/>
    <w:rsid w:val="00EA563F"/>
    <w:rsid w:val="00EA56AC"/>
    <w:rsid w:val="00EA5754"/>
    <w:rsid w:val="00EA6344"/>
    <w:rsid w:val="00EA6536"/>
    <w:rsid w:val="00EA6565"/>
    <w:rsid w:val="00EA6AAA"/>
    <w:rsid w:val="00EA6D61"/>
    <w:rsid w:val="00EA71F1"/>
    <w:rsid w:val="00EA723E"/>
    <w:rsid w:val="00EA7355"/>
    <w:rsid w:val="00EA7677"/>
    <w:rsid w:val="00EA76B6"/>
    <w:rsid w:val="00EA78BC"/>
    <w:rsid w:val="00EA797D"/>
    <w:rsid w:val="00EA79FF"/>
    <w:rsid w:val="00EA7BFF"/>
    <w:rsid w:val="00EA7E16"/>
    <w:rsid w:val="00EA7E24"/>
    <w:rsid w:val="00EA7ED4"/>
    <w:rsid w:val="00EB003F"/>
    <w:rsid w:val="00EB0130"/>
    <w:rsid w:val="00EB04D7"/>
    <w:rsid w:val="00EB07F2"/>
    <w:rsid w:val="00EB0CE3"/>
    <w:rsid w:val="00EB11A0"/>
    <w:rsid w:val="00EB11A1"/>
    <w:rsid w:val="00EB125F"/>
    <w:rsid w:val="00EB12D1"/>
    <w:rsid w:val="00EB12FA"/>
    <w:rsid w:val="00EB133A"/>
    <w:rsid w:val="00EB136A"/>
    <w:rsid w:val="00EB15BB"/>
    <w:rsid w:val="00EB1E75"/>
    <w:rsid w:val="00EB22D0"/>
    <w:rsid w:val="00EB2B4C"/>
    <w:rsid w:val="00EB2CD2"/>
    <w:rsid w:val="00EB2FB9"/>
    <w:rsid w:val="00EB3062"/>
    <w:rsid w:val="00EB3196"/>
    <w:rsid w:val="00EB373F"/>
    <w:rsid w:val="00EB3867"/>
    <w:rsid w:val="00EB3A5E"/>
    <w:rsid w:val="00EB3C81"/>
    <w:rsid w:val="00EB3D92"/>
    <w:rsid w:val="00EB4083"/>
    <w:rsid w:val="00EB40FE"/>
    <w:rsid w:val="00EB4318"/>
    <w:rsid w:val="00EB4565"/>
    <w:rsid w:val="00EB4770"/>
    <w:rsid w:val="00EB481A"/>
    <w:rsid w:val="00EB490A"/>
    <w:rsid w:val="00EB4BE7"/>
    <w:rsid w:val="00EB4F9F"/>
    <w:rsid w:val="00EB5620"/>
    <w:rsid w:val="00EB5800"/>
    <w:rsid w:val="00EB5AE1"/>
    <w:rsid w:val="00EB5B12"/>
    <w:rsid w:val="00EB5DC7"/>
    <w:rsid w:val="00EB5EBE"/>
    <w:rsid w:val="00EB612D"/>
    <w:rsid w:val="00EB6780"/>
    <w:rsid w:val="00EB69FD"/>
    <w:rsid w:val="00EB6AB9"/>
    <w:rsid w:val="00EB6CA3"/>
    <w:rsid w:val="00EB707F"/>
    <w:rsid w:val="00EB73BB"/>
    <w:rsid w:val="00EB76CC"/>
    <w:rsid w:val="00EB7B67"/>
    <w:rsid w:val="00EB7E58"/>
    <w:rsid w:val="00EB7F8A"/>
    <w:rsid w:val="00EC00B6"/>
    <w:rsid w:val="00EC0155"/>
    <w:rsid w:val="00EC0766"/>
    <w:rsid w:val="00EC08AB"/>
    <w:rsid w:val="00EC09E0"/>
    <w:rsid w:val="00EC0B91"/>
    <w:rsid w:val="00EC0D63"/>
    <w:rsid w:val="00EC103D"/>
    <w:rsid w:val="00EC1153"/>
    <w:rsid w:val="00EC180E"/>
    <w:rsid w:val="00EC1994"/>
    <w:rsid w:val="00EC1ACB"/>
    <w:rsid w:val="00EC1B67"/>
    <w:rsid w:val="00EC1BC1"/>
    <w:rsid w:val="00EC1EED"/>
    <w:rsid w:val="00EC2009"/>
    <w:rsid w:val="00EC2AD7"/>
    <w:rsid w:val="00EC2B24"/>
    <w:rsid w:val="00EC2B26"/>
    <w:rsid w:val="00EC2C3F"/>
    <w:rsid w:val="00EC2D48"/>
    <w:rsid w:val="00EC31EB"/>
    <w:rsid w:val="00EC32D6"/>
    <w:rsid w:val="00EC3607"/>
    <w:rsid w:val="00EC3FD5"/>
    <w:rsid w:val="00EC40C7"/>
    <w:rsid w:val="00EC4543"/>
    <w:rsid w:val="00EC457D"/>
    <w:rsid w:val="00EC45CD"/>
    <w:rsid w:val="00EC4D14"/>
    <w:rsid w:val="00EC4DF3"/>
    <w:rsid w:val="00EC4F4A"/>
    <w:rsid w:val="00EC5004"/>
    <w:rsid w:val="00EC5273"/>
    <w:rsid w:val="00EC5459"/>
    <w:rsid w:val="00EC5496"/>
    <w:rsid w:val="00EC5766"/>
    <w:rsid w:val="00EC6207"/>
    <w:rsid w:val="00EC625A"/>
    <w:rsid w:val="00EC6980"/>
    <w:rsid w:val="00EC6CB0"/>
    <w:rsid w:val="00EC728E"/>
    <w:rsid w:val="00EC72E2"/>
    <w:rsid w:val="00EC7410"/>
    <w:rsid w:val="00EC7A41"/>
    <w:rsid w:val="00EC7B83"/>
    <w:rsid w:val="00EC7C19"/>
    <w:rsid w:val="00EC7C98"/>
    <w:rsid w:val="00EC7CC7"/>
    <w:rsid w:val="00EC7EBB"/>
    <w:rsid w:val="00EC7ECA"/>
    <w:rsid w:val="00EC7F3F"/>
    <w:rsid w:val="00ED02B5"/>
    <w:rsid w:val="00ED07D5"/>
    <w:rsid w:val="00ED09AF"/>
    <w:rsid w:val="00ED0ACE"/>
    <w:rsid w:val="00ED0C8B"/>
    <w:rsid w:val="00ED0D1F"/>
    <w:rsid w:val="00ED0FB2"/>
    <w:rsid w:val="00ED129B"/>
    <w:rsid w:val="00ED12AA"/>
    <w:rsid w:val="00ED135A"/>
    <w:rsid w:val="00ED1B44"/>
    <w:rsid w:val="00ED1EB0"/>
    <w:rsid w:val="00ED1F28"/>
    <w:rsid w:val="00ED22D7"/>
    <w:rsid w:val="00ED243D"/>
    <w:rsid w:val="00ED281E"/>
    <w:rsid w:val="00ED2A4F"/>
    <w:rsid w:val="00ED30B0"/>
    <w:rsid w:val="00ED3357"/>
    <w:rsid w:val="00ED3444"/>
    <w:rsid w:val="00ED34CE"/>
    <w:rsid w:val="00ED389B"/>
    <w:rsid w:val="00ED38D3"/>
    <w:rsid w:val="00ED3A58"/>
    <w:rsid w:val="00ED3A73"/>
    <w:rsid w:val="00ED3BE8"/>
    <w:rsid w:val="00ED3C62"/>
    <w:rsid w:val="00ED3DD9"/>
    <w:rsid w:val="00ED42B7"/>
    <w:rsid w:val="00ED43FB"/>
    <w:rsid w:val="00ED44F0"/>
    <w:rsid w:val="00ED44F6"/>
    <w:rsid w:val="00ED4527"/>
    <w:rsid w:val="00ED4816"/>
    <w:rsid w:val="00ED4968"/>
    <w:rsid w:val="00ED4A63"/>
    <w:rsid w:val="00ED4CFF"/>
    <w:rsid w:val="00ED4E37"/>
    <w:rsid w:val="00ED519A"/>
    <w:rsid w:val="00ED5427"/>
    <w:rsid w:val="00ED546F"/>
    <w:rsid w:val="00ED5DBA"/>
    <w:rsid w:val="00ED5E2B"/>
    <w:rsid w:val="00ED612D"/>
    <w:rsid w:val="00ED616A"/>
    <w:rsid w:val="00ED6763"/>
    <w:rsid w:val="00ED6905"/>
    <w:rsid w:val="00ED6972"/>
    <w:rsid w:val="00ED6F39"/>
    <w:rsid w:val="00ED7086"/>
    <w:rsid w:val="00ED79F2"/>
    <w:rsid w:val="00ED7C70"/>
    <w:rsid w:val="00ED7E02"/>
    <w:rsid w:val="00ED7EAE"/>
    <w:rsid w:val="00ED7F88"/>
    <w:rsid w:val="00ED7FD8"/>
    <w:rsid w:val="00EE01B8"/>
    <w:rsid w:val="00EE0440"/>
    <w:rsid w:val="00EE0673"/>
    <w:rsid w:val="00EE09AE"/>
    <w:rsid w:val="00EE0A77"/>
    <w:rsid w:val="00EE0B10"/>
    <w:rsid w:val="00EE1073"/>
    <w:rsid w:val="00EE14B7"/>
    <w:rsid w:val="00EE1A4C"/>
    <w:rsid w:val="00EE1BD9"/>
    <w:rsid w:val="00EE1CE3"/>
    <w:rsid w:val="00EE1D4C"/>
    <w:rsid w:val="00EE2130"/>
    <w:rsid w:val="00EE228D"/>
    <w:rsid w:val="00EE25B5"/>
    <w:rsid w:val="00EE2CC8"/>
    <w:rsid w:val="00EE2E78"/>
    <w:rsid w:val="00EE2E79"/>
    <w:rsid w:val="00EE3438"/>
    <w:rsid w:val="00EE354C"/>
    <w:rsid w:val="00EE3669"/>
    <w:rsid w:val="00EE384C"/>
    <w:rsid w:val="00EE3A1A"/>
    <w:rsid w:val="00EE3F1C"/>
    <w:rsid w:val="00EE40EC"/>
    <w:rsid w:val="00EE4674"/>
    <w:rsid w:val="00EE494B"/>
    <w:rsid w:val="00EE4984"/>
    <w:rsid w:val="00EE4C17"/>
    <w:rsid w:val="00EE5E9D"/>
    <w:rsid w:val="00EE604B"/>
    <w:rsid w:val="00EE664D"/>
    <w:rsid w:val="00EE6882"/>
    <w:rsid w:val="00EE68F1"/>
    <w:rsid w:val="00EE6B9F"/>
    <w:rsid w:val="00EE6C72"/>
    <w:rsid w:val="00EE7077"/>
    <w:rsid w:val="00EE752A"/>
    <w:rsid w:val="00EE775F"/>
    <w:rsid w:val="00EE7AC6"/>
    <w:rsid w:val="00EE7D17"/>
    <w:rsid w:val="00EE7F85"/>
    <w:rsid w:val="00EF010A"/>
    <w:rsid w:val="00EF02E2"/>
    <w:rsid w:val="00EF062F"/>
    <w:rsid w:val="00EF08A8"/>
    <w:rsid w:val="00EF0914"/>
    <w:rsid w:val="00EF0BE9"/>
    <w:rsid w:val="00EF0BFC"/>
    <w:rsid w:val="00EF0C33"/>
    <w:rsid w:val="00EF0DDA"/>
    <w:rsid w:val="00EF1076"/>
    <w:rsid w:val="00EF1893"/>
    <w:rsid w:val="00EF1938"/>
    <w:rsid w:val="00EF1AA8"/>
    <w:rsid w:val="00EF1C3F"/>
    <w:rsid w:val="00EF1CFC"/>
    <w:rsid w:val="00EF222F"/>
    <w:rsid w:val="00EF240E"/>
    <w:rsid w:val="00EF27FD"/>
    <w:rsid w:val="00EF28D1"/>
    <w:rsid w:val="00EF2FA3"/>
    <w:rsid w:val="00EF3267"/>
    <w:rsid w:val="00EF3798"/>
    <w:rsid w:val="00EF3AED"/>
    <w:rsid w:val="00EF3FE8"/>
    <w:rsid w:val="00EF453D"/>
    <w:rsid w:val="00EF4541"/>
    <w:rsid w:val="00EF46F2"/>
    <w:rsid w:val="00EF470F"/>
    <w:rsid w:val="00EF471F"/>
    <w:rsid w:val="00EF47EA"/>
    <w:rsid w:val="00EF48E5"/>
    <w:rsid w:val="00EF4A31"/>
    <w:rsid w:val="00EF50B4"/>
    <w:rsid w:val="00EF52AD"/>
    <w:rsid w:val="00EF5822"/>
    <w:rsid w:val="00EF5954"/>
    <w:rsid w:val="00EF5A04"/>
    <w:rsid w:val="00EF5A35"/>
    <w:rsid w:val="00EF5DB6"/>
    <w:rsid w:val="00EF5F0A"/>
    <w:rsid w:val="00EF6045"/>
    <w:rsid w:val="00EF62E7"/>
    <w:rsid w:val="00EF6529"/>
    <w:rsid w:val="00EF667A"/>
    <w:rsid w:val="00EF67AC"/>
    <w:rsid w:val="00EF680F"/>
    <w:rsid w:val="00EF6917"/>
    <w:rsid w:val="00EF7137"/>
    <w:rsid w:val="00EF7202"/>
    <w:rsid w:val="00EF7439"/>
    <w:rsid w:val="00EF74B7"/>
    <w:rsid w:val="00EF76B3"/>
    <w:rsid w:val="00EF76C5"/>
    <w:rsid w:val="00EF7A6A"/>
    <w:rsid w:val="00EF7DF8"/>
    <w:rsid w:val="00F003BA"/>
    <w:rsid w:val="00F00459"/>
    <w:rsid w:val="00F008F2"/>
    <w:rsid w:val="00F00B72"/>
    <w:rsid w:val="00F00D68"/>
    <w:rsid w:val="00F00D78"/>
    <w:rsid w:val="00F00D82"/>
    <w:rsid w:val="00F016AE"/>
    <w:rsid w:val="00F017CE"/>
    <w:rsid w:val="00F018BA"/>
    <w:rsid w:val="00F01A27"/>
    <w:rsid w:val="00F02087"/>
    <w:rsid w:val="00F02197"/>
    <w:rsid w:val="00F023CF"/>
    <w:rsid w:val="00F0245A"/>
    <w:rsid w:val="00F024B5"/>
    <w:rsid w:val="00F027A0"/>
    <w:rsid w:val="00F02E28"/>
    <w:rsid w:val="00F032DB"/>
    <w:rsid w:val="00F0333A"/>
    <w:rsid w:val="00F03473"/>
    <w:rsid w:val="00F034D2"/>
    <w:rsid w:val="00F0362E"/>
    <w:rsid w:val="00F03860"/>
    <w:rsid w:val="00F03DD3"/>
    <w:rsid w:val="00F03F47"/>
    <w:rsid w:val="00F041B8"/>
    <w:rsid w:val="00F0465D"/>
    <w:rsid w:val="00F047E9"/>
    <w:rsid w:val="00F0491E"/>
    <w:rsid w:val="00F04CE9"/>
    <w:rsid w:val="00F04D74"/>
    <w:rsid w:val="00F056C0"/>
    <w:rsid w:val="00F058DD"/>
    <w:rsid w:val="00F05906"/>
    <w:rsid w:val="00F05996"/>
    <w:rsid w:val="00F05A62"/>
    <w:rsid w:val="00F05D06"/>
    <w:rsid w:val="00F05DE6"/>
    <w:rsid w:val="00F05FDB"/>
    <w:rsid w:val="00F06124"/>
    <w:rsid w:val="00F064D4"/>
    <w:rsid w:val="00F06B73"/>
    <w:rsid w:val="00F06D44"/>
    <w:rsid w:val="00F06E6D"/>
    <w:rsid w:val="00F06EE8"/>
    <w:rsid w:val="00F070AF"/>
    <w:rsid w:val="00F07252"/>
    <w:rsid w:val="00F0737E"/>
    <w:rsid w:val="00F07392"/>
    <w:rsid w:val="00F0771C"/>
    <w:rsid w:val="00F0775D"/>
    <w:rsid w:val="00F077C7"/>
    <w:rsid w:val="00F07A62"/>
    <w:rsid w:val="00F07B8A"/>
    <w:rsid w:val="00F07EF4"/>
    <w:rsid w:val="00F101BD"/>
    <w:rsid w:val="00F101E5"/>
    <w:rsid w:val="00F103A5"/>
    <w:rsid w:val="00F10488"/>
    <w:rsid w:val="00F1067F"/>
    <w:rsid w:val="00F1096E"/>
    <w:rsid w:val="00F10EBC"/>
    <w:rsid w:val="00F110BE"/>
    <w:rsid w:val="00F113D2"/>
    <w:rsid w:val="00F1168C"/>
    <w:rsid w:val="00F11847"/>
    <w:rsid w:val="00F11C42"/>
    <w:rsid w:val="00F11CAF"/>
    <w:rsid w:val="00F11E11"/>
    <w:rsid w:val="00F12201"/>
    <w:rsid w:val="00F12312"/>
    <w:rsid w:val="00F12570"/>
    <w:rsid w:val="00F1271E"/>
    <w:rsid w:val="00F12CF5"/>
    <w:rsid w:val="00F1397D"/>
    <w:rsid w:val="00F13A98"/>
    <w:rsid w:val="00F13DBA"/>
    <w:rsid w:val="00F13E7E"/>
    <w:rsid w:val="00F13F04"/>
    <w:rsid w:val="00F140EB"/>
    <w:rsid w:val="00F1464D"/>
    <w:rsid w:val="00F14B3A"/>
    <w:rsid w:val="00F14C27"/>
    <w:rsid w:val="00F14FBB"/>
    <w:rsid w:val="00F1519E"/>
    <w:rsid w:val="00F15634"/>
    <w:rsid w:val="00F156AC"/>
    <w:rsid w:val="00F15735"/>
    <w:rsid w:val="00F15B09"/>
    <w:rsid w:val="00F15DE1"/>
    <w:rsid w:val="00F15EC7"/>
    <w:rsid w:val="00F15EE8"/>
    <w:rsid w:val="00F15FAD"/>
    <w:rsid w:val="00F1609E"/>
    <w:rsid w:val="00F160FB"/>
    <w:rsid w:val="00F17827"/>
    <w:rsid w:val="00F1790C"/>
    <w:rsid w:val="00F20149"/>
    <w:rsid w:val="00F2031C"/>
    <w:rsid w:val="00F2071A"/>
    <w:rsid w:val="00F20C8F"/>
    <w:rsid w:val="00F20F2E"/>
    <w:rsid w:val="00F20F99"/>
    <w:rsid w:val="00F210D6"/>
    <w:rsid w:val="00F213FB"/>
    <w:rsid w:val="00F2153F"/>
    <w:rsid w:val="00F21984"/>
    <w:rsid w:val="00F21C0F"/>
    <w:rsid w:val="00F21DA2"/>
    <w:rsid w:val="00F21ED3"/>
    <w:rsid w:val="00F2254E"/>
    <w:rsid w:val="00F228C3"/>
    <w:rsid w:val="00F229AB"/>
    <w:rsid w:val="00F22AAA"/>
    <w:rsid w:val="00F22AF1"/>
    <w:rsid w:val="00F22C48"/>
    <w:rsid w:val="00F22E08"/>
    <w:rsid w:val="00F22E1C"/>
    <w:rsid w:val="00F23063"/>
    <w:rsid w:val="00F23484"/>
    <w:rsid w:val="00F23838"/>
    <w:rsid w:val="00F238A9"/>
    <w:rsid w:val="00F23A7B"/>
    <w:rsid w:val="00F23E40"/>
    <w:rsid w:val="00F2401B"/>
    <w:rsid w:val="00F24160"/>
    <w:rsid w:val="00F24165"/>
    <w:rsid w:val="00F241C7"/>
    <w:rsid w:val="00F245EE"/>
    <w:rsid w:val="00F24A94"/>
    <w:rsid w:val="00F24EE4"/>
    <w:rsid w:val="00F2519E"/>
    <w:rsid w:val="00F252B1"/>
    <w:rsid w:val="00F2552F"/>
    <w:rsid w:val="00F255C6"/>
    <w:rsid w:val="00F2573C"/>
    <w:rsid w:val="00F25848"/>
    <w:rsid w:val="00F25D8B"/>
    <w:rsid w:val="00F25DCE"/>
    <w:rsid w:val="00F25F2B"/>
    <w:rsid w:val="00F261F7"/>
    <w:rsid w:val="00F262B5"/>
    <w:rsid w:val="00F2685B"/>
    <w:rsid w:val="00F26961"/>
    <w:rsid w:val="00F26B8F"/>
    <w:rsid w:val="00F26C8C"/>
    <w:rsid w:val="00F26EB5"/>
    <w:rsid w:val="00F26F33"/>
    <w:rsid w:val="00F274F7"/>
    <w:rsid w:val="00F276FC"/>
    <w:rsid w:val="00F278E8"/>
    <w:rsid w:val="00F30014"/>
    <w:rsid w:val="00F3072E"/>
    <w:rsid w:val="00F30796"/>
    <w:rsid w:val="00F3090D"/>
    <w:rsid w:val="00F30DED"/>
    <w:rsid w:val="00F31284"/>
    <w:rsid w:val="00F317CE"/>
    <w:rsid w:val="00F3181B"/>
    <w:rsid w:val="00F31C36"/>
    <w:rsid w:val="00F31C9B"/>
    <w:rsid w:val="00F31EF8"/>
    <w:rsid w:val="00F31F90"/>
    <w:rsid w:val="00F32302"/>
    <w:rsid w:val="00F327A1"/>
    <w:rsid w:val="00F328CE"/>
    <w:rsid w:val="00F32959"/>
    <w:rsid w:val="00F32A6D"/>
    <w:rsid w:val="00F32CDE"/>
    <w:rsid w:val="00F333AD"/>
    <w:rsid w:val="00F336FF"/>
    <w:rsid w:val="00F339E2"/>
    <w:rsid w:val="00F33A7E"/>
    <w:rsid w:val="00F34039"/>
    <w:rsid w:val="00F34155"/>
    <w:rsid w:val="00F343FF"/>
    <w:rsid w:val="00F3450F"/>
    <w:rsid w:val="00F345F8"/>
    <w:rsid w:val="00F34A46"/>
    <w:rsid w:val="00F34CCA"/>
    <w:rsid w:val="00F34E33"/>
    <w:rsid w:val="00F35034"/>
    <w:rsid w:val="00F35143"/>
    <w:rsid w:val="00F351B6"/>
    <w:rsid w:val="00F351C3"/>
    <w:rsid w:val="00F351D5"/>
    <w:rsid w:val="00F353C7"/>
    <w:rsid w:val="00F3544A"/>
    <w:rsid w:val="00F35591"/>
    <w:rsid w:val="00F358CA"/>
    <w:rsid w:val="00F35D91"/>
    <w:rsid w:val="00F36059"/>
    <w:rsid w:val="00F3622B"/>
    <w:rsid w:val="00F362C5"/>
    <w:rsid w:val="00F3680A"/>
    <w:rsid w:val="00F37582"/>
    <w:rsid w:val="00F375AF"/>
    <w:rsid w:val="00F377F0"/>
    <w:rsid w:val="00F37C54"/>
    <w:rsid w:val="00F37CD9"/>
    <w:rsid w:val="00F37E12"/>
    <w:rsid w:val="00F37F45"/>
    <w:rsid w:val="00F400FF"/>
    <w:rsid w:val="00F40168"/>
    <w:rsid w:val="00F405A3"/>
    <w:rsid w:val="00F405D3"/>
    <w:rsid w:val="00F4102A"/>
    <w:rsid w:val="00F41338"/>
    <w:rsid w:val="00F413F6"/>
    <w:rsid w:val="00F41507"/>
    <w:rsid w:val="00F41623"/>
    <w:rsid w:val="00F4190A"/>
    <w:rsid w:val="00F41A2E"/>
    <w:rsid w:val="00F41A9A"/>
    <w:rsid w:val="00F41C3E"/>
    <w:rsid w:val="00F42423"/>
    <w:rsid w:val="00F42475"/>
    <w:rsid w:val="00F42631"/>
    <w:rsid w:val="00F4274B"/>
    <w:rsid w:val="00F427F0"/>
    <w:rsid w:val="00F42836"/>
    <w:rsid w:val="00F42A6A"/>
    <w:rsid w:val="00F42A81"/>
    <w:rsid w:val="00F42E28"/>
    <w:rsid w:val="00F432B7"/>
    <w:rsid w:val="00F43317"/>
    <w:rsid w:val="00F43472"/>
    <w:rsid w:val="00F434C6"/>
    <w:rsid w:val="00F43582"/>
    <w:rsid w:val="00F4383D"/>
    <w:rsid w:val="00F43AE7"/>
    <w:rsid w:val="00F443A0"/>
    <w:rsid w:val="00F443DE"/>
    <w:rsid w:val="00F4448D"/>
    <w:rsid w:val="00F4476D"/>
    <w:rsid w:val="00F44798"/>
    <w:rsid w:val="00F44913"/>
    <w:rsid w:val="00F44DEF"/>
    <w:rsid w:val="00F4504A"/>
    <w:rsid w:val="00F45257"/>
    <w:rsid w:val="00F454EB"/>
    <w:rsid w:val="00F455D3"/>
    <w:rsid w:val="00F45618"/>
    <w:rsid w:val="00F457DB"/>
    <w:rsid w:val="00F45868"/>
    <w:rsid w:val="00F45877"/>
    <w:rsid w:val="00F45B1D"/>
    <w:rsid w:val="00F45B38"/>
    <w:rsid w:val="00F45C07"/>
    <w:rsid w:val="00F45D30"/>
    <w:rsid w:val="00F45D55"/>
    <w:rsid w:val="00F46192"/>
    <w:rsid w:val="00F463E5"/>
    <w:rsid w:val="00F464B7"/>
    <w:rsid w:val="00F4709D"/>
    <w:rsid w:val="00F47558"/>
    <w:rsid w:val="00F4763B"/>
    <w:rsid w:val="00F477BD"/>
    <w:rsid w:val="00F47827"/>
    <w:rsid w:val="00F47AA4"/>
    <w:rsid w:val="00F47E07"/>
    <w:rsid w:val="00F500FB"/>
    <w:rsid w:val="00F50223"/>
    <w:rsid w:val="00F503A0"/>
    <w:rsid w:val="00F5054D"/>
    <w:rsid w:val="00F508E9"/>
    <w:rsid w:val="00F50CC8"/>
    <w:rsid w:val="00F512E4"/>
    <w:rsid w:val="00F51354"/>
    <w:rsid w:val="00F513F4"/>
    <w:rsid w:val="00F5197C"/>
    <w:rsid w:val="00F51BE6"/>
    <w:rsid w:val="00F51E3A"/>
    <w:rsid w:val="00F5202E"/>
    <w:rsid w:val="00F5203E"/>
    <w:rsid w:val="00F520A1"/>
    <w:rsid w:val="00F522FD"/>
    <w:rsid w:val="00F52477"/>
    <w:rsid w:val="00F52699"/>
    <w:rsid w:val="00F52AB5"/>
    <w:rsid w:val="00F52B3E"/>
    <w:rsid w:val="00F52D4A"/>
    <w:rsid w:val="00F52F24"/>
    <w:rsid w:val="00F52F49"/>
    <w:rsid w:val="00F53153"/>
    <w:rsid w:val="00F53241"/>
    <w:rsid w:val="00F535A4"/>
    <w:rsid w:val="00F53B01"/>
    <w:rsid w:val="00F53E7E"/>
    <w:rsid w:val="00F5406E"/>
    <w:rsid w:val="00F54306"/>
    <w:rsid w:val="00F54379"/>
    <w:rsid w:val="00F5449A"/>
    <w:rsid w:val="00F5479E"/>
    <w:rsid w:val="00F54812"/>
    <w:rsid w:val="00F54A84"/>
    <w:rsid w:val="00F54C73"/>
    <w:rsid w:val="00F54D3B"/>
    <w:rsid w:val="00F54F6E"/>
    <w:rsid w:val="00F55137"/>
    <w:rsid w:val="00F55246"/>
    <w:rsid w:val="00F55539"/>
    <w:rsid w:val="00F55554"/>
    <w:rsid w:val="00F55647"/>
    <w:rsid w:val="00F5582F"/>
    <w:rsid w:val="00F55C75"/>
    <w:rsid w:val="00F55D3D"/>
    <w:rsid w:val="00F564BD"/>
    <w:rsid w:val="00F564D9"/>
    <w:rsid w:val="00F565C0"/>
    <w:rsid w:val="00F568D9"/>
    <w:rsid w:val="00F56902"/>
    <w:rsid w:val="00F56AA5"/>
    <w:rsid w:val="00F56BD6"/>
    <w:rsid w:val="00F56BDE"/>
    <w:rsid w:val="00F56E05"/>
    <w:rsid w:val="00F56F22"/>
    <w:rsid w:val="00F57241"/>
    <w:rsid w:val="00F573E3"/>
    <w:rsid w:val="00F575E6"/>
    <w:rsid w:val="00F57823"/>
    <w:rsid w:val="00F578EC"/>
    <w:rsid w:val="00F579A2"/>
    <w:rsid w:val="00F57A64"/>
    <w:rsid w:val="00F57D25"/>
    <w:rsid w:val="00F57F6F"/>
    <w:rsid w:val="00F608BB"/>
    <w:rsid w:val="00F608F8"/>
    <w:rsid w:val="00F60B81"/>
    <w:rsid w:val="00F60F99"/>
    <w:rsid w:val="00F60FA4"/>
    <w:rsid w:val="00F61658"/>
    <w:rsid w:val="00F61AEB"/>
    <w:rsid w:val="00F61D49"/>
    <w:rsid w:val="00F6258A"/>
    <w:rsid w:val="00F62F98"/>
    <w:rsid w:val="00F62FDD"/>
    <w:rsid w:val="00F63485"/>
    <w:rsid w:val="00F63F4C"/>
    <w:rsid w:val="00F63FE3"/>
    <w:rsid w:val="00F64639"/>
    <w:rsid w:val="00F64753"/>
    <w:rsid w:val="00F64FA7"/>
    <w:rsid w:val="00F6531B"/>
    <w:rsid w:val="00F65409"/>
    <w:rsid w:val="00F65541"/>
    <w:rsid w:val="00F656CA"/>
    <w:rsid w:val="00F65720"/>
    <w:rsid w:val="00F65737"/>
    <w:rsid w:val="00F657B9"/>
    <w:rsid w:val="00F657D6"/>
    <w:rsid w:val="00F658A9"/>
    <w:rsid w:val="00F659AB"/>
    <w:rsid w:val="00F65A50"/>
    <w:rsid w:val="00F65C6E"/>
    <w:rsid w:val="00F65FF3"/>
    <w:rsid w:val="00F66261"/>
    <w:rsid w:val="00F66B4A"/>
    <w:rsid w:val="00F6779C"/>
    <w:rsid w:val="00F67856"/>
    <w:rsid w:val="00F70155"/>
    <w:rsid w:val="00F70348"/>
    <w:rsid w:val="00F70B6B"/>
    <w:rsid w:val="00F70BCB"/>
    <w:rsid w:val="00F71022"/>
    <w:rsid w:val="00F712FB"/>
    <w:rsid w:val="00F7130F"/>
    <w:rsid w:val="00F714B7"/>
    <w:rsid w:val="00F7180A"/>
    <w:rsid w:val="00F71904"/>
    <w:rsid w:val="00F7191C"/>
    <w:rsid w:val="00F71DD1"/>
    <w:rsid w:val="00F71F72"/>
    <w:rsid w:val="00F720C9"/>
    <w:rsid w:val="00F72DAC"/>
    <w:rsid w:val="00F72DF2"/>
    <w:rsid w:val="00F72E22"/>
    <w:rsid w:val="00F73088"/>
    <w:rsid w:val="00F73329"/>
    <w:rsid w:val="00F73410"/>
    <w:rsid w:val="00F73482"/>
    <w:rsid w:val="00F73782"/>
    <w:rsid w:val="00F7388A"/>
    <w:rsid w:val="00F73DA1"/>
    <w:rsid w:val="00F73DAC"/>
    <w:rsid w:val="00F73EB5"/>
    <w:rsid w:val="00F74198"/>
    <w:rsid w:val="00F74629"/>
    <w:rsid w:val="00F74BEA"/>
    <w:rsid w:val="00F74EB5"/>
    <w:rsid w:val="00F7507C"/>
    <w:rsid w:val="00F75138"/>
    <w:rsid w:val="00F7529E"/>
    <w:rsid w:val="00F75465"/>
    <w:rsid w:val="00F7558B"/>
    <w:rsid w:val="00F75BBE"/>
    <w:rsid w:val="00F75ED4"/>
    <w:rsid w:val="00F75F8D"/>
    <w:rsid w:val="00F760BE"/>
    <w:rsid w:val="00F76136"/>
    <w:rsid w:val="00F761DE"/>
    <w:rsid w:val="00F76838"/>
    <w:rsid w:val="00F76ACE"/>
    <w:rsid w:val="00F76D16"/>
    <w:rsid w:val="00F76E74"/>
    <w:rsid w:val="00F7779F"/>
    <w:rsid w:val="00F77B00"/>
    <w:rsid w:val="00F77ED3"/>
    <w:rsid w:val="00F77F5E"/>
    <w:rsid w:val="00F802C8"/>
    <w:rsid w:val="00F8041A"/>
    <w:rsid w:val="00F809D3"/>
    <w:rsid w:val="00F80A4C"/>
    <w:rsid w:val="00F80D63"/>
    <w:rsid w:val="00F80FA3"/>
    <w:rsid w:val="00F814B7"/>
    <w:rsid w:val="00F8153B"/>
    <w:rsid w:val="00F815EC"/>
    <w:rsid w:val="00F816B4"/>
    <w:rsid w:val="00F816C6"/>
    <w:rsid w:val="00F81747"/>
    <w:rsid w:val="00F81B2E"/>
    <w:rsid w:val="00F81BB2"/>
    <w:rsid w:val="00F81FBA"/>
    <w:rsid w:val="00F82199"/>
    <w:rsid w:val="00F82526"/>
    <w:rsid w:val="00F82773"/>
    <w:rsid w:val="00F82A6E"/>
    <w:rsid w:val="00F82C6C"/>
    <w:rsid w:val="00F82F74"/>
    <w:rsid w:val="00F83230"/>
    <w:rsid w:val="00F83392"/>
    <w:rsid w:val="00F83FE2"/>
    <w:rsid w:val="00F84137"/>
    <w:rsid w:val="00F84171"/>
    <w:rsid w:val="00F849C3"/>
    <w:rsid w:val="00F849EF"/>
    <w:rsid w:val="00F84A31"/>
    <w:rsid w:val="00F84DD5"/>
    <w:rsid w:val="00F850DB"/>
    <w:rsid w:val="00F85309"/>
    <w:rsid w:val="00F855EF"/>
    <w:rsid w:val="00F85771"/>
    <w:rsid w:val="00F8586B"/>
    <w:rsid w:val="00F85893"/>
    <w:rsid w:val="00F85BC8"/>
    <w:rsid w:val="00F85D34"/>
    <w:rsid w:val="00F85D87"/>
    <w:rsid w:val="00F85F32"/>
    <w:rsid w:val="00F862D4"/>
    <w:rsid w:val="00F864B2"/>
    <w:rsid w:val="00F86517"/>
    <w:rsid w:val="00F86611"/>
    <w:rsid w:val="00F8692F"/>
    <w:rsid w:val="00F86A6D"/>
    <w:rsid w:val="00F86BF8"/>
    <w:rsid w:val="00F86E49"/>
    <w:rsid w:val="00F86F8E"/>
    <w:rsid w:val="00F8722C"/>
    <w:rsid w:val="00F873F0"/>
    <w:rsid w:val="00F877B6"/>
    <w:rsid w:val="00F87D56"/>
    <w:rsid w:val="00F87F8B"/>
    <w:rsid w:val="00F90233"/>
    <w:rsid w:val="00F9041E"/>
    <w:rsid w:val="00F90881"/>
    <w:rsid w:val="00F9095A"/>
    <w:rsid w:val="00F9098D"/>
    <w:rsid w:val="00F90B37"/>
    <w:rsid w:val="00F91276"/>
    <w:rsid w:val="00F91345"/>
    <w:rsid w:val="00F913AD"/>
    <w:rsid w:val="00F913E3"/>
    <w:rsid w:val="00F9154D"/>
    <w:rsid w:val="00F9155C"/>
    <w:rsid w:val="00F918BA"/>
    <w:rsid w:val="00F91984"/>
    <w:rsid w:val="00F919C1"/>
    <w:rsid w:val="00F91A46"/>
    <w:rsid w:val="00F922D0"/>
    <w:rsid w:val="00F9241E"/>
    <w:rsid w:val="00F92585"/>
    <w:rsid w:val="00F9264F"/>
    <w:rsid w:val="00F92B85"/>
    <w:rsid w:val="00F92D25"/>
    <w:rsid w:val="00F93208"/>
    <w:rsid w:val="00F932AE"/>
    <w:rsid w:val="00F9343C"/>
    <w:rsid w:val="00F936F8"/>
    <w:rsid w:val="00F93862"/>
    <w:rsid w:val="00F93A4F"/>
    <w:rsid w:val="00F94039"/>
    <w:rsid w:val="00F9416E"/>
    <w:rsid w:val="00F941CC"/>
    <w:rsid w:val="00F94BB0"/>
    <w:rsid w:val="00F94F45"/>
    <w:rsid w:val="00F95182"/>
    <w:rsid w:val="00F953C8"/>
    <w:rsid w:val="00F95462"/>
    <w:rsid w:val="00F95515"/>
    <w:rsid w:val="00F95DA1"/>
    <w:rsid w:val="00F962F3"/>
    <w:rsid w:val="00F96480"/>
    <w:rsid w:val="00F96489"/>
    <w:rsid w:val="00F9674F"/>
    <w:rsid w:val="00F96790"/>
    <w:rsid w:val="00F9687D"/>
    <w:rsid w:val="00F96AB9"/>
    <w:rsid w:val="00F96CE8"/>
    <w:rsid w:val="00F96D71"/>
    <w:rsid w:val="00F96E5A"/>
    <w:rsid w:val="00F96F4F"/>
    <w:rsid w:val="00F96FE5"/>
    <w:rsid w:val="00F971AA"/>
    <w:rsid w:val="00F97459"/>
    <w:rsid w:val="00F97461"/>
    <w:rsid w:val="00F974AC"/>
    <w:rsid w:val="00F9762E"/>
    <w:rsid w:val="00F97871"/>
    <w:rsid w:val="00F978E9"/>
    <w:rsid w:val="00F97A7C"/>
    <w:rsid w:val="00F97BFE"/>
    <w:rsid w:val="00F97CD6"/>
    <w:rsid w:val="00F97FC0"/>
    <w:rsid w:val="00FA0E55"/>
    <w:rsid w:val="00FA1459"/>
    <w:rsid w:val="00FA1851"/>
    <w:rsid w:val="00FA19FD"/>
    <w:rsid w:val="00FA1BC2"/>
    <w:rsid w:val="00FA1BEB"/>
    <w:rsid w:val="00FA1C8B"/>
    <w:rsid w:val="00FA1E16"/>
    <w:rsid w:val="00FA2186"/>
    <w:rsid w:val="00FA24E1"/>
    <w:rsid w:val="00FA2530"/>
    <w:rsid w:val="00FA25EC"/>
    <w:rsid w:val="00FA2C2D"/>
    <w:rsid w:val="00FA2C73"/>
    <w:rsid w:val="00FA2E86"/>
    <w:rsid w:val="00FA2EB2"/>
    <w:rsid w:val="00FA2F37"/>
    <w:rsid w:val="00FA3063"/>
    <w:rsid w:val="00FA309E"/>
    <w:rsid w:val="00FA31D8"/>
    <w:rsid w:val="00FA3475"/>
    <w:rsid w:val="00FA3D1C"/>
    <w:rsid w:val="00FA3EF9"/>
    <w:rsid w:val="00FA45DE"/>
    <w:rsid w:val="00FA4667"/>
    <w:rsid w:val="00FA480A"/>
    <w:rsid w:val="00FA4F1F"/>
    <w:rsid w:val="00FA5096"/>
    <w:rsid w:val="00FA5319"/>
    <w:rsid w:val="00FA5334"/>
    <w:rsid w:val="00FA588B"/>
    <w:rsid w:val="00FA5D22"/>
    <w:rsid w:val="00FA5D26"/>
    <w:rsid w:val="00FA5E3B"/>
    <w:rsid w:val="00FA5F3A"/>
    <w:rsid w:val="00FA639B"/>
    <w:rsid w:val="00FA6834"/>
    <w:rsid w:val="00FA6B65"/>
    <w:rsid w:val="00FA6C16"/>
    <w:rsid w:val="00FA6D60"/>
    <w:rsid w:val="00FA6E08"/>
    <w:rsid w:val="00FA7282"/>
    <w:rsid w:val="00FA77AA"/>
    <w:rsid w:val="00FA7FBA"/>
    <w:rsid w:val="00FB02E4"/>
    <w:rsid w:val="00FB05EF"/>
    <w:rsid w:val="00FB0B5A"/>
    <w:rsid w:val="00FB0C5A"/>
    <w:rsid w:val="00FB0CBD"/>
    <w:rsid w:val="00FB0D7D"/>
    <w:rsid w:val="00FB11CD"/>
    <w:rsid w:val="00FB13F5"/>
    <w:rsid w:val="00FB152E"/>
    <w:rsid w:val="00FB18B3"/>
    <w:rsid w:val="00FB1ABE"/>
    <w:rsid w:val="00FB1DA4"/>
    <w:rsid w:val="00FB1F00"/>
    <w:rsid w:val="00FB1F56"/>
    <w:rsid w:val="00FB2068"/>
    <w:rsid w:val="00FB26A7"/>
    <w:rsid w:val="00FB2A23"/>
    <w:rsid w:val="00FB2C91"/>
    <w:rsid w:val="00FB2CE3"/>
    <w:rsid w:val="00FB39DD"/>
    <w:rsid w:val="00FB3F21"/>
    <w:rsid w:val="00FB4059"/>
    <w:rsid w:val="00FB46DA"/>
    <w:rsid w:val="00FB4739"/>
    <w:rsid w:val="00FB485A"/>
    <w:rsid w:val="00FB5457"/>
    <w:rsid w:val="00FB5A6A"/>
    <w:rsid w:val="00FB5EEB"/>
    <w:rsid w:val="00FB5F60"/>
    <w:rsid w:val="00FB61DA"/>
    <w:rsid w:val="00FB62C5"/>
    <w:rsid w:val="00FB699F"/>
    <w:rsid w:val="00FB69D8"/>
    <w:rsid w:val="00FB76A6"/>
    <w:rsid w:val="00FB7EA7"/>
    <w:rsid w:val="00FB7ED9"/>
    <w:rsid w:val="00FB7FAC"/>
    <w:rsid w:val="00FC006A"/>
    <w:rsid w:val="00FC020E"/>
    <w:rsid w:val="00FC050D"/>
    <w:rsid w:val="00FC0A4C"/>
    <w:rsid w:val="00FC0A75"/>
    <w:rsid w:val="00FC0BE0"/>
    <w:rsid w:val="00FC10AD"/>
    <w:rsid w:val="00FC13A0"/>
    <w:rsid w:val="00FC1892"/>
    <w:rsid w:val="00FC1B11"/>
    <w:rsid w:val="00FC1EFE"/>
    <w:rsid w:val="00FC1FFC"/>
    <w:rsid w:val="00FC20D9"/>
    <w:rsid w:val="00FC26EA"/>
    <w:rsid w:val="00FC2885"/>
    <w:rsid w:val="00FC2999"/>
    <w:rsid w:val="00FC2A81"/>
    <w:rsid w:val="00FC2F52"/>
    <w:rsid w:val="00FC31C7"/>
    <w:rsid w:val="00FC3347"/>
    <w:rsid w:val="00FC34DF"/>
    <w:rsid w:val="00FC34F7"/>
    <w:rsid w:val="00FC35D5"/>
    <w:rsid w:val="00FC36CB"/>
    <w:rsid w:val="00FC3868"/>
    <w:rsid w:val="00FC38AA"/>
    <w:rsid w:val="00FC395E"/>
    <w:rsid w:val="00FC3D06"/>
    <w:rsid w:val="00FC3D3D"/>
    <w:rsid w:val="00FC3D4D"/>
    <w:rsid w:val="00FC3EF9"/>
    <w:rsid w:val="00FC4132"/>
    <w:rsid w:val="00FC491A"/>
    <w:rsid w:val="00FC4E3B"/>
    <w:rsid w:val="00FC4E61"/>
    <w:rsid w:val="00FC4FCB"/>
    <w:rsid w:val="00FC50E2"/>
    <w:rsid w:val="00FC51B0"/>
    <w:rsid w:val="00FC51F6"/>
    <w:rsid w:val="00FC5356"/>
    <w:rsid w:val="00FC565E"/>
    <w:rsid w:val="00FC5672"/>
    <w:rsid w:val="00FC5B7E"/>
    <w:rsid w:val="00FC5CC0"/>
    <w:rsid w:val="00FC5DDA"/>
    <w:rsid w:val="00FC5ED9"/>
    <w:rsid w:val="00FC6053"/>
    <w:rsid w:val="00FC62BC"/>
    <w:rsid w:val="00FC6619"/>
    <w:rsid w:val="00FC68B5"/>
    <w:rsid w:val="00FC6A00"/>
    <w:rsid w:val="00FC6B2F"/>
    <w:rsid w:val="00FC6DCF"/>
    <w:rsid w:val="00FC6DFD"/>
    <w:rsid w:val="00FC6E06"/>
    <w:rsid w:val="00FC71C8"/>
    <w:rsid w:val="00FC7464"/>
    <w:rsid w:val="00FC74F9"/>
    <w:rsid w:val="00FC753E"/>
    <w:rsid w:val="00FC78E3"/>
    <w:rsid w:val="00FC7B3D"/>
    <w:rsid w:val="00FD0350"/>
    <w:rsid w:val="00FD06C6"/>
    <w:rsid w:val="00FD0713"/>
    <w:rsid w:val="00FD0714"/>
    <w:rsid w:val="00FD0726"/>
    <w:rsid w:val="00FD087A"/>
    <w:rsid w:val="00FD0B53"/>
    <w:rsid w:val="00FD1080"/>
    <w:rsid w:val="00FD1158"/>
    <w:rsid w:val="00FD11F3"/>
    <w:rsid w:val="00FD128F"/>
    <w:rsid w:val="00FD12E3"/>
    <w:rsid w:val="00FD1569"/>
    <w:rsid w:val="00FD167A"/>
    <w:rsid w:val="00FD1A03"/>
    <w:rsid w:val="00FD1A8E"/>
    <w:rsid w:val="00FD1D08"/>
    <w:rsid w:val="00FD1D72"/>
    <w:rsid w:val="00FD1EB6"/>
    <w:rsid w:val="00FD1EBE"/>
    <w:rsid w:val="00FD22CC"/>
    <w:rsid w:val="00FD2A0B"/>
    <w:rsid w:val="00FD2B9D"/>
    <w:rsid w:val="00FD33E5"/>
    <w:rsid w:val="00FD34C0"/>
    <w:rsid w:val="00FD354F"/>
    <w:rsid w:val="00FD37A6"/>
    <w:rsid w:val="00FD38BA"/>
    <w:rsid w:val="00FD3DCF"/>
    <w:rsid w:val="00FD3F63"/>
    <w:rsid w:val="00FD41F7"/>
    <w:rsid w:val="00FD420F"/>
    <w:rsid w:val="00FD4402"/>
    <w:rsid w:val="00FD475A"/>
    <w:rsid w:val="00FD47DF"/>
    <w:rsid w:val="00FD483F"/>
    <w:rsid w:val="00FD4B11"/>
    <w:rsid w:val="00FD4E47"/>
    <w:rsid w:val="00FD4FC5"/>
    <w:rsid w:val="00FD5000"/>
    <w:rsid w:val="00FD52C3"/>
    <w:rsid w:val="00FD5526"/>
    <w:rsid w:val="00FD55C3"/>
    <w:rsid w:val="00FD55CF"/>
    <w:rsid w:val="00FD56F5"/>
    <w:rsid w:val="00FD5C12"/>
    <w:rsid w:val="00FD5E47"/>
    <w:rsid w:val="00FD60E0"/>
    <w:rsid w:val="00FD6263"/>
    <w:rsid w:val="00FD631C"/>
    <w:rsid w:val="00FD6423"/>
    <w:rsid w:val="00FD6783"/>
    <w:rsid w:val="00FD6E99"/>
    <w:rsid w:val="00FD6F50"/>
    <w:rsid w:val="00FD70AC"/>
    <w:rsid w:val="00FD72B0"/>
    <w:rsid w:val="00FD78DB"/>
    <w:rsid w:val="00FD79FD"/>
    <w:rsid w:val="00FD7DA2"/>
    <w:rsid w:val="00FD7EA4"/>
    <w:rsid w:val="00FE015A"/>
    <w:rsid w:val="00FE0201"/>
    <w:rsid w:val="00FE038C"/>
    <w:rsid w:val="00FE03F1"/>
    <w:rsid w:val="00FE087E"/>
    <w:rsid w:val="00FE0C5B"/>
    <w:rsid w:val="00FE123E"/>
    <w:rsid w:val="00FE1338"/>
    <w:rsid w:val="00FE140B"/>
    <w:rsid w:val="00FE14DD"/>
    <w:rsid w:val="00FE150D"/>
    <w:rsid w:val="00FE1549"/>
    <w:rsid w:val="00FE158A"/>
    <w:rsid w:val="00FE1708"/>
    <w:rsid w:val="00FE188C"/>
    <w:rsid w:val="00FE18FB"/>
    <w:rsid w:val="00FE1933"/>
    <w:rsid w:val="00FE1943"/>
    <w:rsid w:val="00FE1E6A"/>
    <w:rsid w:val="00FE2746"/>
    <w:rsid w:val="00FE289E"/>
    <w:rsid w:val="00FE2A02"/>
    <w:rsid w:val="00FE2EDD"/>
    <w:rsid w:val="00FE3700"/>
    <w:rsid w:val="00FE3897"/>
    <w:rsid w:val="00FE3A03"/>
    <w:rsid w:val="00FE3B66"/>
    <w:rsid w:val="00FE4246"/>
    <w:rsid w:val="00FE42A1"/>
    <w:rsid w:val="00FE4A2B"/>
    <w:rsid w:val="00FE4B4A"/>
    <w:rsid w:val="00FE5051"/>
    <w:rsid w:val="00FE5288"/>
    <w:rsid w:val="00FE55C4"/>
    <w:rsid w:val="00FE5614"/>
    <w:rsid w:val="00FE5A0A"/>
    <w:rsid w:val="00FE5DF5"/>
    <w:rsid w:val="00FE5E22"/>
    <w:rsid w:val="00FE5F0B"/>
    <w:rsid w:val="00FE64E0"/>
    <w:rsid w:val="00FE663F"/>
    <w:rsid w:val="00FE6A3A"/>
    <w:rsid w:val="00FE6A4F"/>
    <w:rsid w:val="00FE7446"/>
    <w:rsid w:val="00FE7754"/>
    <w:rsid w:val="00FE79C7"/>
    <w:rsid w:val="00FE79D6"/>
    <w:rsid w:val="00FE7A31"/>
    <w:rsid w:val="00FE7B23"/>
    <w:rsid w:val="00FE7EC1"/>
    <w:rsid w:val="00FF0013"/>
    <w:rsid w:val="00FF017F"/>
    <w:rsid w:val="00FF0492"/>
    <w:rsid w:val="00FF0533"/>
    <w:rsid w:val="00FF070C"/>
    <w:rsid w:val="00FF0770"/>
    <w:rsid w:val="00FF0C43"/>
    <w:rsid w:val="00FF0C78"/>
    <w:rsid w:val="00FF0C8B"/>
    <w:rsid w:val="00FF0FFA"/>
    <w:rsid w:val="00FF1046"/>
    <w:rsid w:val="00FF11F9"/>
    <w:rsid w:val="00FF171A"/>
    <w:rsid w:val="00FF1AFD"/>
    <w:rsid w:val="00FF1BB0"/>
    <w:rsid w:val="00FF1DF5"/>
    <w:rsid w:val="00FF1E9F"/>
    <w:rsid w:val="00FF1FB5"/>
    <w:rsid w:val="00FF2058"/>
    <w:rsid w:val="00FF20BB"/>
    <w:rsid w:val="00FF2123"/>
    <w:rsid w:val="00FF2158"/>
    <w:rsid w:val="00FF240E"/>
    <w:rsid w:val="00FF2448"/>
    <w:rsid w:val="00FF26BF"/>
    <w:rsid w:val="00FF2B5B"/>
    <w:rsid w:val="00FF2F50"/>
    <w:rsid w:val="00FF37BE"/>
    <w:rsid w:val="00FF3A24"/>
    <w:rsid w:val="00FF3B7D"/>
    <w:rsid w:val="00FF3C3D"/>
    <w:rsid w:val="00FF3EC4"/>
    <w:rsid w:val="00FF4143"/>
    <w:rsid w:val="00FF485E"/>
    <w:rsid w:val="00FF4AB1"/>
    <w:rsid w:val="00FF4AC5"/>
    <w:rsid w:val="00FF4F86"/>
    <w:rsid w:val="00FF52BB"/>
    <w:rsid w:val="00FF5406"/>
    <w:rsid w:val="00FF5613"/>
    <w:rsid w:val="00FF567C"/>
    <w:rsid w:val="00FF56F4"/>
    <w:rsid w:val="00FF5702"/>
    <w:rsid w:val="00FF5764"/>
    <w:rsid w:val="00FF5C35"/>
    <w:rsid w:val="00FF5F7F"/>
    <w:rsid w:val="00FF6103"/>
    <w:rsid w:val="00FF6166"/>
    <w:rsid w:val="00FF6353"/>
    <w:rsid w:val="00FF651D"/>
    <w:rsid w:val="00FF662D"/>
    <w:rsid w:val="00FF6902"/>
    <w:rsid w:val="00FF6B42"/>
    <w:rsid w:val="00FF6C0E"/>
    <w:rsid w:val="00FF6C93"/>
    <w:rsid w:val="00FF6DDF"/>
    <w:rsid w:val="00FF6E9B"/>
    <w:rsid w:val="00FF6EF7"/>
    <w:rsid w:val="00FF7381"/>
    <w:rsid w:val="00FF7609"/>
    <w:rsid w:val="00FF76A0"/>
    <w:rsid w:val="00FF7AD8"/>
    <w:rsid w:val="27E98CC0"/>
    <w:rsid w:val="57B0894C"/>
    <w:rsid w:val="7938E6A0"/>
  </w:rsids>
  <m:mathPr>
    <m:mathFont m:val="Cambria Math"/>
    <m:brkBin m:val="before"/>
    <m:brkBinSub m:val="--"/>
    <m:smallFrac m:val="0"/>
    <m:dispDef/>
    <m:lMargin m:val="0"/>
    <m:rMargin m:val="0"/>
    <m:defJc m:val="centerGroup"/>
    <m:wrapIndent m:val="1440"/>
    <m:intLim m:val="subSup"/>
    <m:naryLim m:val="undOvr"/>
  </m:mathPr>
  <w:themeFontLang w:val="fr-M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89EF9"/>
  <w15:docId w15:val="{EA9C2927-5B01-4111-83AD-4CAFDCCA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MA" w:eastAsia="fr-M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C32"/>
    <w:rPr>
      <w:lang w:val="fr-FR"/>
    </w:rPr>
  </w:style>
  <w:style w:type="paragraph" w:styleId="Titre1">
    <w:name w:val="heading 1"/>
    <w:basedOn w:val="Titre2IFC"/>
    <w:next w:val="Normal"/>
    <w:link w:val="Titre1Car"/>
    <w:uiPriority w:val="9"/>
    <w:qFormat/>
    <w:rsid w:val="001E6F80"/>
    <w:pPr>
      <w:numPr>
        <w:ilvl w:val="0"/>
      </w:numPr>
      <w:ind w:left="284"/>
      <w:outlineLvl w:val="0"/>
    </w:pPr>
    <w:rPr>
      <w:b/>
      <w:color w:val="1F4E79" w:themeColor="accent1" w:themeShade="80"/>
      <w:sz w:val="36"/>
      <w:szCs w:val="36"/>
    </w:rPr>
  </w:style>
  <w:style w:type="paragraph" w:styleId="Titre2">
    <w:name w:val="heading 2"/>
    <w:basedOn w:val="Normal"/>
    <w:next w:val="Normal"/>
    <w:link w:val="Titre2Car"/>
    <w:uiPriority w:val="9"/>
    <w:unhideWhenUsed/>
    <w:qFormat/>
    <w:rsid w:val="00C702DF"/>
    <w:pPr>
      <w:keepNext/>
      <w:keepLines/>
      <w:numPr>
        <w:ilvl w:val="1"/>
        <w:numId w:val="21"/>
      </w:numPr>
      <w:spacing w:before="240" w:after="240"/>
      <w:jc w:val="both"/>
      <w:outlineLvl w:val="1"/>
    </w:pPr>
    <w:rPr>
      <w:rFonts w:asciiTheme="majorHAnsi" w:eastAsiaTheme="majorEastAsia" w:hAnsiTheme="majorHAnsi" w:cstheme="majorBidi"/>
      <w:color w:val="1F4E79" w:themeColor="accent1" w:themeShade="80"/>
      <w:sz w:val="32"/>
      <w:szCs w:val="32"/>
      <w:lang w:eastAsia="en-US"/>
    </w:rPr>
  </w:style>
  <w:style w:type="paragraph" w:styleId="Titre3">
    <w:name w:val="heading 3"/>
    <w:basedOn w:val="ExhibitHeading3"/>
    <w:next w:val="Normal"/>
    <w:link w:val="Titre3Car"/>
    <w:uiPriority w:val="9"/>
    <w:unhideWhenUsed/>
    <w:qFormat/>
    <w:rsid w:val="0075325B"/>
    <w:pPr>
      <w:numPr>
        <w:ilvl w:val="0"/>
        <w:numId w:val="55"/>
      </w:numPr>
      <w:tabs>
        <w:tab w:val="left" w:pos="1418"/>
      </w:tabs>
      <w:outlineLvl w:val="2"/>
    </w:pPr>
    <w:rPr>
      <w:rFonts w:asciiTheme="majorHAnsi" w:hAnsiTheme="majorHAnsi"/>
      <w:b w:val="0"/>
      <w:i w:val="0"/>
      <w:color w:val="2E74B5" w:themeColor="accent1" w:themeShade="BF"/>
      <w:sz w:val="26"/>
      <w:szCs w:val="28"/>
    </w:rPr>
  </w:style>
  <w:style w:type="paragraph" w:styleId="Titre4">
    <w:name w:val="heading 4"/>
    <w:basedOn w:val="Normal"/>
    <w:next w:val="Normal"/>
    <w:link w:val="Titre4Car"/>
    <w:uiPriority w:val="9"/>
    <w:semiHidden/>
    <w:unhideWhenUsed/>
    <w:qFormat/>
    <w:rsid w:val="00E1088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E10880"/>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E10880"/>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1"/>
    <w:unhideWhenUsed/>
    <w:qFormat/>
    <w:rsid w:val="00E1088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1"/>
    <w:unhideWhenUsed/>
    <w:qFormat/>
    <w:rsid w:val="00E1088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1"/>
    <w:unhideWhenUsed/>
    <w:qFormat/>
    <w:rsid w:val="00E1088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qFormat/>
    <w:tblPr>
      <w:tblCellMar>
        <w:top w:w="0" w:type="dxa"/>
        <w:left w:w="0" w:type="dxa"/>
        <w:bottom w:w="0" w:type="dxa"/>
        <w:right w:w="0" w:type="dxa"/>
      </w:tblCellMar>
    </w:tblPr>
  </w:style>
  <w:style w:type="paragraph" w:styleId="Titre">
    <w:name w:val="Title"/>
    <w:basedOn w:val="Normal"/>
    <w:link w:val="TitreCar"/>
    <w:uiPriority w:val="10"/>
    <w:qFormat/>
    <w:rsid w:val="00BD6F23"/>
    <w:pPr>
      <w:widowControl w:val="0"/>
      <w:autoSpaceDE w:val="0"/>
      <w:autoSpaceDN w:val="0"/>
      <w:spacing w:before="161" w:after="0" w:line="240" w:lineRule="auto"/>
      <w:ind w:left="820" w:right="877"/>
    </w:pPr>
    <w:rPr>
      <w:b/>
      <w:bCs/>
      <w:sz w:val="88"/>
      <w:szCs w:val="88"/>
      <w:lang w:val="en-US"/>
    </w:rPr>
  </w:style>
  <w:style w:type="table" w:customStyle="1" w:styleId="TableNormal2">
    <w:name w:val="Table Normal2"/>
    <w:tblPr>
      <w:tblCellMar>
        <w:top w:w="0" w:type="dxa"/>
        <w:left w:w="0" w:type="dxa"/>
        <w:bottom w:w="0" w:type="dxa"/>
        <w:right w:w="0" w:type="dxa"/>
      </w:tblCellMar>
    </w:tblPr>
  </w:style>
  <w:style w:type="character" w:customStyle="1" w:styleId="Titre1Car">
    <w:name w:val="Titre 1 Car"/>
    <w:basedOn w:val="Policepardfaut"/>
    <w:link w:val="Titre1"/>
    <w:uiPriority w:val="9"/>
    <w:rsid w:val="001E6F80"/>
    <w:rPr>
      <w:rFonts w:asciiTheme="majorHAnsi" w:eastAsiaTheme="majorEastAsia" w:hAnsiTheme="majorHAnsi" w:cstheme="majorBidi"/>
      <w:b/>
      <w:color w:val="1F4E79" w:themeColor="accent1" w:themeShade="80"/>
      <w:sz w:val="36"/>
      <w:szCs w:val="36"/>
      <w:lang w:val="fr-FR" w:eastAsia="en-US"/>
    </w:rPr>
  </w:style>
  <w:style w:type="character" w:customStyle="1" w:styleId="Titre2Car">
    <w:name w:val="Titre 2 Car"/>
    <w:basedOn w:val="Policepardfaut"/>
    <w:link w:val="Titre2"/>
    <w:uiPriority w:val="9"/>
    <w:rsid w:val="00C702DF"/>
    <w:rPr>
      <w:rFonts w:asciiTheme="majorHAnsi" w:eastAsiaTheme="majorEastAsia" w:hAnsiTheme="majorHAnsi" w:cstheme="majorBidi"/>
      <w:color w:val="1F4E79" w:themeColor="accent1" w:themeShade="80"/>
      <w:sz w:val="32"/>
      <w:szCs w:val="32"/>
      <w:lang w:val="fr-FR" w:eastAsia="en-US"/>
    </w:rPr>
  </w:style>
  <w:style w:type="character" w:customStyle="1" w:styleId="Titre3Car">
    <w:name w:val="Titre 3 Car"/>
    <w:basedOn w:val="Policepardfaut"/>
    <w:link w:val="Titre3"/>
    <w:uiPriority w:val="9"/>
    <w:rsid w:val="0075325B"/>
    <w:rPr>
      <w:rFonts w:asciiTheme="majorHAnsi" w:eastAsia="Arial" w:hAnsiTheme="majorHAnsi" w:cs="Arial"/>
      <w:color w:val="2E74B5" w:themeColor="accent1" w:themeShade="BF"/>
      <w:sz w:val="26"/>
      <w:szCs w:val="28"/>
      <w:lang w:val="fr-FR"/>
    </w:rPr>
  </w:style>
  <w:style w:type="character" w:customStyle="1" w:styleId="Titre4Car">
    <w:name w:val="Titre 4 Car"/>
    <w:basedOn w:val="Policepardfaut"/>
    <w:link w:val="Titre4"/>
    <w:uiPriority w:val="9"/>
    <w:rsid w:val="00E10880"/>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E10880"/>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E10880"/>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1"/>
    <w:rsid w:val="00E10880"/>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1"/>
    <w:rsid w:val="00E10880"/>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1"/>
    <w:rsid w:val="00E10880"/>
    <w:rPr>
      <w:rFonts w:asciiTheme="majorHAnsi" w:eastAsiaTheme="majorEastAsia" w:hAnsiTheme="majorHAnsi" w:cstheme="majorBidi"/>
      <w:i/>
      <w:iCs/>
      <w:color w:val="272727" w:themeColor="text1" w:themeTint="D8"/>
      <w:sz w:val="21"/>
      <w:szCs w:val="21"/>
    </w:rPr>
  </w:style>
  <w:style w:type="paragraph" w:styleId="Textedebulles">
    <w:name w:val="Balloon Text"/>
    <w:basedOn w:val="Normal"/>
    <w:link w:val="TextedebullesCar"/>
    <w:uiPriority w:val="99"/>
    <w:semiHidden/>
    <w:unhideWhenUsed/>
    <w:rsid w:val="00C9480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94800"/>
    <w:rPr>
      <w:rFonts w:ascii="Segoe UI" w:hAnsi="Segoe UI" w:cs="Segoe UI"/>
      <w:sz w:val="18"/>
      <w:szCs w:val="18"/>
      <w:lang w:val="fr-MA"/>
    </w:rPr>
  </w:style>
  <w:style w:type="paragraph" w:styleId="Corpsdetexte">
    <w:name w:val="Body Text"/>
    <w:basedOn w:val="Normal"/>
    <w:link w:val="CorpsdetexteCar"/>
    <w:qFormat/>
    <w:rsid w:val="00B85DD5"/>
    <w:pPr>
      <w:widowControl w:val="0"/>
      <w:spacing w:after="0" w:line="240" w:lineRule="auto"/>
      <w:ind w:left="114"/>
    </w:pPr>
    <w:rPr>
      <w:rFonts w:ascii="Times New Roman" w:eastAsia="Times New Roman" w:hAnsi="Times New Roman"/>
      <w:sz w:val="24"/>
      <w:szCs w:val="24"/>
      <w:lang w:val="en-US"/>
    </w:rPr>
  </w:style>
  <w:style w:type="character" w:customStyle="1" w:styleId="CorpsdetexteCar">
    <w:name w:val="Corps de texte Car"/>
    <w:basedOn w:val="Policepardfaut"/>
    <w:link w:val="Corpsdetexte"/>
    <w:rsid w:val="00B85DD5"/>
    <w:rPr>
      <w:rFonts w:ascii="Times New Roman" w:eastAsia="Times New Roman" w:hAnsi="Times New Roman"/>
      <w:sz w:val="24"/>
      <w:szCs w:val="24"/>
      <w:lang w:val="en-US"/>
    </w:rPr>
  </w:style>
  <w:style w:type="character" w:styleId="Lienhypertexte">
    <w:name w:val="Hyperlink"/>
    <w:basedOn w:val="Policepardfaut"/>
    <w:uiPriority w:val="99"/>
    <w:unhideWhenUsed/>
    <w:rsid w:val="00D172B3"/>
    <w:rPr>
      <w:color w:val="0000FF"/>
      <w:u w:val="single"/>
    </w:rPr>
  </w:style>
  <w:style w:type="paragraph" w:styleId="Paragraphedeliste">
    <w:name w:val="List Paragraph"/>
    <w:aliases w:val="Paragraphe de liste num,Paragraphe de liste 1,Listes,corp de texte,Checkmark,List Paragraph (numbered (a)),WB Para,Citation List,List Paragraph Char Char,List Paragraph1,lp1,List Paragraph11,List Paragraph1 Char Char,Figure_name,Ha,H"/>
    <w:basedOn w:val="Normal"/>
    <w:link w:val="ParagraphedelisteCar"/>
    <w:uiPriority w:val="34"/>
    <w:qFormat/>
    <w:rsid w:val="006E081B"/>
    <w:pPr>
      <w:ind w:left="720"/>
      <w:contextualSpacing/>
    </w:pPr>
  </w:style>
  <w:style w:type="paragraph" w:styleId="Lgende">
    <w:name w:val="caption"/>
    <w:aliases w:val="Caption Figure"/>
    <w:basedOn w:val="Normal"/>
    <w:next w:val="Normal"/>
    <w:unhideWhenUsed/>
    <w:qFormat/>
    <w:rsid w:val="005513CD"/>
    <w:pPr>
      <w:spacing w:after="200" w:line="240" w:lineRule="auto"/>
    </w:pPr>
    <w:rPr>
      <w:i/>
      <w:iCs/>
      <w:color w:val="44546A" w:themeColor="text2"/>
      <w:sz w:val="18"/>
      <w:szCs w:val="18"/>
    </w:rPr>
  </w:style>
  <w:style w:type="table" w:customStyle="1" w:styleId="CPCS-Tablestyle">
    <w:name w:val="CPCS - Table style"/>
    <w:basedOn w:val="TableauNormal"/>
    <w:qFormat/>
    <w:rsid w:val="00E22921"/>
    <w:pPr>
      <w:spacing w:after="20" w:line="240" w:lineRule="auto"/>
    </w:pPr>
    <w:rPr>
      <w:color w:val="5F80A7"/>
      <w:sz w:val="20"/>
      <w:szCs w:val="24"/>
      <w:lang w:val="en-CA" w:eastAsia="en-CA"/>
    </w:rPr>
    <w:tblPr/>
    <w:tblStylePr w:type="firstRow">
      <w:rPr>
        <w:rFonts w:ascii="Calibri" w:hAnsi="Calibri"/>
        <w:b w:val="0"/>
        <w:i w:val="0"/>
        <w:color w:val="FFFFFF" w:themeColor="background1"/>
        <w:sz w:val="20"/>
      </w:rPr>
    </w:tblStylePr>
    <w:tblStylePr w:type="firstCol">
      <w:rPr>
        <w:rFonts w:ascii="Calibri" w:hAnsi="Calibri"/>
        <w:sz w:val="20"/>
      </w:rPr>
    </w:tblStylePr>
    <w:tblStylePr w:type="band1Horz">
      <w:rPr>
        <w:rFonts w:ascii="Calibri" w:hAnsi="Calibri"/>
      </w:rPr>
    </w:tblStylePr>
    <w:tblStylePr w:type="band2Horz">
      <w:rPr>
        <w:rFonts w:ascii="Calibri" w:hAnsi="Calibri"/>
      </w:rPr>
    </w:tblStylePr>
  </w:style>
  <w:style w:type="table" w:styleId="Grilledutableau">
    <w:name w:val="Table Grid"/>
    <w:aliases w:val="IT Park_Citation,Smart Text Table,Tabellengitternetz,GFA Table Grid,CV1,Checkpoint Style 1,Table - Nathan standard,tabelle2,Ecotabla-3,Personal,Document Table,TabelEcorys,HTG,Table Grid IDEA,Table Format 1,Tabela Renova,Deloitte,n"/>
    <w:basedOn w:val="TableauNormal"/>
    <w:uiPriority w:val="99"/>
    <w:rsid w:val="00216576"/>
    <w:pPr>
      <w:spacing w:after="0" w:line="240" w:lineRule="auto"/>
    </w:pPr>
    <w:tblPr/>
  </w:style>
  <w:style w:type="paragraph" w:styleId="Notedebasdepage">
    <w:name w:val="footnote text"/>
    <w:aliases w:val="fn,single space,Char Char Char,texto de nota al pie Car1,Nota a pie/Bibliog Car1,Texto nota pie Car1 Car1,Texto nota pie Car Car Car1,Car1 Car Car Car1,Car1 Car2 Car1,Car1 Car1,ft Car Car Car,Char,ft Car Car,ft Car"/>
    <w:basedOn w:val="Normal"/>
    <w:link w:val="NotedebasdepageCar"/>
    <w:uiPriority w:val="99"/>
    <w:unhideWhenUsed/>
    <w:rsid w:val="00D2691E"/>
    <w:pPr>
      <w:spacing w:after="0" w:line="240" w:lineRule="auto"/>
    </w:pPr>
    <w:rPr>
      <w:sz w:val="20"/>
      <w:szCs w:val="20"/>
    </w:rPr>
  </w:style>
  <w:style w:type="character" w:customStyle="1" w:styleId="NotedebasdepageCar">
    <w:name w:val="Note de bas de page Car"/>
    <w:aliases w:val="fn Car,single space Car,Char Char Char Car,texto de nota al pie Car1 Car,Nota a pie/Bibliog Car1 Car,Texto nota pie Car1 Car1 Car,Texto nota pie Car Car Car1 Car,Car1 Car Car Car1 Car,Car1 Car2 Car1 Car,Car1 Car1 Car,Char Car"/>
    <w:basedOn w:val="Policepardfaut"/>
    <w:link w:val="Notedebasdepage"/>
    <w:uiPriority w:val="99"/>
    <w:rsid w:val="00D2691E"/>
    <w:rPr>
      <w:sz w:val="20"/>
      <w:szCs w:val="20"/>
      <w:lang w:val="fr-MA"/>
    </w:rPr>
  </w:style>
  <w:style w:type="character" w:styleId="Appelnotedebasdep">
    <w:name w:val="footnote reference"/>
    <w:aliases w:val="referencia nota al pie,ftref"/>
    <w:basedOn w:val="Policepardfaut"/>
    <w:uiPriority w:val="99"/>
    <w:unhideWhenUsed/>
    <w:rsid w:val="00D2691E"/>
    <w:rPr>
      <w:vertAlign w:val="superscript"/>
    </w:rPr>
  </w:style>
  <w:style w:type="character" w:customStyle="1" w:styleId="Mentionnonrsolue1">
    <w:name w:val="Mention non résolue1"/>
    <w:basedOn w:val="Policepardfaut"/>
    <w:uiPriority w:val="99"/>
    <w:semiHidden/>
    <w:unhideWhenUsed/>
    <w:rsid w:val="00C11CD4"/>
    <w:rPr>
      <w:color w:val="605E5C"/>
      <w:shd w:val="clear" w:color="auto" w:fill="E1DFDD"/>
    </w:rPr>
  </w:style>
  <w:style w:type="character" w:customStyle="1" w:styleId="fontstyle01">
    <w:name w:val="fontstyle01"/>
    <w:basedOn w:val="Policepardfaut"/>
    <w:rsid w:val="00BE5DA5"/>
    <w:rPr>
      <w:rFonts w:ascii="Calibri" w:hAnsi="Calibri" w:cs="Calibri" w:hint="default"/>
      <w:b w:val="0"/>
      <w:bCs w:val="0"/>
      <w:i w:val="0"/>
      <w:iCs w:val="0"/>
      <w:color w:val="0563C1"/>
      <w:sz w:val="20"/>
      <w:szCs w:val="20"/>
    </w:rPr>
  </w:style>
  <w:style w:type="table" w:customStyle="1" w:styleId="TableauGrille1Clair-Accentuation51">
    <w:name w:val="Tableau Grille 1 Clair - Accentuation 51"/>
    <w:basedOn w:val="TableauNormal"/>
    <w:uiPriority w:val="46"/>
    <w:rsid w:val="0065004E"/>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M1">
    <w:name w:val="toc 1"/>
    <w:basedOn w:val="Normal"/>
    <w:next w:val="Normal"/>
    <w:autoRedefine/>
    <w:uiPriority w:val="39"/>
    <w:unhideWhenUsed/>
    <w:rsid w:val="00A41A3A"/>
    <w:pPr>
      <w:spacing w:before="360" w:after="0"/>
    </w:pPr>
    <w:rPr>
      <w:rFonts w:asciiTheme="majorHAnsi" w:hAnsiTheme="majorHAnsi" w:cstheme="majorHAnsi"/>
      <w:b/>
      <w:bCs/>
      <w:caps/>
      <w:sz w:val="24"/>
      <w:szCs w:val="28"/>
    </w:rPr>
  </w:style>
  <w:style w:type="paragraph" w:styleId="TM2">
    <w:name w:val="toc 2"/>
    <w:basedOn w:val="Normal"/>
    <w:next w:val="Normal"/>
    <w:autoRedefine/>
    <w:uiPriority w:val="39"/>
    <w:unhideWhenUsed/>
    <w:rsid w:val="000A5363"/>
    <w:pPr>
      <w:spacing w:before="240" w:after="0"/>
      <w:ind w:left="391"/>
    </w:pPr>
    <w:rPr>
      <w:rFonts w:asciiTheme="minorHAnsi" w:hAnsiTheme="minorHAnsi" w:cstheme="minorHAnsi"/>
      <w:b/>
      <w:bCs/>
      <w:szCs w:val="24"/>
    </w:rPr>
  </w:style>
  <w:style w:type="paragraph" w:styleId="TM3">
    <w:name w:val="toc 3"/>
    <w:basedOn w:val="Normal"/>
    <w:next w:val="Normal"/>
    <w:autoRedefine/>
    <w:uiPriority w:val="39"/>
    <w:unhideWhenUsed/>
    <w:rsid w:val="007805F6"/>
    <w:pPr>
      <w:spacing w:after="0"/>
      <w:ind w:left="220"/>
    </w:pPr>
    <w:rPr>
      <w:rFonts w:asciiTheme="minorHAnsi" w:hAnsiTheme="minorHAnsi" w:cstheme="minorHAnsi"/>
      <w:sz w:val="20"/>
      <w:szCs w:val="24"/>
    </w:rPr>
  </w:style>
  <w:style w:type="paragraph" w:styleId="Pieddepage">
    <w:name w:val="footer"/>
    <w:basedOn w:val="Normal"/>
    <w:link w:val="PieddepageCar"/>
    <w:uiPriority w:val="99"/>
    <w:unhideWhenUsed/>
    <w:rsid w:val="007805F6"/>
    <w:pPr>
      <w:widowControl w:val="0"/>
      <w:tabs>
        <w:tab w:val="center" w:pos="4536"/>
        <w:tab w:val="right" w:pos="9072"/>
      </w:tabs>
      <w:adjustRightInd w:val="0"/>
      <w:spacing w:after="0" w:line="240" w:lineRule="auto"/>
      <w:jc w:val="both"/>
      <w:textAlignment w:val="baseline"/>
    </w:pPr>
    <w:rPr>
      <w:rFonts w:eastAsia="Times New Roman" w:cs="Times New Roman"/>
      <w:szCs w:val="24"/>
      <w:lang w:val="fr-CA"/>
    </w:rPr>
  </w:style>
  <w:style w:type="character" w:customStyle="1" w:styleId="PieddepageCar">
    <w:name w:val="Pied de page Car"/>
    <w:basedOn w:val="Policepardfaut"/>
    <w:link w:val="Pieddepage"/>
    <w:uiPriority w:val="99"/>
    <w:rsid w:val="007805F6"/>
    <w:rPr>
      <w:rFonts w:eastAsia="Times New Roman" w:cs="Times New Roman"/>
      <w:szCs w:val="24"/>
      <w:lang w:val="fr-CA"/>
    </w:rPr>
  </w:style>
  <w:style w:type="paragraph" w:styleId="Tabledesillustrations">
    <w:name w:val="table of figures"/>
    <w:basedOn w:val="Normal"/>
    <w:next w:val="Normal"/>
    <w:uiPriority w:val="99"/>
    <w:unhideWhenUsed/>
    <w:rsid w:val="007805F6"/>
    <w:pPr>
      <w:widowControl w:val="0"/>
      <w:adjustRightInd w:val="0"/>
      <w:spacing w:after="0" w:line="360" w:lineRule="atLeast"/>
      <w:jc w:val="both"/>
      <w:textAlignment w:val="baseline"/>
    </w:pPr>
    <w:rPr>
      <w:rFonts w:eastAsia="Times New Roman" w:cs="Times New Roman"/>
      <w:szCs w:val="24"/>
      <w:lang w:val="fr-CA"/>
    </w:rPr>
  </w:style>
  <w:style w:type="paragraph" w:styleId="Index1">
    <w:name w:val="index 1"/>
    <w:basedOn w:val="Normal"/>
    <w:next w:val="Normal"/>
    <w:autoRedefine/>
    <w:uiPriority w:val="99"/>
    <w:unhideWhenUsed/>
    <w:rsid w:val="007805F6"/>
    <w:pPr>
      <w:widowControl w:val="0"/>
      <w:adjustRightInd w:val="0"/>
      <w:spacing w:after="0" w:line="240" w:lineRule="auto"/>
      <w:ind w:left="220" w:hanging="220"/>
      <w:jc w:val="both"/>
      <w:textAlignment w:val="baseline"/>
    </w:pPr>
    <w:rPr>
      <w:rFonts w:eastAsia="Times New Roman" w:cs="Times New Roman"/>
      <w:szCs w:val="24"/>
      <w:lang w:val="fr-CA"/>
    </w:rPr>
  </w:style>
  <w:style w:type="character" w:customStyle="1" w:styleId="ParagraphedelisteCar">
    <w:name w:val="Paragraphe de liste Car"/>
    <w:aliases w:val="Paragraphe de liste num Car,Paragraphe de liste 1 Car,Listes Car,corp de texte Car,Checkmark Car,List Paragraph (numbered (a)) Car,WB Para Car,Citation List Car,List Paragraph Char Char Car,List Paragraph1 Car,lp1 Car,Ha Car"/>
    <w:link w:val="Paragraphedeliste"/>
    <w:uiPriority w:val="34"/>
    <w:qFormat/>
    <w:locked/>
    <w:rsid w:val="00014DCE"/>
    <w:rPr>
      <w:lang w:val="fr-MA"/>
    </w:rPr>
  </w:style>
  <w:style w:type="character" w:styleId="Marquedecommentaire">
    <w:name w:val="annotation reference"/>
    <w:basedOn w:val="Policepardfaut"/>
    <w:uiPriority w:val="99"/>
    <w:semiHidden/>
    <w:unhideWhenUsed/>
    <w:rsid w:val="00E6387E"/>
    <w:rPr>
      <w:sz w:val="16"/>
      <w:szCs w:val="16"/>
    </w:rPr>
  </w:style>
  <w:style w:type="paragraph" w:styleId="Commentaire">
    <w:name w:val="annotation text"/>
    <w:basedOn w:val="Normal"/>
    <w:link w:val="CommentaireCar"/>
    <w:uiPriority w:val="99"/>
    <w:unhideWhenUsed/>
    <w:rsid w:val="00E6387E"/>
    <w:pPr>
      <w:spacing w:line="240" w:lineRule="auto"/>
    </w:pPr>
    <w:rPr>
      <w:sz w:val="20"/>
      <w:szCs w:val="20"/>
    </w:rPr>
  </w:style>
  <w:style w:type="character" w:customStyle="1" w:styleId="CommentaireCar">
    <w:name w:val="Commentaire Car"/>
    <w:basedOn w:val="Policepardfaut"/>
    <w:link w:val="Commentaire"/>
    <w:uiPriority w:val="99"/>
    <w:rsid w:val="00E6387E"/>
    <w:rPr>
      <w:sz w:val="20"/>
      <w:szCs w:val="20"/>
      <w:lang w:val="fr-MA"/>
    </w:rPr>
  </w:style>
  <w:style w:type="paragraph" w:styleId="Objetducommentaire">
    <w:name w:val="annotation subject"/>
    <w:basedOn w:val="Commentaire"/>
    <w:next w:val="Commentaire"/>
    <w:link w:val="ObjetducommentaireCar"/>
    <w:uiPriority w:val="99"/>
    <w:semiHidden/>
    <w:unhideWhenUsed/>
    <w:rsid w:val="00E6387E"/>
    <w:rPr>
      <w:b/>
      <w:bCs/>
    </w:rPr>
  </w:style>
  <w:style w:type="character" w:customStyle="1" w:styleId="ObjetducommentaireCar">
    <w:name w:val="Objet du commentaire Car"/>
    <w:basedOn w:val="CommentaireCar"/>
    <w:link w:val="Objetducommentaire"/>
    <w:uiPriority w:val="99"/>
    <w:semiHidden/>
    <w:rsid w:val="00E6387E"/>
    <w:rPr>
      <w:b/>
      <w:bCs/>
      <w:sz w:val="20"/>
      <w:szCs w:val="20"/>
      <w:lang w:val="fr-MA"/>
    </w:rPr>
  </w:style>
  <w:style w:type="paragraph" w:styleId="En-tte">
    <w:name w:val="header"/>
    <w:basedOn w:val="Normal"/>
    <w:link w:val="En-tteCar"/>
    <w:uiPriority w:val="99"/>
    <w:unhideWhenUsed/>
    <w:rsid w:val="00190ACE"/>
    <w:pPr>
      <w:tabs>
        <w:tab w:val="center" w:pos="4536"/>
        <w:tab w:val="right" w:pos="9072"/>
      </w:tabs>
      <w:spacing w:after="0" w:line="240" w:lineRule="auto"/>
    </w:pPr>
  </w:style>
  <w:style w:type="character" w:customStyle="1" w:styleId="En-tteCar">
    <w:name w:val="En-tête Car"/>
    <w:basedOn w:val="Policepardfaut"/>
    <w:link w:val="En-tte"/>
    <w:uiPriority w:val="99"/>
    <w:rsid w:val="00190ACE"/>
    <w:rPr>
      <w:lang w:val="fr-MA"/>
    </w:rPr>
  </w:style>
  <w:style w:type="character" w:customStyle="1" w:styleId="fontstyle21">
    <w:name w:val="fontstyle21"/>
    <w:basedOn w:val="Policepardfaut"/>
    <w:rsid w:val="00443778"/>
    <w:rPr>
      <w:rFonts w:ascii="Calibri-Bold" w:hAnsi="Calibri-Bold" w:hint="default"/>
      <w:b/>
      <w:bCs/>
      <w:i w:val="0"/>
      <w:iCs w:val="0"/>
      <w:color w:val="000000"/>
      <w:sz w:val="22"/>
      <w:szCs w:val="22"/>
    </w:rPr>
  </w:style>
  <w:style w:type="character" w:customStyle="1" w:styleId="fontstyle31">
    <w:name w:val="fontstyle31"/>
    <w:basedOn w:val="Policepardfaut"/>
    <w:rsid w:val="00443778"/>
    <w:rPr>
      <w:rFonts w:ascii="SymbolMT" w:hAnsi="SymbolMT" w:hint="default"/>
      <w:b w:val="0"/>
      <w:bCs w:val="0"/>
      <w:i w:val="0"/>
      <w:iCs w:val="0"/>
      <w:color w:val="000000"/>
      <w:sz w:val="22"/>
      <w:szCs w:val="22"/>
    </w:rPr>
  </w:style>
  <w:style w:type="paragraph" w:styleId="Rvision">
    <w:name w:val="Revision"/>
    <w:hidden/>
    <w:uiPriority w:val="99"/>
    <w:semiHidden/>
    <w:rsid w:val="003B0FE3"/>
    <w:pPr>
      <w:spacing w:after="0" w:line="240" w:lineRule="auto"/>
    </w:pPr>
  </w:style>
  <w:style w:type="character" w:customStyle="1" w:styleId="Mentionnonrsolue2">
    <w:name w:val="Mention non résolue2"/>
    <w:basedOn w:val="Policepardfaut"/>
    <w:uiPriority w:val="99"/>
    <w:semiHidden/>
    <w:unhideWhenUsed/>
    <w:rsid w:val="00C065BD"/>
    <w:rPr>
      <w:color w:val="605E5C"/>
      <w:shd w:val="clear" w:color="auto" w:fill="E1DFDD"/>
    </w:rPr>
  </w:style>
  <w:style w:type="table" w:customStyle="1" w:styleId="1">
    <w:name w:val="1"/>
    <w:basedOn w:val="TableauNormal"/>
    <w:rsid w:val="00D45F23"/>
    <w:pPr>
      <w:spacing w:after="0" w:line="240" w:lineRule="auto"/>
    </w:pPr>
    <w:rPr>
      <w:lang w:eastAsia="fr-FR"/>
    </w:rPr>
    <w:tblPr/>
  </w:style>
  <w:style w:type="table" w:customStyle="1" w:styleId="TableNormal3">
    <w:name w:val="Table Normal3"/>
    <w:uiPriority w:val="2"/>
    <w:semiHidden/>
    <w:unhideWhenUsed/>
    <w:qFormat/>
    <w:rsid w:val="00BD6F2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itreCar">
    <w:name w:val="Titre Car"/>
    <w:basedOn w:val="Policepardfaut"/>
    <w:link w:val="Titre"/>
    <w:uiPriority w:val="10"/>
    <w:rsid w:val="00BD6F23"/>
    <w:rPr>
      <w:rFonts w:ascii="Calibri" w:eastAsia="Calibri" w:hAnsi="Calibri" w:cs="Calibri"/>
      <w:b/>
      <w:bCs/>
      <w:sz w:val="88"/>
      <w:szCs w:val="88"/>
      <w:lang w:val="en-US"/>
    </w:rPr>
  </w:style>
  <w:style w:type="paragraph" w:customStyle="1" w:styleId="TableParagraph">
    <w:name w:val="Table Paragraph"/>
    <w:basedOn w:val="Normal"/>
    <w:uiPriority w:val="1"/>
    <w:qFormat/>
    <w:rsid w:val="00BD6F23"/>
    <w:pPr>
      <w:widowControl w:val="0"/>
      <w:autoSpaceDE w:val="0"/>
      <w:autoSpaceDN w:val="0"/>
      <w:spacing w:after="0" w:line="240" w:lineRule="auto"/>
    </w:pPr>
    <w:rPr>
      <w:rFonts w:ascii="Gill Sans MT" w:eastAsia="Gill Sans MT" w:hAnsi="Gill Sans MT" w:cs="Gill Sans MT"/>
      <w:lang w:val="en-US"/>
    </w:rPr>
  </w:style>
  <w:style w:type="paragraph" w:customStyle="1" w:styleId="CharCharCharChar1">
    <w:name w:val="Char Char Char Char1"/>
    <w:basedOn w:val="Normal"/>
    <w:rsid w:val="001833C3"/>
    <w:pPr>
      <w:numPr>
        <w:numId w:val="1"/>
      </w:numPr>
      <w:spacing w:after="0" w:line="276" w:lineRule="auto"/>
      <w:jc w:val="both"/>
    </w:pPr>
    <w:rPr>
      <w:rFonts w:ascii="Arial" w:eastAsia="Times New Roman" w:hAnsi="Arial" w:cs="Times New Roman"/>
      <w:sz w:val="20"/>
      <w:szCs w:val="20"/>
    </w:rPr>
  </w:style>
  <w:style w:type="paragraph" w:customStyle="1" w:styleId="StyleArial10ptBlackJustified">
    <w:name w:val="Style Arial 10 pt Black Justified"/>
    <w:basedOn w:val="Normal"/>
    <w:rsid w:val="001833C3"/>
    <w:pPr>
      <w:numPr>
        <w:numId w:val="2"/>
      </w:numPr>
      <w:spacing w:after="0" w:line="240" w:lineRule="auto"/>
    </w:pPr>
    <w:rPr>
      <w:rFonts w:ascii="Times New Roman" w:eastAsia="Times New Roman" w:hAnsi="Times New Roman" w:cs="Times New Roman"/>
      <w:sz w:val="24"/>
      <w:szCs w:val="24"/>
    </w:rPr>
  </w:style>
  <w:style w:type="paragraph" w:customStyle="1" w:styleId="nbul">
    <w:name w:val="nbul"/>
    <w:basedOn w:val="Normal"/>
    <w:rsid w:val="001833C3"/>
    <w:pPr>
      <w:numPr>
        <w:numId w:val="3"/>
      </w:numPr>
      <w:spacing w:after="0" w:line="240" w:lineRule="auto"/>
    </w:pPr>
    <w:rPr>
      <w:rFonts w:ascii="Arial" w:eastAsia="Arial Unicode MS" w:hAnsi="Arial" w:cs="Arial"/>
      <w:sz w:val="18"/>
      <w:szCs w:val="18"/>
      <w:lang w:eastAsia="ko-KR"/>
    </w:rPr>
  </w:style>
  <w:style w:type="paragraph" w:customStyle="1" w:styleId="TitreIFC1">
    <w:name w:val="Titre IFC 1"/>
    <w:basedOn w:val="Titre1"/>
    <w:next w:val="Normal"/>
    <w:link w:val="TitreIFC1Car"/>
    <w:autoRedefine/>
    <w:rsid w:val="005C3DFE"/>
    <w:pPr>
      <w:numPr>
        <w:numId w:val="13"/>
      </w:numPr>
      <w:spacing w:before="0"/>
    </w:pPr>
    <w:rPr>
      <w:rFonts w:ascii="Calibri" w:eastAsia="Calibri" w:hAnsi="Calibri" w:cstheme="majorHAnsi"/>
      <w:b w:val="0"/>
      <w:bCs/>
      <w:color w:val="002345"/>
      <w:sz w:val="44"/>
      <w:szCs w:val="44"/>
    </w:rPr>
  </w:style>
  <w:style w:type="paragraph" w:customStyle="1" w:styleId="Style1">
    <w:name w:val="Style1"/>
    <w:basedOn w:val="Titre2"/>
    <w:link w:val="Style1Car"/>
    <w:qFormat/>
    <w:rsid w:val="00942049"/>
    <w:rPr>
      <w:color w:val="4C868E"/>
    </w:rPr>
  </w:style>
  <w:style w:type="character" w:customStyle="1" w:styleId="TitreIFC1Car">
    <w:name w:val="Titre IFC 1 Car"/>
    <w:basedOn w:val="Titre1Car"/>
    <w:link w:val="TitreIFC1"/>
    <w:rsid w:val="005C3DFE"/>
    <w:rPr>
      <w:rFonts w:asciiTheme="majorHAnsi" w:eastAsiaTheme="majorEastAsia" w:hAnsiTheme="majorHAnsi" w:cstheme="majorHAnsi"/>
      <w:b w:val="0"/>
      <w:bCs/>
      <w:color w:val="002345"/>
      <w:sz w:val="44"/>
      <w:szCs w:val="44"/>
      <w:lang w:val="fr-FR" w:eastAsia="en-US"/>
    </w:rPr>
  </w:style>
  <w:style w:type="paragraph" w:customStyle="1" w:styleId="Titre2IFC">
    <w:name w:val="Titre 2 IFC"/>
    <w:basedOn w:val="Style1"/>
    <w:link w:val="Titre2IFCCar"/>
    <w:rsid w:val="00942049"/>
  </w:style>
  <w:style w:type="character" w:customStyle="1" w:styleId="Style1Car">
    <w:name w:val="Style1 Car"/>
    <w:basedOn w:val="Titre2Car"/>
    <w:link w:val="Style1"/>
    <w:rsid w:val="00942049"/>
    <w:rPr>
      <w:rFonts w:asciiTheme="majorHAnsi" w:eastAsiaTheme="majorEastAsia" w:hAnsiTheme="majorHAnsi" w:cstheme="majorBidi"/>
      <w:color w:val="4C868E"/>
      <w:sz w:val="32"/>
      <w:szCs w:val="32"/>
      <w:lang w:val="fr-FR" w:eastAsia="en-US"/>
    </w:rPr>
  </w:style>
  <w:style w:type="paragraph" w:customStyle="1" w:styleId="TableBullet">
    <w:name w:val="Table Bullet"/>
    <w:basedOn w:val="Normal"/>
    <w:rsid w:val="00942049"/>
    <w:pPr>
      <w:numPr>
        <w:numId w:val="4"/>
      </w:numPr>
      <w:spacing w:before="120" w:after="0" w:line="240" w:lineRule="auto"/>
    </w:pPr>
    <w:rPr>
      <w:rFonts w:ascii="Arial" w:eastAsia="Times New Roman" w:hAnsi="Arial" w:cs="Times New Roman"/>
      <w:sz w:val="24"/>
      <w:szCs w:val="20"/>
      <w:lang w:val="en-GB"/>
    </w:rPr>
  </w:style>
  <w:style w:type="character" w:customStyle="1" w:styleId="Titre2IFCCar">
    <w:name w:val="Titre 2 IFC Car"/>
    <w:basedOn w:val="Style1Car"/>
    <w:link w:val="Titre2IFC"/>
    <w:rsid w:val="00942049"/>
    <w:rPr>
      <w:rFonts w:asciiTheme="majorHAnsi" w:eastAsiaTheme="majorEastAsia" w:hAnsiTheme="majorHAnsi" w:cstheme="majorBidi"/>
      <w:color w:val="4C868E"/>
      <w:sz w:val="32"/>
      <w:szCs w:val="32"/>
      <w:lang w:val="fr-FR" w:eastAsia="en-US"/>
    </w:rPr>
  </w:style>
  <w:style w:type="paragraph" w:customStyle="1" w:styleId="TitreIFC3">
    <w:name w:val="Titre IFC 3"/>
    <w:basedOn w:val="Titre3"/>
    <w:link w:val="TitreIFC3Car"/>
    <w:rsid w:val="00A56333"/>
    <w:rPr>
      <w:b/>
      <w:bCs/>
    </w:rPr>
  </w:style>
  <w:style w:type="paragraph" w:customStyle="1" w:styleId="TitreIFC2">
    <w:name w:val="Titre IFC 2"/>
    <w:basedOn w:val="Titre2IFC"/>
    <w:link w:val="TitreIFC2Car"/>
    <w:rsid w:val="00A56333"/>
    <w:rPr>
      <w:color w:val="00ADE4"/>
    </w:rPr>
  </w:style>
  <w:style w:type="character" w:customStyle="1" w:styleId="TitreIFC3Car">
    <w:name w:val="Titre IFC 3 Car"/>
    <w:basedOn w:val="Titre3Car"/>
    <w:link w:val="TitreIFC3"/>
    <w:rsid w:val="00A56333"/>
    <w:rPr>
      <w:rFonts w:asciiTheme="majorHAnsi" w:eastAsia="Arial" w:hAnsiTheme="majorHAnsi" w:cs="Arial"/>
      <w:b/>
      <w:bCs/>
      <w:color w:val="4C868E"/>
      <w:sz w:val="28"/>
      <w:szCs w:val="28"/>
      <w:lang w:val="fr-FR"/>
    </w:rPr>
  </w:style>
  <w:style w:type="paragraph" w:customStyle="1" w:styleId="AppendixHeading5">
    <w:name w:val="Appendix Heading 5"/>
    <w:basedOn w:val="Normal"/>
    <w:next w:val="Corpsdetexte"/>
    <w:qFormat/>
    <w:rsid w:val="00E9419C"/>
    <w:pPr>
      <w:numPr>
        <w:ilvl w:val="4"/>
        <w:numId w:val="5"/>
      </w:numPr>
      <w:spacing w:after="240" w:line="240" w:lineRule="auto"/>
    </w:pPr>
    <w:rPr>
      <w:rFonts w:ascii="Arial" w:eastAsia="Arial" w:hAnsi="Arial" w:cs="Arial"/>
      <w:i/>
      <w:color w:val="44546A" w:themeColor="text2"/>
      <w:sz w:val="24"/>
      <w:szCs w:val="24"/>
    </w:rPr>
  </w:style>
  <w:style w:type="character" w:customStyle="1" w:styleId="TitreIFC2Car">
    <w:name w:val="Titre IFC 2 Car"/>
    <w:basedOn w:val="Titre2IFCCar"/>
    <w:link w:val="TitreIFC2"/>
    <w:rsid w:val="00A56333"/>
    <w:rPr>
      <w:rFonts w:asciiTheme="majorHAnsi" w:eastAsiaTheme="majorEastAsia" w:hAnsiTheme="majorHAnsi" w:cstheme="majorBidi"/>
      <w:color w:val="00ADE4"/>
      <w:sz w:val="32"/>
      <w:szCs w:val="32"/>
      <w:lang w:val="fr-FR" w:eastAsia="en-US"/>
    </w:rPr>
  </w:style>
  <w:style w:type="paragraph" w:customStyle="1" w:styleId="AppendixHeading2">
    <w:name w:val="Appendix Heading 2"/>
    <w:basedOn w:val="Normal"/>
    <w:next w:val="Corpsdetexte"/>
    <w:qFormat/>
    <w:rsid w:val="00E9419C"/>
    <w:pPr>
      <w:keepNext/>
      <w:keepLines/>
      <w:numPr>
        <w:ilvl w:val="1"/>
        <w:numId w:val="5"/>
      </w:numPr>
      <w:spacing w:after="200" w:line="276" w:lineRule="auto"/>
    </w:pPr>
    <w:rPr>
      <w:rFonts w:ascii="Arial" w:eastAsia="Arial" w:hAnsi="Arial" w:cs="Arial"/>
      <w:b/>
      <w:i/>
      <w:color w:val="44546A" w:themeColor="text2"/>
      <w:sz w:val="32"/>
      <w:szCs w:val="32"/>
    </w:rPr>
  </w:style>
  <w:style w:type="paragraph" w:customStyle="1" w:styleId="AppendixHeading3">
    <w:name w:val="Appendix Heading 3"/>
    <w:basedOn w:val="Normal"/>
    <w:next w:val="Corpsdetexte"/>
    <w:qFormat/>
    <w:rsid w:val="00E9419C"/>
    <w:pPr>
      <w:keepNext/>
      <w:keepLines/>
      <w:numPr>
        <w:ilvl w:val="2"/>
        <w:numId w:val="5"/>
      </w:numPr>
      <w:spacing w:after="240" w:line="240" w:lineRule="auto"/>
    </w:pPr>
    <w:rPr>
      <w:rFonts w:ascii="Arial" w:eastAsia="Arial" w:hAnsi="Arial" w:cs="Arial"/>
      <w:b/>
      <w:i/>
      <w:color w:val="44546A" w:themeColor="text2"/>
      <w:sz w:val="28"/>
      <w:szCs w:val="28"/>
    </w:rPr>
  </w:style>
  <w:style w:type="paragraph" w:customStyle="1" w:styleId="AppendixHeading4">
    <w:name w:val="Appendix Heading 4"/>
    <w:basedOn w:val="Normal"/>
    <w:next w:val="Corpsdetexte"/>
    <w:qFormat/>
    <w:rsid w:val="00E9419C"/>
    <w:pPr>
      <w:numPr>
        <w:ilvl w:val="3"/>
        <w:numId w:val="5"/>
      </w:numPr>
      <w:spacing w:after="240" w:line="240" w:lineRule="atLeast"/>
    </w:pPr>
    <w:rPr>
      <w:rFonts w:ascii="Arial" w:eastAsia="Arial" w:hAnsi="Arial" w:cs="Arial"/>
      <w:i/>
      <w:color w:val="44546A" w:themeColor="text2"/>
      <w:sz w:val="28"/>
      <w:szCs w:val="28"/>
    </w:rPr>
  </w:style>
  <w:style w:type="paragraph" w:customStyle="1" w:styleId="ExhibitHeading3">
    <w:name w:val="Exhibit Heading 3"/>
    <w:basedOn w:val="Normal"/>
    <w:next w:val="Corpsdetexte"/>
    <w:qFormat/>
    <w:rsid w:val="00E9419C"/>
    <w:pPr>
      <w:numPr>
        <w:ilvl w:val="2"/>
        <w:numId w:val="6"/>
      </w:numPr>
      <w:spacing w:after="240" w:line="240" w:lineRule="auto"/>
      <w:ind w:left="357" w:hanging="357"/>
    </w:pPr>
    <w:rPr>
      <w:rFonts w:ascii="Arial" w:eastAsia="Arial" w:hAnsi="Arial" w:cs="Arial"/>
      <w:b/>
      <w:i/>
      <w:color w:val="44546A" w:themeColor="text2"/>
      <w:sz w:val="28"/>
      <w:szCs w:val="24"/>
    </w:rPr>
  </w:style>
  <w:style w:type="paragraph" w:customStyle="1" w:styleId="ExhibitHeading5">
    <w:name w:val="Exhibit Heading 5"/>
    <w:basedOn w:val="Normal"/>
    <w:next w:val="Corpsdetexte"/>
    <w:qFormat/>
    <w:rsid w:val="00E9419C"/>
    <w:pPr>
      <w:numPr>
        <w:ilvl w:val="4"/>
        <w:numId w:val="7"/>
      </w:numPr>
      <w:spacing w:after="240" w:line="240" w:lineRule="auto"/>
      <w:ind w:left="357" w:hanging="357"/>
    </w:pPr>
    <w:rPr>
      <w:rFonts w:ascii="Arial" w:eastAsia="Arial" w:hAnsi="Arial" w:cstheme="minorHAnsi"/>
      <w:i/>
      <w:color w:val="44546A" w:themeColor="text2"/>
      <w:sz w:val="24"/>
      <w:szCs w:val="24"/>
    </w:rPr>
  </w:style>
  <w:style w:type="paragraph" w:styleId="Listepuces">
    <w:name w:val="List Bullet"/>
    <w:basedOn w:val="Normal"/>
    <w:uiPriority w:val="13"/>
    <w:unhideWhenUsed/>
    <w:qFormat/>
    <w:rsid w:val="00E9419C"/>
    <w:pPr>
      <w:numPr>
        <w:numId w:val="8"/>
      </w:numPr>
      <w:spacing w:before="60" w:after="60" w:line="240" w:lineRule="atLeast"/>
      <w:contextualSpacing/>
    </w:pPr>
    <w:rPr>
      <w:rFonts w:ascii="Arial" w:eastAsia="Arial" w:hAnsi="Arial" w:cs="Arial"/>
      <w:sz w:val="20"/>
      <w:szCs w:val="20"/>
    </w:rPr>
  </w:style>
  <w:style w:type="paragraph" w:styleId="Listepuces2">
    <w:name w:val="List Bullet 2"/>
    <w:basedOn w:val="Listepuces"/>
    <w:uiPriority w:val="13"/>
    <w:unhideWhenUsed/>
    <w:qFormat/>
    <w:rsid w:val="00E9419C"/>
    <w:pPr>
      <w:numPr>
        <w:ilvl w:val="1"/>
      </w:numPr>
    </w:pPr>
  </w:style>
  <w:style w:type="paragraph" w:styleId="Listepuces3">
    <w:name w:val="List Bullet 3"/>
    <w:basedOn w:val="Listepuces2"/>
    <w:uiPriority w:val="99"/>
    <w:unhideWhenUsed/>
    <w:qFormat/>
    <w:rsid w:val="00E9419C"/>
    <w:pPr>
      <w:numPr>
        <w:ilvl w:val="2"/>
      </w:numPr>
    </w:pPr>
  </w:style>
  <w:style w:type="paragraph" w:styleId="Listepuces4">
    <w:name w:val="List Bullet 4"/>
    <w:basedOn w:val="Listepuces3"/>
    <w:uiPriority w:val="13"/>
    <w:unhideWhenUsed/>
    <w:rsid w:val="00E9419C"/>
    <w:pPr>
      <w:numPr>
        <w:ilvl w:val="3"/>
      </w:numPr>
    </w:pPr>
  </w:style>
  <w:style w:type="paragraph" w:styleId="Listepuces5">
    <w:name w:val="List Bullet 5"/>
    <w:basedOn w:val="Listepuces4"/>
    <w:next w:val="Listepuces4"/>
    <w:uiPriority w:val="13"/>
    <w:unhideWhenUsed/>
    <w:rsid w:val="00E9419C"/>
    <w:pPr>
      <w:numPr>
        <w:ilvl w:val="4"/>
      </w:numPr>
    </w:pPr>
  </w:style>
  <w:style w:type="paragraph" w:customStyle="1" w:styleId="ListBullet6">
    <w:name w:val="List Bullet 6"/>
    <w:basedOn w:val="Listepuces5"/>
    <w:qFormat/>
    <w:rsid w:val="00E9419C"/>
    <w:pPr>
      <w:numPr>
        <w:ilvl w:val="5"/>
      </w:numPr>
    </w:pPr>
  </w:style>
  <w:style w:type="paragraph" w:customStyle="1" w:styleId="ListBullet7">
    <w:name w:val="List Bullet 7"/>
    <w:basedOn w:val="ListBullet6"/>
    <w:qFormat/>
    <w:rsid w:val="00E9419C"/>
    <w:pPr>
      <w:numPr>
        <w:ilvl w:val="6"/>
      </w:numPr>
    </w:pPr>
  </w:style>
  <w:style w:type="paragraph" w:customStyle="1" w:styleId="ListBullet8">
    <w:name w:val="List Bullet 8"/>
    <w:basedOn w:val="ListBullet7"/>
    <w:qFormat/>
    <w:rsid w:val="00E9419C"/>
    <w:pPr>
      <w:numPr>
        <w:ilvl w:val="7"/>
      </w:numPr>
    </w:pPr>
  </w:style>
  <w:style w:type="paragraph" w:customStyle="1" w:styleId="ListBullet9">
    <w:name w:val="List Bullet 9"/>
    <w:basedOn w:val="ListBullet8"/>
    <w:qFormat/>
    <w:rsid w:val="00E9419C"/>
    <w:pPr>
      <w:numPr>
        <w:ilvl w:val="8"/>
      </w:numPr>
    </w:pPr>
  </w:style>
  <w:style w:type="paragraph" w:styleId="Listenumros">
    <w:name w:val="List Number"/>
    <w:basedOn w:val="Normal"/>
    <w:unhideWhenUsed/>
    <w:qFormat/>
    <w:rsid w:val="00E9419C"/>
    <w:pPr>
      <w:numPr>
        <w:numId w:val="9"/>
      </w:numPr>
      <w:spacing w:before="60" w:after="60" w:line="240" w:lineRule="atLeast"/>
      <w:contextualSpacing/>
    </w:pPr>
    <w:rPr>
      <w:rFonts w:ascii="Arial" w:eastAsia="Arial" w:hAnsi="Arial" w:cs="Arial"/>
      <w:sz w:val="20"/>
      <w:szCs w:val="20"/>
    </w:rPr>
  </w:style>
  <w:style w:type="paragraph" w:styleId="Listenumros3">
    <w:name w:val="List Number 3"/>
    <w:basedOn w:val="Listenumros2"/>
    <w:unhideWhenUsed/>
    <w:qFormat/>
    <w:rsid w:val="00E9419C"/>
    <w:pPr>
      <w:numPr>
        <w:ilvl w:val="2"/>
      </w:numPr>
    </w:pPr>
  </w:style>
  <w:style w:type="paragraph" w:styleId="Listenumros2">
    <w:name w:val="List Number 2"/>
    <w:basedOn w:val="Listenumros"/>
    <w:unhideWhenUsed/>
    <w:qFormat/>
    <w:rsid w:val="00E9419C"/>
    <w:pPr>
      <w:numPr>
        <w:ilvl w:val="1"/>
      </w:numPr>
    </w:pPr>
  </w:style>
  <w:style w:type="paragraph" w:styleId="Listenumros4">
    <w:name w:val="List Number 4"/>
    <w:basedOn w:val="Listenumros3"/>
    <w:unhideWhenUsed/>
    <w:rsid w:val="00E9419C"/>
    <w:pPr>
      <w:numPr>
        <w:ilvl w:val="3"/>
      </w:numPr>
    </w:pPr>
  </w:style>
  <w:style w:type="paragraph" w:styleId="Listenumros5">
    <w:name w:val="List Number 5"/>
    <w:basedOn w:val="Listenumros4"/>
    <w:unhideWhenUsed/>
    <w:rsid w:val="00E9419C"/>
    <w:pPr>
      <w:numPr>
        <w:ilvl w:val="4"/>
      </w:numPr>
    </w:pPr>
  </w:style>
  <w:style w:type="paragraph" w:customStyle="1" w:styleId="ListNumber6">
    <w:name w:val="List Number 6"/>
    <w:basedOn w:val="Listenumros5"/>
    <w:qFormat/>
    <w:rsid w:val="00E9419C"/>
    <w:pPr>
      <w:numPr>
        <w:ilvl w:val="5"/>
      </w:numPr>
    </w:pPr>
  </w:style>
  <w:style w:type="paragraph" w:customStyle="1" w:styleId="ListNumber7">
    <w:name w:val="List Number 7"/>
    <w:basedOn w:val="ListNumber6"/>
    <w:qFormat/>
    <w:rsid w:val="00E9419C"/>
    <w:pPr>
      <w:numPr>
        <w:ilvl w:val="6"/>
      </w:numPr>
    </w:pPr>
  </w:style>
  <w:style w:type="paragraph" w:customStyle="1" w:styleId="ListNumber8">
    <w:name w:val="List Number 8"/>
    <w:basedOn w:val="ListNumber7"/>
    <w:qFormat/>
    <w:rsid w:val="00E9419C"/>
    <w:pPr>
      <w:numPr>
        <w:ilvl w:val="7"/>
      </w:numPr>
    </w:pPr>
  </w:style>
  <w:style w:type="paragraph" w:customStyle="1" w:styleId="ListNumber9">
    <w:name w:val="List Number 9"/>
    <w:basedOn w:val="ListNumber8"/>
    <w:qFormat/>
    <w:rsid w:val="00E9419C"/>
    <w:pPr>
      <w:numPr>
        <w:ilvl w:val="8"/>
      </w:numPr>
    </w:pPr>
  </w:style>
  <w:style w:type="paragraph" w:customStyle="1" w:styleId="tablefillbullets">
    <w:name w:val="table fill bullets"/>
    <w:basedOn w:val="Normal"/>
    <w:rsid w:val="00E9419C"/>
    <w:pPr>
      <w:numPr>
        <w:numId w:val="10"/>
      </w:numPr>
      <w:autoSpaceDE w:val="0"/>
      <w:autoSpaceDN w:val="0"/>
      <w:adjustRightInd w:val="0"/>
      <w:spacing w:before="120" w:after="0" w:line="240" w:lineRule="auto"/>
    </w:pPr>
    <w:rPr>
      <w:rFonts w:ascii="Arial" w:eastAsia="Times New Roman" w:hAnsi="Arial" w:cs="Arial"/>
      <w:snapToGrid w:val="0"/>
      <w:sz w:val="20"/>
      <w:szCs w:val="18"/>
      <w:lang w:val="fr-BE"/>
    </w:rPr>
  </w:style>
  <w:style w:type="paragraph" w:customStyle="1" w:styleId="ListRoman">
    <w:name w:val="List Roman"/>
    <w:basedOn w:val="Corpsdetexte"/>
    <w:qFormat/>
    <w:rsid w:val="008618A4"/>
    <w:pPr>
      <w:widowControl/>
      <w:numPr>
        <w:numId w:val="11"/>
      </w:numPr>
      <w:spacing w:before="60" w:after="60" w:line="240" w:lineRule="atLeast"/>
      <w:contextualSpacing/>
    </w:pPr>
    <w:rPr>
      <w:rFonts w:ascii="Arial" w:eastAsia="Arial" w:hAnsi="Arial" w:cs="Arial"/>
      <w:sz w:val="20"/>
      <w:szCs w:val="20"/>
      <w:lang w:val="fr-FR"/>
    </w:rPr>
  </w:style>
  <w:style w:type="paragraph" w:customStyle="1" w:styleId="ListRoman2">
    <w:name w:val="List Roman 2"/>
    <w:basedOn w:val="ListRoman"/>
    <w:qFormat/>
    <w:rsid w:val="008618A4"/>
    <w:pPr>
      <w:numPr>
        <w:ilvl w:val="1"/>
      </w:numPr>
    </w:pPr>
  </w:style>
  <w:style w:type="paragraph" w:customStyle="1" w:styleId="ListRoman3">
    <w:name w:val="List Roman 3"/>
    <w:basedOn w:val="ListRoman2"/>
    <w:qFormat/>
    <w:rsid w:val="008618A4"/>
    <w:pPr>
      <w:numPr>
        <w:ilvl w:val="2"/>
      </w:numPr>
    </w:pPr>
  </w:style>
  <w:style w:type="paragraph" w:customStyle="1" w:styleId="ListRoman4">
    <w:name w:val="List Roman 4"/>
    <w:basedOn w:val="ListRoman3"/>
    <w:qFormat/>
    <w:rsid w:val="008618A4"/>
    <w:pPr>
      <w:numPr>
        <w:ilvl w:val="3"/>
      </w:numPr>
    </w:pPr>
  </w:style>
  <w:style w:type="paragraph" w:customStyle="1" w:styleId="ListRoman5">
    <w:name w:val="List Roman 5"/>
    <w:basedOn w:val="ListRoman4"/>
    <w:qFormat/>
    <w:rsid w:val="008618A4"/>
    <w:pPr>
      <w:numPr>
        <w:ilvl w:val="4"/>
      </w:numPr>
    </w:pPr>
  </w:style>
  <w:style w:type="paragraph" w:customStyle="1" w:styleId="ListRoman6">
    <w:name w:val="List Roman 6"/>
    <w:basedOn w:val="ListRoman5"/>
    <w:qFormat/>
    <w:rsid w:val="008618A4"/>
    <w:pPr>
      <w:numPr>
        <w:ilvl w:val="5"/>
      </w:numPr>
    </w:pPr>
  </w:style>
  <w:style w:type="paragraph" w:customStyle="1" w:styleId="ListRoman7">
    <w:name w:val="List Roman 7"/>
    <w:basedOn w:val="ListRoman6"/>
    <w:qFormat/>
    <w:rsid w:val="008618A4"/>
    <w:pPr>
      <w:numPr>
        <w:ilvl w:val="6"/>
      </w:numPr>
    </w:pPr>
  </w:style>
  <w:style w:type="paragraph" w:customStyle="1" w:styleId="ListRoman8">
    <w:name w:val="List Roman 8"/>
    <w:basedOn w:val="ListRoman7"/>
    <w:qFormat/>
    <w:rsid w:val="008618A4"/>
    <w:pPr>
      <w:numPr>
        <w:ilvl w:val="7"/>
      </w:numPr>
    </w:pPr>
  </w:style>
  <w:style w:type="paragraph" w:customStyle="1" w:styleId="ListRoman9">
    <w:name w:val="List Roman 9"/>
    <w:basedOn w:val="ListRoman8"/>
    <w:qFormat/>
    <w:rsid w:val="008618A4"/>
    <w:pPr>
      <w:numPr>
        <w:ilvl w:val="8"/>
      </w:numPr>
    </w:pPr>
  </w:style>
  <w:style w:type="paragraph" w:customStyle="1" w:styleId="PwCBullet">
    <w:name w:val="PwC Bullet"/>
    <w:basedOn w:val="Normal"/>
    <w:rsid w:val="00823DE1"/>
    <w:pPr>
      <w:numPr>
        <w:numId w:val="12"/>
      </w:numPr>
      <w:spacing w:before="60" w:after="60" w:line="240" w:lineRule="auto"/>
      <w:jc w:val="both"/>
    </w:pPr>
    <w:rPr>
      <w:rFonts w:ascii="Georgia" w:eastAsia="Times New Roman" w:hAnsi="Georgia" w:cs="Arial"/>
      <w:snapToGrid w:val="0"/>
      <w:szCs w:val="20"/>
      <w:lang w:val="en-AU"/>
    </w:rPr>
  </w:style>
  <w:style w:type="paragraph" w:customStyle="1" w:styleId="Achievement">
    <w:name w:val="Achievement"/>
    <w:rsid w:val="00112AC3"/>
    <w:pPr>
      <w:numPr>
        <w:ilvl w:val="1"/>
        <w:numId w:val="18"/>
      </w:numPr>
      <w:spacing w:after="60" w:line="220" w:lineRule="atLeast"/>
      <w:ind w:right="-360"/>
    </w:pPr>
    <w:rPr>
      <w:rFonts w:ascii="Times New Roman" w:eastAsia="Batang" w:hAnsi="Times New Roman" w:cs="Times New Roman"/>
      <w:sz w:val="20"/>
      <w:szCs w:val="20"/>
    </w:rPr>
  </w:style>
  <w:style w:type="paragraph" w:customStyle="1" w:styleId="TitreIFC4">
    <w:name w:val="Titre IFC 4"/>
    <w:basedOn w:val="Titre4"/>
    <w:link w:val="TitreIFC4Car"/>
    <w:rsid w:val="00C473F5"/>
    <w:rPr>
      <w:b/>
      <w:bCs/>
      <w:color w:val="E87722"/>
    </w:rPr>
  </w:style>
  <w:style w:type="paragraph" w:styleId="NormalWeb">
    <w:name w:val="Normal (Web)"/>
    <w:basedOn w:val="Normal"/>
    <w:uiPriority w:val="99"/>
    <w:unhideWhenUsed/>
    <w:rsid w:val="008134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IFC4Car">
    <w:name w:val="Titre IFC 4 Car"/>
    <w:basedOn w:val="Titre4Car"/>
    <w:link w:val="TitreIFC4"/>
    <w:rsid w:val="00C473F5"/>
    <w:rPr>
      <w:rFonts w:asciiTheme="majorHAnsi" w:eastAsiaTheme="majorEastAsia" w:hAnsiTheme="majorHAnsi" w:cstheme="majorBidi"/>
      <w:b/>
      <w:bCs/>
      <w:i/>
      <w:iCs/>
      <w:color w:val="E8772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0">
    <w:name w:val="20"/>
    <w:basedOn w:val="TableNormal3"/>
    <w:tblPr/>
  </w:style>
  <w:style w:type="table" w:customStyle="1" w:styleId="19">
    <w:name w:val="19"/>
    <w:basedOn w:val="TableNormal3"/>
    <w:rPr>
      <w:color w:val="5F80A7"/>
      <w:sz w:val="20"/>
      <w:szCs w:val="20"/>
    </w:rPr>
    <w:tblPr>
      <w:tblStyleRowBandSize w:val="1"/>
      <w:tblStyleColBandSize w:val="1"/>
    </w:tblPr>
    <w:tcPr>
      <w:shd w:val="clear" w:color="auto" w:fill="FFFFFF"/>
    </w:tcPr>
    <w:tblStylePr w:type="firstRow">
      <w:rPr>
        <w:b/>
      </w:rPr>
      <w:tblPr/>
      <w:tcPr>
        <w:tcBorders>
          <w:bottom w:val="single" w:sz="12" w:space="0" w:color="8EAADB"/>
        </w:tcBorders>
      </w:tcPr>
    </w:tblStylePr>
    <w:tblStylePr w:type="lastRow">
      <w:rPr>
        <w:b/>
      </w:rPr>
    </w:tblStylePr>
    <w:tblStylePr w:type="firstCol">
      <w:rPr>
        <w:b/>
      </w:rPr>
    </w:tblStylePr>
    <w:tblStylePr w:type="lastCol">
      <w:rPr>
        <w:b/>
      </w:rPr>
    </w:tblStylePr>
  </w:style>
  <w:style w:type="table" w:customStyle="1" w:styleId="18">
    <w:name w:val="18"/>
    <w:basedOn w:val="TableNormal3"/>
    <w:rPr>
      <w:color w:val="5F80A7"/>
      <w:sz w:val="20"/>
      <w:szCs w:val="20"/>
    </w:rPr>
    <w:tblPr/>
  </w:style>
  <w:style w:type="table" w:customStyle="1" w:styleId="17">
    <w:name w:val="17"/>
    <w:basedOn w:val="TableNormal3"/>
    <w:rPr>
      <w:color w:val="5F80A7"/>
      <w:sz w:val="20"/>
      <w:szCs w:val="20"/>
    </w:rPr>
    <w:tblPr/>
  </w:style>
  <w:style w:type="table" w:customStyle="1" w:styleId="16">
    <w:name w:val="16"/>
    <w:basedOn w:val="TableNormal3"/>
    <w:rPr>
      <w:color w:val="5F80A7"/>
      <w:sz w:val="20"/>
      <w:szCs w:val="20"/>
    </w:rPr>
    <w:tblPr/>
  </w:style>
  <w:style w:type="table" w:customStyle="1" w:styleId="15">
    <w:name w:val="15"/>
    <w:basedOn w:val="TableNormal3"/>
    <w:rPr>
      <w:color w:val="5F80A7"/>
      <w:sz w:val="20"/>
      <w:szCs w:val="20"/>
    </w:rPr>
    <w:tblPr/>
  </w:style>
  <w:style w:type="table" w:customStyle="1" w:styleId="14">
    <w:name w:val="14"/>
    <w:basedOn w:val="TableNormal3"/>
    <w:rPr>
      <w:color w:val="5F80A7"/>
      <w:sz w:val="20"/>
      <w:szCs w:val="20"/>
    </w:rPr>
    <w:tblPr/>
  </w:style>
  <w:style w:type="table" w:customStyle="1" w:styleId="13">
    <w:name w:val="13"/>
    <w:basedOn w:val="TableNormal3"/>
    <w:rPr>
      <w:color w:val="5F80A7"/>
      <w:sz w:val="20"/>
      <w:szCs w:val="20"/>
    </w:rPr>
    <w:tblPr/>
  </w:style>
  <w:style w:type="table" w:customStyle="1" w:styleId="12">
    <w:name w:val="12"/>
    <w:basedOn w:val="TableNormal3"/>
    <w:rPr>
      <w:color w:val="5F80A7"/>
      <w:sz w:val="20"/>
      <w:szCs w:val="20"/>
    </w:rPr>
    <w:tblPr/>
  </w:style>
  <w:style w:type="table" w:customStyle="1" w:styleId="11">
    <w:name w:val="11"/>
    <w:basedOn w:val="TableNormal3"/>
    <w:rPr>
      <w:color w:val="5F80A7"/>
      <w:sz w:val="20"/>
      <w:szCs w:val="20"/>
    </w:rPr>
    <w:tblPr/>
  </w:style>
  <w:style w:type="paragraph" w:styleId="TM4">
    <w:name w:val="toc 4"/>
    <w:basedOn w:val="Normal"/>
    <w:next w:val="Normal"/>
    <w:autoRedefine/>
    <w:uiPriority w:val="39"/>
    <w:unhideWhenUsed/>
    <w:rsid w:val="00055A39"/>
    <w:pPr>
      <w:spacing w:after="0"/>
      <w:ind w:left="440"/>
    </w:pPr>
    <w:rPr>
      <w:rFonts w:asciiTheme="minorHAnsi" w:hAnsiTheme="minorHAnsi" w:cstheme="minorHAnsi"/>
      <w:sz w:val="20"/>
      <w:szCs w:val="24"/>
    </w:rPr>
  </w:style>
  <w:style w:type="character" w:styleId="Textedelespacerserv">
    <w:name w:val="Placeholder Text"/>
    <w:basedOn w:val="Policepardfaut"/>
    <w:uiPriority w:val="99"/>
    <w:semiHidden/>
    <w:rsid w:val="00E9453E"/>
    <w:rPr>
      <w:color w:val="808080"/>
    </w:rPr>
  </w:style>
  <w:style w:type="paragraph" w:customStyle="1" w:styleId="ExhibitHeading4">
    <w:name w:val="Exhibit Heading 4"/>
    <w:basedOn w:val="Normal"/>
    <w:next w:val="Corpsdetexte"/>
    <w:qFormat/>
    <w:rsid w:val="00713543"/>
    <w:pPr>
      <w:numPr>
        <w:ilvl w:val="3"/>
        <w:numId w:val="15"/>
      </w:numPr>
      <w:spacing w:after="240" w:line="240" w:lineRule="auto"/>
      <w:ind w:left="357" w:hanging="357"/>
    </w:pPr>
    <w:rPr>
      <w:rFonts w:ascii="Arial" w:eastAsia="Arial" w:hAnsi="Arial" w:cs="Arial"/>
      <w:i/>
      <w:color w:val="44546A" w:themeColor="text2"/>
      <w:sz w:val="28"/>
      <w:szCs w:val="28"/>
    </w:rPr>
  </w:style>
  <w:style w:type="paragraph" w:customStyle="1" w:styleId="ListAlpha">
    <w:name w:val="List Alpha"/>
    <w:basedOn w:val="Normal"/>
    <w:qFormat/>
    <w:rsid w:val="00713543"/>
    <w:pPr>
      <w:numPr>
        <w:numId w:val="16"/>
      </w:numPr>
      <w:spacing w:before="60" w:after="60" w:line="240" w:lineRule="atLeast"/>
      <w:contextualSpacing/>
    </w:pPr>
    <w:rPr>
      <w:rFonts w:ascii="Arial" w:eastAsia="Arial" w:hAnsi="Arial" w:cs="Arial"/>
      <w:sz w:val="20"/>
      <w:szCs w:val="20"/>
    </w:rPr>
  </w:style>
  <w:style w:type="paragraph" w:customStyle="1" w:styleId="ListAlpha2">
    <w:name w:val="List Alpha 2"/>
    <w:basedOn w:val="ListAlpha"/>
    <w:qFormat/>
    <w:rsid w:val="00713543"/>
    <w:pPr>
      <w:numPr>
        <w:ilvl w:val="1"/>
      </w:numPr>
    </w:pPr>
  </w:style>
  <w:style w:type="paragraph" w:customStyle="1" w:styleId="ListAlpha3">
    <w:name w:val="List Alpha 3"/>
    <w:basedOn w:val="ListAlpha2"/>
    <w:qFormat/>
    <w:rsid w:val="00713543"/>
    <w:pPr>
      <w:numPr>
        <w:ilvl w:val="2"/>
      </w:numPr>
    </w:pPr>
  </w:style>
  <w:style w:type="paragraph" w:customStyle="1" w:styleId="ListAlpha5">
    <w:name w:val="List Alpha 5"/>
    <w:basedOn w:val="ListAlpha4"/>
    <w:qFormat/>
    <w:rsid w:val="00713543"/>
    <w:pPr>
      <w:numPr>
        <w:ilvl w:val="4"/>
      </w:numPr>
    </w:pPr>
  </w:style>
  <w:style w:type="paragraph" w:customStyle="1" w:styleId="ListAlpha4">
    <w:name w:val="List Alpha 4"/>
    <w:basedOn w:val="ListAlpha3"/>
    <w:qFormat/>
    <w:rsid w:val="00713543"/>
    <w:pPr>
      <w:numPr>
        <w:ilvl w:val="3"/>
      </w:numPr>
    </w:pPr>
  </w:style>
  <w:style w:type="paragraph" w:customStyle="1" w:styleId="ListAlpha6">
    <w:name w:val="List Alpha 6"/>
    <w:basedOn w:val="ListAlpha5"/>
    <w:qFormat/>
    <w:rsid w:val="00713543"/>
    <w:pPr>
      <w:numPr>
        <w:ilvl w:val="5"/>
      </w:numPr>
    </w:pPr>
  </w:style>
  <w:style w:type="paragraph" w:customStyle="1" w:styleId="ListAlpha7">
    <w:name w:val="List Alpha 7"/>
    <w:basedOn w:val="ListAlpha6"/>
    <w:qFormat/>
    <w:rsid w:val="00713543"/>
    <w:pPr>
      <w:numPr>
        <w:ilvl w:val="6"/>
      </w:numPr>
    </w:pPr>
  </w:style>
  <w:style w:type="paragraph" w:customStyle="1" w:styleId="ListAlpha8">
    <w:name w:val="List Alpha 8"/>
    <w:basedOn w:val="ListAlpha7"/>
    <w:qFormat/>
    <w:rsid w:val="00713543"/>
    <w:pPr>
      <w:numPr>
        <w:ilvl w:val="7"/>
      </w:numPr>
    </w:pPr>
  </w:style>
  <w:style w:type="paragraph" w:customStyle="1" w:styleId="ListAlpha9">
    <w:name w:val="List Alpha 9"/>
    <w:basedOn w:val="ListAlpha8"/>
    <w:qFormat/>
    <w:rsid w:val="00713543"/>
    <w:pPr>
      <w:numPr>
        <w:ilvl w:val="8"/>
      </w:numPr>
    </w:pPr>
  </w:style>
  <w:style w:type="paragraph" w:customStyle="1" w:styleId="TableBullet1Normal">
    <w:name w:val="Table Bullet 1 Normal"/>
    <w:basedOn w:val="Normal"/>
    <w:rsid w:val="00713543"/>
    <w:pPr>
      <w:numPr>
        <w:numId w:val="17"/>
      </w:numPr>
      <w:kinsoku w:val="0"/>
      <w:overflowPunct w:val="0"/>
      <w:autoSpaceDE w:val="0"/>
      <w:autoSpaceDN w:val="0"/>
      <w:adjustRightInd w:val="0"/>
      <w:snapToGrid w:val="0"/>
      <w:spacing w:before="40" w:after="40" w:line="240" w:lineRule="auto"/>
    </w:pPr>
    <w:rPr>
      <w:rFonts w:ascii="Arial" w:eastAsia="Times New Roman" w:hAnsi="Arial" w:cs="Arial"/>
      <w:snapToGrid w:val="0"/>
      <w:sz w:val="21"/>
      <w:szCs w:val="21"/>
      <w:lang w:val="en-AU"/>
    </w:rPr>
  </w:style>
  <w:style w:type="paragraph" w:customStyle="1" w:styleId="TableBullet3Normal">
    <w:name w:val="Table Bullet 3 Normal"/>
    <w:basedOn w:val="TableBullet2Normal"/>
    <w:rsid w:val="00713543"/>
    <w:pPr>
      <w:numPr>
        <w:ilvl w:val="2"/>
      </w:numPr>
    </w:pPr>
    <w:rPr>
      <w:szCs w:val="20"/>
    </w:rPr>
  </w:style>
  <w:style w:type="paragraph" w:customStyle="1" w:styleId="TableBullet2Normal">
    <w:name w:val="Table Bullet 2 Normal"/>
    <w:basedOn w:val="TableBullet1Normal"/>
    <w:rsid w:val="00713543"/>
    <w:pPr>
      <w:numPr>
        <w:ilvl w:val="1"/>
      </w:numPr>
    </w:pPr>
  </w:style>
  <w:style w:type="paragraph" w:customStyle="1" w:styleId="00BodyText">
    <w:name w:val="00_Body Text"/>
    <w:basedOn w:val="Normal"/>
    <w:qFormat/>
    <w:rsid w:val="00404CA4"/>
    <w:pPr>
      <w:spacing w:after="240" w:line="280" w:lineRule="exact"/>
      <w:jc w:val="both"/>
    </w:pPr>
    <w:rPr>
      <w:rFonts w:asciiTheme="majorHAnsi" w:eastAsia="Arial" w:hAnsiTheme="majorHAnsi" w:cstheme="majorHAnsi"/>
      <w:szCs w:val="24"/>
      <w:lang w:val="en-US" w:eastAsia="en-US"/>
    </w:rPr>
  </w:style>
  <w:style w:type="table" w:customStyle="1" w:styleId="10">
    <w:name w:val="10"/>
    <w:basedOn w:val="TableNormal2"/>
    <w:pPr>
      <w:spacing w:after="0" w:line="240" w:lineRule="auto"/>
    </w:pPr>
    <w:rPr>
      <w:color w:val="5F80A7"/>
      <w:sz w:val="20"/>
      <w:szCs w:val="20"/>
    </w:rPr>
    <w:tblPr/>
  </w:style>
  <w:style w:type="table" w:customStyle="1" w:styleId="9">
    <w:name w:val="9"/>
    <w:basedOn w:val="TableNormal2"/>
    <w:pPr>
      <w:spacing w:after="0" w:line="240" w:lineRule="auto"/>
    </w:pPr>
    <w:rPr>
      <w:color w:val="5F80A7"/>
      <w:sz w:val="20"/>
      <w:szCs w:val="20"/>
    </w:rPr>
    <w:tblPr/>
  </w:style>
  <w:style w:type="table" w:customStyle="1" w:styleId="8">
    <w:name w:val="8"/>
    <w:basedOn w:val="TableNormal2"/>
    <w:pPr>
      <w:spacing w:after="0" w:line="240" w:lineRule="auto"/>
    </w:pPr>
    <w:rPr>
      <w:color w:val="5F80A7"/>
      <w:sz w:val="20"/>
      <w:szCs w:val="20"/>
    </w:rPr>
    <w:tblPr/>
  </w:style>
  <w:style w:type="table" w:customStyle="1" w:styleId="7">
    <w:name w:val="7"/>
    <w:basedOn w:val="TableNormal2"/>
    <w:pPr>
      <w:widowControl w:val="0"/>
      <w:spacing w:after="0" w:line="240" w:lineRule="auto"/>
    </w:pPr>
    <w:rPr>
      <w:color w:val="5F80A7"/>
      <w:sz w:val="20"/>
      <w:szCs w:val="20"/>
    </w:rPr>
    <w:tblPr/>
  </w:style>
  <w:style w:type="table" w:customStyle="1" w:styleId="6">
    <w:name w:val="6"/>
    <w:basedOn w:val="TableNormal2"/>
    <w:pPr>
      <w:spacing w:after="0" w:line="240" w:lineRule="auto"/>
    </w:pPr>
    <w:rPr>
      <w:color w:val="5F80A7"/>
      <w:sz w:val="20"/>
      <w:szCs w:val="20"/>
    </w:rPr>
    <w:tblPr/>
  </w:style>
  <w:style w:type="table" w:customStyle="1" w:styleId="5">
    <w:name w:val="5"/>
    <w:basedOn w:val="TableNormal2"/>
    <w:pPr>
      <w:spacing w:after="0" w:line="240" w:lineRule="auto"/>
    </w:pPr>
    <w:rPr>
      <w:color w:val="5F80A7"/>
      <w:sz w:val="20"/>
      <w:szCs w:val="20"/>
    </w:rPr>
    <w:tblPr/>
  </w:style>
  <w:style w:type="table" w:customStyle="1" w:styleId="4">
    <w:name w:val="4"/>
    <w:basedOn w:val="TableNormal2"/>
    <w:tblPr/>
  </w:style>
  <w:style w:type="table" w:customStyle="1" w:styleId="3">
    <w:name w:val="3"/>
    <w:basedOn w:val="TableNormal2"/>
    <w:pPr>
      <w:spacing w:after="0" w:line="240" w:lineRule="auto"/>
    </w:pPr>
    <w:rPr>
      <w:color w:val="5F80A7"/>
      <w:sz w:val="20"/>
      <w:szCs w:val="20"/>
    </w:rPr>
    <w:tblPr/>
  </w:style>
  <w:style w:type="table" w:customStyle="1" w:styleId="2">
    <w:name w:val="2"/>
    <w:basedOn w:val="TableNormal2"/>
    <w:tblPr/>
  </w:style>
  <w:style w:type="paragraph" w:customStyle="1" w:styleId="IFCTITRE1">
    <w:name w:val="IFC TITRE 1"/>
    <w:basedOn w:val="Titre1"/>
    <w:link w:val="IFCTITRE1Car"/>
    <w:qFormat/>
    <w:rsid w:val="00C3023A"/>
    <w:rPr>
      <w:color w:val="002345"/>
      <w:sz w:val="44"/>
    </w:rPr>
  </w:style>
  <w:style w:type="paragraph" w:customStyle="1" w:styleId="IFCTITRE2">
    <w:name w:val="IFC TITRE 2"/>
    <w:basedOn w:val="Titre2"/>
    <w:link w:val="IFCTITRE2Car"/>
    <w:autoRedefine/>
    <w:qFormat/>
    <w:rsid w:val="00FC1892"/>
    <w:pPr>
      <w:numPr>
        <w:numId w:val="19"/>
      </w:numPr>
      <w:pBdr>
        <w:top w:val="nil"/>
        <w:left w:val="nil"/>
        <w:bottom w:val="nil"/>
        <w:right w:val="nil"/>
        <w:between w:val="nil"/>
      </w:pBdr>
    </w:pPr>
    <w:rPr>
      <w:rFonts w:eastAsia="MS Mincho"/>
      <w:b/>
      <w:color w:val="00ADE4"/>
    </w:rPr>
  </w:style>
  <w:style w:type="character" w:customStyle="1" w:styleId="IFCTITRE1Car">
    <w:name w:val="IFC TITRE 1 Car"/>
    <w:basedOn w:val="Titre1Car"/>
    <w:link w:val="IFCTITRE1"/>
    <w:rsid w:val="00C3023A"/>
    <w:rPr>
      <w:rFonts w:asciiTheme="majorHAnsi" w:eastAsiaTheme="majorEastAsia" w:hAnsiTheme="majorHAnsi" w:cstheme="majorBidi"/>
      <w:b/>
      <w:color w:val="002345"/>
      <w:sz w:val="44"/>
      <w:szCs w:val="36"/>
      <w:lang w:val="fr-FR" w:eastAsia="en-US"/>
    </w:rPr>
  </w:style>
  <w:style w:type="paragraph" w:customStyle="1" w:styleId="IFCTITRE3">
    <w:name w:val="IFC TITRE 3"/>
    <w:basedOn w:val="Normal"/>
    <w:link w:val="IFCTITRE3Car"/>
    <w:autoRedefine/>
    <w:rsid w:val="00C2451F"/>
    <w:pPr>
      <w:keepNext/>
      <w:keepLines/>
      <w:pBdr>
        <w:top w:val="nil"/>
        <w:left w:val="nil"/>
        <w:bottom w:val="nil"/>
        <w:right w:val="nil"/>
        <w:between w:val="nil"/>
      </w:pBdr>
      <w:tabs>
        <w:tab w:val="left" w:pos="1134"/>
      </w:tabs>
      <w:spacing w:before="240" w:after="120"/>
      <w:jc w:val="both"/>
    </w:pPr>
    <w:rPr>
      <w:b/>
      <w:color w:val="4C868E"/>
      <w:sz w:val="24"/>
      <w:szCs w:val="24"/>
    </w:rPr>
  </w:style>
  <w:style w:type="character" w:customStyle="1" w:styleId="IFCTITRE2Car">
    <w:name w:val="IFC TITRE 2 Car"/>
    <w:basedOn w:val="Titre2Car"/>
    <w:link w:val="IFCTITRE2"/>
    <w:rsid w:val="00FC1892"/>
    <w:rPr>
      <w:rFonts w:asciiTheme="majorHAnsi" w:eastAsia="MS Mincho" w:hAnsiTheme="majorHAnsi" w:cstheme="majorBidi"/>
      <w:b/>
      <w:color w:val="00ADE4"/>
      <w:sz w:val="32"/>
      <w:szCs w:val="32"/>
      <w:lang w:val="fr-FR" w:eastAsia="en-US"/>
    </w:rPr>
  </w:style>
  <w:style w:type="paragraph" w:customStyle="1" w:styleId="IFCTITRE4">
    <w:name w:val="IFC TITRE 4"/>
    <w:basedOn w:val="Normal"/>
    <w:link w:val="IFCTITRE4Car"/>
    <w:qFormat/>
    <w:rsid w:val="00A43800"/>
    <w:pPr>
      <w:keepNext/>
      <w:keepLines/>
      <w:numPr>
        <w:ilvl w:val="4"/>
        <w:numId w:val="14"/>
      </w:numPr>
      <w:pBdr>
        <w:top w:val="nil"/>
        <w:left w:val="nil"/>
        <w:bottom w:val="nil"/>
        <w:right w:val="nil"/>
        <w:between w:val="nil"/>
      </w:pBdr>
      <w:spacing w:before="40" w:after="240"/>
      <w:ind w:left="993"/>
    </w:pPr>
    <w:rPr>
      <w:b/>
      <w:i/>
      <w:color w:val="E87722"/>
    </w:rPr>
  </w:style>
  <w:style w:type="character" w:customStyle="1" w:styleId="IFCTITRE3Car">
    <w:name w:val="IFC TITRE 3 Car"/>
    <w:basedOn w:val="Policepardfaut"/>
    <w:link w:val="IFCTITRE3"/>
    <w:rsid w:val="00C2451F"/>
    <w:rPr>
      <w:b/>
      <w:color w:val="4C868E"/>
      <w:sz w:val="24"/>
      <w:szCs w:val="24"/>
      <w:lang w:val="fr-FR"/>
    </w:rPr>
  </w:style>
  <w:style w:type="character" w:customStyle="1" w:styleId="IFCTITRE4Car">
    <w:name w:val="IFC TITRE 4 Car"/>
    <w:basedOn w:val="Policepardfaut"/>
    <w:link w:val="IFCTITRE4"/>
    <w:rsid w:val="00A43800"/>
    <w:rPr>
      <w:b/>
      <w:i/>
      <w:color w:val="E87722"/>
      <w:lang w:val="fr-FR"/>
    </w:rPr>
  </w:style>
  <w:style w:type="paragraph" w:customStyle="1" w:styleId="BankNormal">
    <w:name w:val="BankNormal"/>
    <w:basedOn w:val="Normal"/>
    <w:rsid w:val="00EC5459"/>
    <w:pPr>
      <w:spacing w:after="240" w:line="240" w:lineRule="auto"/>
    </w:pPr>
    <w:rPr>
      <w:rFonts w:ascii="Times New Roman" w:eastAsia="Times New Roman" w:hAnsi="Times New Roman" w:cs="Times New Roman"/>
      <w:sz w:val="24"/>
      <w:szCs w:val="20"/>
      <w:lang w:val="en-US" w:eastAsia="en-US"/>
    </w:rPr>
  </w:style>
  <w:style w:type="table" w:customStyle="1" w:styleId="TableauGrille1Clair-Accentuation21">
    <w:name w:val="Tableau Grille 1 Clair - Accentuation 21"/>
    <w:basedOn w:val="TableauNormal"/>
    <w:uiPriority w:val="46"/>
    <w:rsid w:val="00B114EF"/>
    <w:pPr>
      <w:spacing w:after="0" w:line="240" w:lineRule="auto"/>
    </w:pPr>
    <w:rPr>
      <w:rFonts w:asciiTheme="minorHAnsi" w:eastAsiaTheme="minorHAnsi" w:hAnsiTheme="minorHAnsi" w:cstheme="minorBidi"/>
      <w:lang w:val="en-US" w:eastAsia="en-US"/>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numbering" w:customStyle="1" w:styleId="Aucuneliste1">
    <w:name w:val="Aucune liste1"/>
    <w:next w:val="Aucuneliste"/>
    <w:uiPriority w:val="99"/>
    <w:semiHidden/>
    <w:unhideWhenUsed/>
    <w:rsid w:val="00477DCD"/>
  </w:style>
  <w:style w:type="paragraph" w:customStyle="1" w:styleId="coprsdetexte">
    <w:name w:val="coprs de texte"/>
    <w:basedOn w:val="Normal"/>
    <w:link w:val="coprsdetexteCar"/>
    <w:autoRedefine/>
    <w:qFormat/>
    <w:rsid w:val="00477DCD"/>
    <w:pPr>
      <w:spacing w:after="120" w:line="240" w:lineRule="auto"/>
      <w:jc w:val="both"/>
    </w:pPr>
    <w:rPr>
      <w:rFonts w:eastAsia="Times New Roman"/>
      <w:sz w:val="24"/>
      <w:szCs w:val="24"/>
      <w:lang w:eastAsia="fr-FR"/>
    </w:rPr>
  </w:style>
  <w:style w:type="character" w:customStyle="1" w:styleId="coprsdetexteCar">
    <w:name w:val="coprs de texte Car"/>
    <w:basedOn w:val="Policepardfaut"/>
    <w:link w:val="coprsdetexte"/>
    <w:rsid w:val="00477DCD"/>
    <w:rPr>
      <w:rFonts w:eastAsia="Times New Roman"/>
      <w:sz w:val="24"/>
      <w:szCs w:val="24"/>
      <w:lang w:val="fr-FR" w:eastAsia="fr-FR"/>
    </w:rPr>
  </w:style>
  <w:style w:type="paragraph" w:customStyle="1" w:styleId="0">
    <w:name w:val="0"/>
    <w:basedOn w:val="Normal"/>
    <w:rsid w:val="00477DCD"/>
    <w:pPr>
      <w:tabs>
        <w:tab w:val="left" w:pos="851"/>
        <w:tab w:val="left" w:pos="1134"/>
        <w:tab w:val="right" w:pos="9072"/>
      </w:tabs>
      <w:spacing w:after="40" w:line="240" w:lineRule="auto"/>
      <w:ind w:left="567"/>
      <w:jc w:val="both"/>
    </w:pPr>
    <w:rPr>
      <w:rFonts w:ascii="Traditional Arabic" w:eastAsia="Times New Roman" w:hAnsi="Traditional Arabic" w:cs="Times New Roman"/>
      <w:snapToGrid w:val="0"/>
      <w:sz w:val="24"/>
      <w:szCs w:val="24"/>
      <w:lang w:eastAsia="fr-FR"/>
    </w:rPr>
  </w:style>
  <w:style w:type="character" w:styleId="Numrodepage">
    <w:name w:val="page number"/>
    <w:basedOn w:val="Policepardfaut"/>
    <w:rsid w:val="00477DCD"/>
  </w:style>
  <w:style w:type="paragraph" w:styleId="Sansinterligne">
    <w:name w:val="No Spacing"/>
    <w:qFormat/>
    <w:rsid w:val="00477DCD"/>
    <w:pPr>
      <w:spacing w:after="0" w:line="240" w:lineRule="auto"/>
      <w:jc w:val="both"/>
    </w:pPr>
    <w:rPr>
      <w:rFonts w:cs="Arial"/>
      <w:lang w:val="fr-FR" w:eastAsia="en-US"/>
    </w:rPr>
  </w:style>
  <w:style w:type="character" w:customStyle="1" w:styleId="apple-converted-space">
    <w:name w:val="apple-converted-space"/>
    <w:basedOn w:val="Policepardfaut"/>
    <w:rsid w:val="00477DCD"/>
  </w:style>
  <w:style w:type="table" w:customStyle="1" w:styleId="Grilledutableau1">
    <w:name w:val="Grille du tableau1"/>
    <w:basedOn w:val="TableauNormal"/>
    <w:next w:val="Grilledutableau"/>
    <w:uiPriority w:val="59"/>
    <w:rsid w:val="00477DCD"/>
    <w:pPr>
      <w:spacing w:after="0" w:line="240" w:lineRule="auto"/>
    </w:pPr>
    <w:rPr>
      <w:rFonts w:cs="Arial"/>
      <w:lang w:val="fr-FR" w:eastAsia="en-US"/>
    </w:rPr>
    <w:tblPr/>
  </w:style>
  <w:style w:type="numbering" w:customStyle="1" w:styleId="Aucuneliste2">
    <w:name w:val="Aucune liste2"/>
    <w:next w:val="Aucuneliste"/>
    <w:uiPriority w:val="99"/>
    <w:semiHidden/>
    <w:unhideWhenUsed/>
    <w:rsid w:val="008B78AE"/>
  </w:style>
  <w:style w:type="table" w:customStyle="1" w:styleId="Grilledutableau2">
    <w:name w:val="Grille du tableau2"/>
    <w:basedOn w:val="TableauNormal"/>
    <w:next w:val="Grilledutableau"/>
    <w:uiPriority w:val="59"/>
    <w:rsid w:val="008B78AE"/>
    <w:pPr>
      <w:spacing w:after="0" w:line="240" w:lineRule="auto"/>
    </w:pPr>
    <w:rPr>
      <w:rFonts w:cs="Arial"/>
      <w:lang w:val="fr-FR" w:eastAsia="en-US"/>
    </w:rPr>
    <w:tblPr/>
  </w:style>
  <w:style w:type="table" w:customStyle="1" w:styleId="Grilledutableau3">
    <w:name w:val="Grille du tableau3"/>
    <w:basedOn w:val="TableauNormal"/>
    <w:next w:val="Grilledutableau"/>
    <w:uiPriority w:val="59"/>
    <w:rsid w:val="00322C9D"/>
    <w:pPr>
      <w:spacing w:after="0" w:line="240" w:lineRule="auto"/>
    </w:pPr>
    <w:rPr>
      <w:rFonts w:eastAsia="Times New Roman" w:cs="Arial"/>
      <w:lang w:val="fr-FR" w:eastAsia="fr-FR"/>
    </w:rPr>
    <w:tblPr/>
  </w:style>
  <w:style w:type="character" w:customStyle="1" w:styleId="Mentionnonrsolue3">
    <w:name w:val="Mention non résolue3"/>
    <w:basedOn w:val="Policepardfaut"/>
    <w:uiPriority w:val="99"/>
    <w:semiHidden/>
    <w:unhideWhenUsed/>
    <w:rsid w:val="00DD450C"/>
    <w:rPr>
      <w:color w:val="605E5C"/>
      <w:shd w:val="clear" w:color="auto" w:fill="E1DFDD"/>
    </w:rPr>
  </w:style>
  <w:style w:type="character" w:styleId="Mentionnonrsolue">
    <w:name w:val="Unresolved Mention"/>
    <w:basedOn w:val="Policepardfaut"/>
    <w:uiPriority w:val="99"/>
    <w:semiHidden/>
    <w:unhideWhenUsed/>
    <w:rsid w:val="000B5410"/>
    <w:rPr>
      <w:color w:val="605E5C"/>
      <w:shd w:val="clear" w:color="auto" w:fill="E1DFDD"/>
    </w:rPr>
  </w:style>
  <w:style w:type="paragraph" w:styleId="En-ttedetabledesmatires">
    <w:name w:val="TOC Heading"/>
    <w:basedOn w:val="Titre1"/>
    <w:next w:val="Normal"/>
    <w:uiPriority w:val="39"/>
    <w:unhideWhenUsed/>
    <w:qFormat/>
    <w:rsid w:val="00E67C22"/>
    <w:pPr>
      <w:outlineLvl w:val="9"/>
    </w:pPr>
    <w:rPr>
      <w:color w:val="2E74B5" w:themeColor="accent1" w:themeShade="BF"/>
      <w:lang w:val="en-US"/>
    </w:rPr>
  </w:style>
  <w:style w:type="character" w:styleId="lev">
    <w:name w:val="Strong"/>
    <w:basedOn w:val="Policepardfaut"/>
    <w:uiPriority w:val="22"/>
    <w:qFormat/>
    <w:rsid w:val="00923CAC"/>
    <w:rPr>
      <w:b/>
      <w:bCs/>
    </w:rPr>
  </w:style>
  <w:style w:type="table" w:styleId="TableauListe3-Accentuation5">
    <w:name w:val="List Table 3 Accent 5"/>
    <w:basedOn w:val="TableauNormal"/>
    <w:uiPriority w:val="48"/>
    <w:rsid w:val="00C62B0B"/>
    <w:pPr>
      <w:spacing w:after="0" w:line="240" w:lineRule="auto"/>
    </w:pPr>
    <w:tblPr>
      <w:tblStyleRowBandSize w:val="1"/>
      <w:tblStyleColBandSize w:val="1"/>
    </w:tblPr>
    <w:tcPr>
      <w:tcBorders>
        <w:top w:val="single" w:sz="4" w:space="0" w:color="4472C4" w:themeColor="accent5"/>
        <w:bottom w:val="single" w:sz="4" w:space="0" w:color="4472C4" w:themeColor="accent5"/>
        <w:right w:val="single" w:sz="4" w:space="0" w:color="4472C4" w:themeColor="accent5"/>
      </w:tcBorders>
    </w:tc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leauListe4-Accentuation1">
    <w:name w:val="List Table 4 Accent 1"/>
    <w:basedOn w:val="TableauNormal"/>
    <w:uiPriority w:val="49"/>
    <w:rsid w:val="00C62B0B"/>
    <w:pPr>
      <w:spacing w:after="0" w:line="240" w:lineRule="auto"/>
    </w:pPr>
    <w:tblPr>
      <w:tblStyleRowBandSize w:val="1"/>
      <w:tblStyleColBandSize w:val="1"/>
    </w:tblPr>
    <w:tcPr>
      <w:tcBorders>
        <w:right w:val="single" w:sz="4" w:space="0" w:color="5B9BD5" w:themeColor="accent1"/>
      </w:tcBorders>
      <w:shd w:val="clear" w:color="auto" w:fill="DEEAF6" w:themeFill="accent1"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TableauListe3-Accentuation1">
    <w:name w:val="List Table 3 Accent 1"/>
    <w:basedOn w:val="TableauNormal"/>
    <w:uiPriority w:val="48"/>
    <w:rsid w:val="00AE7F59"/>
    <w:pPr>
      <w:spacing w:after="0" w:line="240" w:lineRule="auto"/>
    </w:pPr>
    <w:tblPr>
      <w:tblStyleRowBandSize w:val="1"/>
      <w:tblStyleColBandSize w:val="1"/>
    </w:tblPr>
    <w:tcPr>
      <w:tcBorders>
        <w:top w:val="single" w:sz="4" w:space="0" w:color="5B9BD5" w:themeColor="accent1"/>
        <w:bottom w:val="single" w:sz="4" w:space="0" w:color="5B9BD5" w:themeColor="accent1"/>
        <w:right w:val="single" w:sz="4" w:space="0" w:color="5B9BD5" w:themeColor="accent1"/>
      </w:tcBorders>
    </w:tc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Lienhypertextesuivivisit">
    <w:name w:val="FollowedHyperlink"/>
    <w:basedOn w:val="Policepardfaut"/>
    <w:uiPriority w:val="99"/>
    <w:semiHidden/>
    <w:unhideWhenUsed/>
    <w:rsid w:val="00A06779"/>
    <w:rPr>
      <w:color w:val="954F72" w:themeColor="followedHyperlink"/>
      <w:u w:val="single"/>
    </w:rPr>
  </w:style>
  <w:style w:type="table" w:customStyle="1" w:styleId="TableGrid11">
    <w:name w:val="Table Grid11"/>
    <w:basedOn w:val="TableauNormal"/>
    <w:next w:val="Grilledutableau"/>
    <w:uiPriority w:val="59"/>
    <w:rsid w:val="00F42E28"/>
    <w:pPr>
      <w:spacing w:after="0" w:line="240" w:lineRule="auto"/>
    </w:pPr>
    <w:rPr>
      <w:rFonts w:asciiTheme="minorHAnsi" w:eastAsiaTheme="minorHAnsi" w:hAnsiTheme="minorHAnsi" w:cstheme="minorBidi"/>
      <w:lang w:val="en-GB" w:eastAsia="en-US"/>
    </w:rPr>
    <w:tblPr/>
  </w:style>
  <w:style w:type="paragraph" w:customStyle="1" w:styleId="Bullet">
    <w:name w:val="Bullet"/>
    <w:basedOn w:val="Corpsdetexte"/>
    <w:uiPriority w:val="99"/>
    <w:rsid w:val="00BB7FF3"/>
    <w:pPr>
      <w:widowControl/>
      <w:numPr>
        <w:numId w:val="20"/>
      </w:numPr>
      <w:spacing w:after="100"/>
      <w:jc w:val="both"/>
    </w:pPr>
    <w:rPr>
      <w:rFonts w:asciiTheme="minorHAnsi" w:hAnsiTheme="minorHAnsi" w:cstheme="minorHAnsi"/>
      <w:color w:val="000000"/>
      <w:sz w:val="22"/>
      <w:szCs w:val="22"/>
      <w:lang w:eastAsia="en-AU"/>
    </w:rPr>
  </w:style>
  <w:style w:type="paragraph" w:styleId="TM5">
    <w:name w:val="toc 5"/>
    <w:basedOn w:val="Normal"/>
    <w:next w:val="Normal"/>
    <w:autoRedefine/>
    <w:uiPriority w:val="39"/>
    <w:unhideWhenUsed/>
    <w:rsid w:val="000A5363"/>
    <w:pPr>
      <w:spacing w:after="0"/>
      <w:ind w:left="660"/>
    </w:pPr>
    <w:rPr>
      <w:rFonts w:asciiTheme="minorHAnsi" w:hAnsiTheme="minorHAnsi" w:cstheme="minorHAnsi"/>
      <w:sz w:val="20"/>
      <w:szCs w:val="24"/>
    </w:rPr>
  </w:style>
  <w:style w:type="paragraph" w:styleId="TM6">
    <w:name w:val="toc 6"/>
    <w:basedOn w:val="Normal"/>
    <w:next w:val="Normal"/>
    <w:autoRedefine/>
    <w:uiPriority w:val="39"/>
    <w:unhideWhenUsed/>
    <w:rsid w:val="000A5363"/>
    <w:pPr>
      <w:spacing w:after="0"/>
      <w:ind w:left="880"/>
    </w:pPr>
    <w:rPr>
      <w:rFonts w:asciiTheme="minorHAnsi" w:hAnsiTheme="minorHAnsi" w:cstheme="minorHAnsi"/>
      <w:sz w:val="20"/>
      <w:szCs w:val="24"/>
    </w:rPr>
  </w:style>
  <w:style w:type="paragraph" w:styleId="TM7">
    <w:name w:val="toc 7"/>
    <w:basedOn w:val="Normal"/>
    <w:next w:val="Normal"/>
    <w:autoRedefine/>
    <w:uiPriority w:val="39"/>
    <w:unhideWhenUsed/>
    <w:rsid w:val="000A5363"/>
    <w:pPr>
      <w:spacing w:after="0"/>
      <w:ind w:left="1100"/>
    </w:pPr>
    <w:rPr>
      <w:rFonts w:asciiTheme="minorHAnsi" w:hAnsiTheme="minorHAnsi" w:cstheme="minorHAnsi"/>
      <w:sz w:val="20"/>
      <w:szCs w:val="24"/>
    </w:rPr>
  </w:style>
  <w:style w:type="paragraph" w:styleId="TM8">
    <w:name w:val="toc 8"/>
    <w:basedOn w:val="Normal"/>
    <w:next w:val="Normal"/>
    <w:autoRedefine/>
    <w:uiPriority w:val="39"/>
    <w:unhideWhenUsed/>
    <w:rsid w:val="000A5363"/>
    <w:pPr>
      <w:spacing w:after="0"/>
      <w:ind w:left="1320"/>
    </w:pPr>
    <w:rPr>
      <w:rFonts w:asciiTheme="minorHAnsi" w:hAnsiTheme="minorHAnsi" w:cstheme="minorHAnsi"/>
      <w:sz w:val="20"/>
      <w:szCs w:val="24"/>
    </w:rPr>
  </w:style>
  <w:style w:type="paragraph" w:styleId="TM9">
    <w:name w:val="toc 9"/>
    <w:basedOn w:val="Normal"/>
    <w:next w:val="Normal"/>
    <w:autoRedefine/>
    <w:uiPriority w:val="39"/>
    <w:unhideWhenUsed/>
    <w:rsid w:val="000A5363"/>
    <w:pPr>
      <w:spacing w:after="0"/>
      <w:ind w:left="1540"/>
    </w:pPr>
    <w:rPr>
      <w:rFonts w:asciiTheme="minorHAnsi" w:hAnsiTheme="minorHAnsi" w:cstheme="minorHAnsi"/>
      <w:sz w:val="20"/>
      <w:szCs w:val="24"/>
    </w:rPr>
  </w:style>
  <w:style w:type="table" w:customStyle="1" w:styleId="n1">
    <w:name w:val="n1"/>
    <w:basedOn w:val="TableauNormal"/>
    <w:next w:val="Grilledutableau"/>
    <w:uiPriority w:val="39"/>
    <w:rsid w:val="00790235"/>
    <w:pPr>
      <w:spacing w:after="0" w:line="240" w:lineRule="auto"/>
    </w:pPr>
    <w:rPr>
      <w:rFonts w:cs="Arial"/>
      <w:lang w:val="en-US" w:eastAsia="en-US"/>
    </w:rPr>
    <w:tblPr/>
  </w:style>
  <w:style w:type="table" w:styleId="TableauGrille4-Accentuation1">
    <w:name w:val="Grid Table 4 Accent 1"/>
    <w:basedOn w:val="TableauNormal"/>
    <w:uiPriority w:val="49"/>
    <w:rsid w:val="000E7221"/>
    <w:pPr>
      <w:spacing w:after="0" w:line="240" w:lineRule="auto"/>
    </w:pPr>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Deloit1">
    <w:name w:val="Deloit1"/>
    <w:basedOn w:val="TableauNormal"/>
    <w:next w:val="Grilledutableau"/>
    <w:uiPriority w:val="39"/>
    <w:rsid w:val="009D4B3F"/>
    <w:pPr>
      <w:spacing w:after="0" w:line="240" w:lineRule="auto"/>
    </w:pPr>
    <w:rPr>
      <w:rFonts w:asciiTheme="minorHAnsi" w:eastAsia="Times New Roman" w:hAnsi="Times New Roman" w:cs="Times New Roman"/>
      <w:lang w:val="en-GB" w:eastAsia="en-GB"/>
    </w:rPr>
    <w:tblPr/>
  </w:style>
  <w:style w:type="table" w:styleId="TableauListe4-Accentuation3">
    <w:name w:val="List Table 4 Accent 3"/>
    <w:basedOn w:val="TableauNormal"/>
    <w:uiPriority w:val="49"/>
    <w:rsid w:val="00BA6C4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lledetableauclaire">
    <w:name w:val="Grid Table Light"/>
    <w:basedOn w:val="TableauNormal"/>
    <w:uiPriority w:val="40"/>
    <w:rsid w:val="00793298"/>
    <w:pPr>
      <w:spacing w:after="0" w:line="240" w:lineRule="auto"/>
    </w:pPr>
    <w:tblPr/>
  </w:style>
  <w:style w:type="character" w:customStyle="1" w:styleId="Aucun">
    <w:name w:val="Aucun"/>
    <w:rsid w:val="00F070AF"/>
  </w:style>
  <w:style w:type="paragraph" w:customStyle="1" w:styleId="CorpsA">
    <w:name w:val="Corps A"/>
    <w:rsid w:val="00F070A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fr-FR"/>
      <w14:textOutline w14:w="12700" w14:cap="flat" w14:cmpd="sng" w14:algn="ctr">
        <w14:noFill/>
        <w14:prstDash w14:val="solid"/>
        <w14:miter w14:lim="400000"/>
      </w14:textOutline>
    </w:rPr>
  </w:style>
  <w:style w:type="table" w:styleId="TableauGrille1Clair">
    <w:name w:val="Grid Table 1 Light"/>
    <w:basedOn w:val="TableauNormal"/>
    <w:uiPriority w:val="46"/>
    <w:rsid w:val="002C057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f0">
    <w:name w:val="pf0"/>
    <w:basedOn w:val="Normal"/>
    <w:rsid w:val="000D394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f01">
    <w:name w:val="cf01"/>
    <w:basedOn w:val="Policepardfaut"/>
    <w:rsid w:val="000D394B"/>
    <w:rPr>
      <w:rFonts w:ascii="Segoe UI" w:hAnsi="Segoe UI" w:cs="Segoe UI" w:hint="default"/>
      <w:sz w:val="18"/>
      <w:szCs w:val="18"/>
    </w:rPr>
  </w:style>
  <w:style w:type="table" w:styleId="TableauGrille1Clair-Accentuation1">
    <w:name w:val="Grid Table 1 Light Accent 1"/>
    <w:basedOn w:val="TableauNormal"/>
    <w:uiPriority w:val="46"/>
    <w:rsid w:val="0024041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next w:val="TableauGrille1Clair-Accentuation1"/>
    <w:uiPriority w:val="46"/>
    <w:rsid w:val="00C61082"/>
    <w:pPr>
      <w:spacing w:after="0" w:line="240" w:lineRule="auto"/>
    </w:pPr>
    <w:rPr>
      <w:rFonts w:ascii="Arial" w:eastAsia="Arial" w:hAnsi="Arial" w:cs="Arial"/>
      <w:sz w:val="20"/>
      <w:szCs w:val="20"/>
      <w:lang w:val="en-US" w:eastAsia="en-US"/>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styleId="Tableausimple2">
    <w:name w:val="Plain Table 2"/>
    <w:basedOn w:val="TableauNormal"/>
    <w:uiPriority w:val="42"/>
    <w:rsid w:val="0047566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ormaltextrun">
    <w:name w:val="normaltextrun"/>
    <w:basedOn w:val="Policepardfaut"/>
    <w:rsid w:val="00E3025A"/>
  </w:style>
  <w:style w:type="character" w:customStyle="1" w:styleId="eop">
    <w:name w:val="eop"/>
    <w:basedOn w:val="Policepardfaut"/>
    <w:rsid w:val="00E3025A"/>
  </w:style>
  <w:style w:type="table" w:styleId="Tableausimple1">
    <w:name w:val="Plain Table 1"/>
    <w:basedOn w:val="TableauNormal"/>
    <w:uiPriority w:val="41"/>
    <w:rsid w:val="000C51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tyle2">
    <w:name w:val="Style2"/>
    <w:basedOn w:val="TableauNormal"/>
    <w:uiPriority w:val="99"/>
    <w:rsid w:val="000C5134"/>
    <w:pPr>
      <w:spacing w:after="0" w:line="240" w:lineRule="auto"/>
    </w:pPr>
    <w:tblPr/>
  </w:style>
  <w:style w:type="character" w:styleId="Accentuation">
    <w:name w:val="Emphasis"/>
    <w:basedOn w:val="Policepardfaut"/>
    <w:uiPriority w:val="20"/>
    <w:qFormat/>
    <w:rsid w:val="00036B0E"/>
    <w:rPr>
      <w:i/>
      <w:iCs/>
    </w:rPr>
  </w:style>
  <w:style w:type="character" w:styleId="Mention">
    <w:name w:val="Mention"/>
    <w:basedOn w:val="Policepardfaut"/>
    <w:uiPriority w:val="99"/>
    <w:unhideWhenUsed/>
    <w:rsid w:val="0085331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2952">
      <w:bodyDiv w:val="1"/>
      <w:marLeft w:val="0"/>
      <w:marRight w:val="0"/>
      <w:marTop w:val="0"/>
      <w:marBottom w:val="0"/>
      <w:divBdr>
        <w:top w:val="none" w:sz="0" w:space="0" w:color="auto"/>
        <w:left w:val="none" w:sz="0" w:space="0" w:color="auto"/>
        <w:bottom w:val="none" w:sz="0" w:space="0" w:color="auto"/>
        <w:right w:val="none" w:sz="0" w:space="0" w:color="auto"/>
      </w:divBdr>
    </w:div>
    <w:div w:id="16003474">
      <w:bodyDiv w:val="1"/>
      <w:marLeft w:val="0"/>
      <w:marRight w:val="0"/>
      <w:marTop w:val="0"/>
      <w:marBottom w:val="0"/>
      <w:divBdr>
        <w:top w:val="none" w:sz="0" w:space="0" w:color="auto"/>
        <w:left w:val="none" w:sz="0" w:space="0" w:color="auto"/>
        <w:bottom w:val="none" w:sz="0" w:space="0" w:color="auto"/>
        <w:right w:val="none" w:sz="0" w:space="0" w:color="auto"/>
      </w:divBdr>
    </w:div>
    <w:div w:id="17001970">
      <w:bodyDiv w:val="1"/>
      <w:marLeft w:val="0"/>
      <w:marRight w:val="0"/>
      <w:marTop w:val="0"/>
      <w:marBottom w:val="0"/>
      <w:divBdr>
        <w:top w:val="none" w:sz="0" w:space="0" w:color="auto"/>
        <w:left w:val="none" w:sz="0" w:space="0" w:color="auto"/>
        <w:bottom w:val="none" w:sz="0" w:space="0" w:color="auto"/>
        <w:right w:val="none" w:sz="0" w:space="0" w:color="auto"/>
      </w:divBdr>
    </w:div>
    <w:div w:id="17244824">
      <w:bodyDiv w:val="1"/>
      <w:marLeft w:val="0"/>
      <w:marRight w:val="0"/>
      <w:marTop w:val="0"/>
      <w:marBottom w:val="0"/>
      <w:divBdr>
        <w:top w:val="none" w:sz="0" w:space="0" w:color="auto"/>
        <w:left w:val="none" w:sz="0" w:space="0" w:color="auto"/>
        <w:bottom w:val="none" w:sz="0" w:space="0" w:color="auto"/>
        <w:right w:val="none" w:sz="0" w:space="0" w:color="auto"/>
      </w:divBdr>
    </w:div>
    <w:div w:id="22681222">
      <w:bodyDiv w:val="1"/>
      <w:marLeft w:val="0"/>
      <w:marRight w:val="0"/>
      <w:marTop w:val="0"/>
      <w:marBottom w:val="0"/>
      <w:divBdr>
        <w:top w:val="none" w:sz="0" w:space="0" w:color="auto"/>
        <w:left w:val="none" w:sz="0" w:space="0" w:color="auto"/>
        <w:bottom w:val="none" w:sz="0" w:space="0" w:color="auto"/>
        <w:right w:val="none" w:sz="0" w:space="0" w:color="auto"/>
      </w:divBdr>
    </w:div>
    <w:div w:id="28187088">
      <w:bodyDiv w:val="1"/>
      <w:marLeft w:val="0"/>
      <w:marRight w:val="0"/>
      <w:marTop w:val="0"/>
      <w:marBottom w:val="0"/>
      <w:divBdr>
        <w:top w:val="none" w:sz="0" w:space="0" w:color="auto"/>
        <w:left w:val="none" w:sz="0" w:space="0" w:color="auto"/>
        <w:bottom w:val="none" w:sz="0" w:space="0" w:color="auto"/>
        <w:right w:val="none" w:sz="0" w:space="0" w:color="auto"/>
      </w:divBdr>
    </w:div>
    <w:div w:id="39327213">
      <w:bodyDiv w:val="1"/>
      <w:marLeft w:val="0"/>
      <w:marRight w:val="0"/>
      <w:marTop w:val="0"/>
      <w:marBottom w:val="0"/>
      <w:divBdr>
        <w:top w:val="none" w:sz="0" w:space="0" w:color="auto"/>
        <w:left w:val="none" w:sz="0" w:space="0" w:color="auto"/>
        <w:bottom w:val="none" w:sz="0" w:space="0" w:color="auto"/>
        <w:right w:val="none" w:sz="0" w:space="0" w:color="auto"/>
      </w:divBdr>
      <w:divsChild>
        <w:div w:id="221714424">
          <w:marLeft w:val="0"/>
          <w:marRight w:val="0"/>
          <w:marTop w:val="0"/>
          <w:marBottom w:val="0"/>
          <w:divBdr>
            <w:top w:val="none" w:sz="0" w:space="0" w:color="auto"/>
            <w:left w:val="none" w:sz="0" w:space="0" w:color="auto"/>
            <w:bottom w:val="none" w:sz="0" w:space="0" w:color="auto"/>
            <w:right w:val="none" w:sz="0" w:space="0" w:color="auto"/>
          </w:divBdr>
          <w:divsChild>
            <w:div w:id="1298606243">
              <w:marLeft w:val="0"/>
              <w:marRight w:val="0"/>
              <w:marTop w:val="0"/>
              <w:marBottom w:val="0"/>
              <w:divBdr>
                <w:top w:val="none" w:sz="0" w:space="0" w:color="auto"/>
                <w:left w:val="none" w:sz="0" w:space="0" w:color="auto"/>
                <w:bottom w:val="none" w:sz="0" w:space="0" w:color="auto"/>
                <w:right w:val="none" w:sz="0" w:space="0" w:color="auto"/>
              </w:divBdr>
              <w:divsChild>
                <w:div w:id="293147738">
                  <w:marLeft w:val="0"/>
                  <w:marRight w:val="0"/>
                  <w:marTop w:val="0"/>
                  <w:marBottom w:val="0"/>
                  <w:divBdr>
                    <w:top w:val="none" w:sz="0" w:space="0" w:color="auto"/>
                    <w:left w:val="none" w:sz="0" w:space="0" w:color="auto"/>
                    <w:bottom w:val="none" w:sz="0" w:space="0" w:color="auto"/>
                    <w:right w:val="none" w:sz="0" w:space="0" w:color="auto"/>
                  </w:divBdr>
                  <w:divsChild>
                    <w:div w:id="481392205">
                      <w:marLeft w:val="0"/>
                      <w:marRight w:val="0"/>
                      <w:marTop w:val="0"/>
                      <w:marBottom w:val="0"/>
                      <w:divBdr>
                        <w:top w:val="none" w:sz="0" w:space="0" w:color="auto"/>
                        <w:left w:val="none" w:sz="0" w:space="0" w:color="auto"/>
                        <w:bottom w:val="none" w:sz="0" w:space="0" w:color="auto"/>
                        <w:right w:val="none" w:sz="0" w:space="0" w:color="auto"/>
                      </w:divBdr>
                      <w:divsChild>
                        <w:div w:id="729889300">
                          <w:marLeft w:val="0"/>
                          <w:marRight w:val="0"/>
                          <w:marTop w:val="0"/>
                          <w:marBottom w:val="0"/>
                          <w:divBdr>
                            <w:top w:val="none" w:sz="0" w:space="0" w:color="auto"/>
                            <w:left w:val="none" w:sz="0" w:space="0" w:color="auto"/>
                            <w:bottom w:val="none" w:sz="0" w:space="0" w:color="auto"/>
                            <w:right w:val="none" w:sz="0" w:space="0" w:color="auto"/>
                          </w:divBdr>
                          <w:divsChild>
                            <w:div w:id="197358007">
                              <w:marLeft w:val="0"/>
                              <w:marRight w:val="0"/>
                              <w:marTop w:val="0"/>
                              <w:marBottom w:val="0"/>
                              <w:divBdr>
                                <w:top w:val="none" w:sz="0" w:space="0" w:color="auto"/>
                                <w:left w:val="none" w:sz="0" w:space="0" w:color="auto"/>
                                <w:bottom w:val="none" w:sz="0" w:space="0" w:color="auto"/>
                                <w:right w:val="none" w:sz="0" w:space="0" w:color="auto"/>
                              </w:divBdr>
                              <w:divsChild>
                                <w:div w:id="1549343819">
                                  <w:marLeft w:val="0"/>
                                  <w:marRight w:val="0"/>
                                  <w:marTop w:val="0"/>
                                  <w:marBottom w:val="0"/>
                                  <w:divBdr>
                                    <w:top w:val="none" w:sz="0" w:space="0" w:color="auto"/>
                                    <w:left w:val="none" w:sz="0" w:space="0" w:color="auto"/>
                                    <w:bottom w:val="none" w:sz="0" w:space="0" w:color="auto"/>
                                    <w:right w:val="none" w:sz="0" w:space="0" w:color="auto"/>
                                  </w:divBdr>
                                  <w:divsChild>
                                    <w:div w:id="181757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215638">
      <w:bodyDiv w:val="1"/>
      <w:marLeft w:val="0"/>
      <w:marRight w:val="0"/>
      <w:marTop w:val="0"/>
      <w:marBottom w:val="0"/>
      <w:divBdr>
        <w:top w:val="none" w:sz="0" w:space="0" w:color="auto"/>
        <w:left w:val="none" w:sz="0" w:space="0" w:color="auto"/>
        <w:bottom w:val="none" w:sz="0" w:space="0" w:color="auto"/>
        <w:right w:val="none" w:sz="0" w:space="0" w:color="auto"/>
      </w:divBdr>
    </w:div>
    <w:div w:id="51854861">
      <w:bodyDiv w:val="1"/>
      <w:marLeft w:val="0"/>
      <w:marRight w:val="0"/>
      <w:marTop w:val="0"/>
      <w:marBottom w:val="0"/>
      <w:divBdr>
        <w:top w:val="none" w:sz="0" w:space="0" w:color="auto"/>
        <w:left w:val="none" w:sz="0" w:space="0" w:color="auto"/>
        <w:bottom w:val="none" w:sz="0" w:space="0" w:color="auto"/>
        <w:right w:val="none" w:sz="0" w:space="0" w:color="auto"/>
      </w:divBdr>
      <w:divsChild>
        <w:div w:id="1305500034">
          <w:marLeft w:val="0"/>
          <w:marRight w:val="0"/>
          <w:marTop w:val="0"/>
          <w:marBottom w:val="0"/>
          <w:divBdr>
            <w:top w:val="none" w:sz="0" w:space="0" w:color="auto"/>
            <w:left w:val="none" w:sz="0" w:space="0" w:color="auto"/>
            <w:bottom w:val="none" w:sz="0" w:space="0" w:color="auto"/>
            <w:right w:val="none" w:sz="0" w:space="0" w:color="auto"/>
          </w:divBdr>
          <w:divsChild>
            <w:div w:id="1064985035">
              <w:marLeft w:val="0"/>
              <w:marRight w:val="0"/>
              <w:marTop w:val="0"/>
              <w:marBottom w:val="0"/>
              <w:divBdr>
                <w:top w:val="none" w:sz="0" w:space="0" w:color="auto"/>
                <w:left w:val="none" w:sz="0" w:space="0" w:color="auto"/>
                <w:bottom w:val="none" w:sz="0" w:space="0" w:color="auto"/>
                <w:right w:val="none" w:sz="0" w:space="0" w:color="auto"/>
              </w:divBdr>
              <w:divsChild>
                <w:div w:id="747725475">
                  <w:marLeft w:val="0"/>
                  <w:marRight w:val="0"/>
                  <w:marTop w:val="0"/>
                  <w:marBottom w:val="0"/>
                  <w:divBdr>
                    <w:top w:val="none" w:sz="0" w:space="0" w:color="auto"/>
                    <w:left w:val="none" w:sz="0" w:space="0" w:color="auto"/>
                    <w:bottom w:val="none" w:sz="0" w:space="0" w:color="auto"/>
                    <w:right w:val="none" w:sz="0" w:space="0" w:color="auto"/>
                  </w:divBdr>
                  <w:divsChild>
                    <w:div w:id="99414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91784">
      <w:bodyDiv w:val="1"/>
      <w:marLeft w:val="0"/>
      <w:marRight w:val="0"/>
      <w:marTop w:val="0"/>
      <w:marBottom w:val="0"/>
      <w:divBdr>
        <w:top w:val="none" w:sz="0" w:space="0" w:color="auto"/>
        <w:left w:val="none" w:sz="0" w:space="0" w:color="auto"/>
        <w:bottom w:val="none" w:sz="0" w:space="0" w:color="auto"/>
        <w:right w:val="none" w:sz="0" w:space="0" w:color="auto"/>
      </w:divBdr>
    </w:div>
    <w:div w:id="58018421">
      <w:bodyDiv w:val="1"/>
      <w:marLeft w:val="0"/>
      <w:marRight w:val="0"/>
      <w:marTop w:val="0"/>
      <w:marBottom w:val="0"/>
      <w:divBdr>
        <w:top w:val="none" w:sz="0" w:space="0" w:color="auto"/>
        <w:left w:val="none" w:sz="0" w:space="0" w:color="auto"/>
        <w:bottom w:val="none" w:sz="0" w:space="0" w:color="auto"/>
        <w:right w:val="none" w:sz="0" w:space="0" w:color="auto"/>
      </w:divBdr>
    </w:div>
    <w:div w:id="69932048">
      <w:bodyDiv w:val="1"/>
      <w:marLeft w:val="0"/>
      <w:marRight w:val="0"/>
      <w:marTop w:val="0"/>
      <w:marBottom w:val="0"/>
      <w:divBdr>
        <w:top w:val="none" w:sz="0" w:space="0" w:color="auto"/>
        <w:left w:val="none" w:sz="0" w:space="0" w:color="auto"/>
        <w:bottom w:val="none" w:sz="0" w:space="0" w:color="auto"/>
        <w:right w:val="none" w:sz="0" w:space="0" w:color="auto"/>
      </w:divBdr>
    </w:div>
    <w:div w:id="77604691">
      <w:bodyDiv w:val="1"/>
      <w:marLeft w:val="0"/>
      <w:marRight w:val="0"/>
      <w:marTop w:val="0"/>
      <w:marBottom w:val="0"/>
      <w:divBdr>
        <w:top w:val="none" w:sz="0" w:space="0" w:color="auto"/>
        <w:left w:val="none" w:sz="0" w:space="0" w:color="auto"/>
        <w:bottom w:val="none" w:sz="0" w:space="0" w:color="auto"/>
        <w:right w:val="none" w:sz="0" w:space="0" w:color="auto"/>
      </w:divBdr>
    </w:div>
    <w:div w:id="81269903">
      <w:bodyDiv w:val="1"/>
      <w:marLeft w:val="0"/>
      <w:marRight w:val="0"/>
      <w:marTop w:val="0"/>
      <w:marBottom w:val="0"/>
      <w:divBdr>
        <w:top w:val="none" w:sz="0" w:space="0" w:color="auto"/>
        <w:left w:val="none" w:sz="0" w:space="0" w:color="auto"/>
        <w:bottom w:val="none" w:sz="0" w:space="0" w:color="auto"/>
        <w:right w:val="none" w:sz="0" w:space="0" w:color="auto"/>
      </w:divBdr>
    </w:div>
    <w:div w:id="85157155">
      <w:bodyDiv w:val="1"/>
      <w:marLeft w:val="0"/>
      <w:marRight w:val="0"/>
      <w:marTop w:val="0"/>
      <w:marBottom w:val="0"/>
      <w:divBdr>
        <w:top w:val="none" w:sz="0" w:space="0" w:color="auto"/>
        <w:left w:val="none" w:sz="0" w:space="0" w:color="auto"/>
        <w:bottom w:val="none" w:sz="0" w:space="0" w:color="auto"/>
        <w:right w:val="none" w:sz="0" w:space="0" w:color="auto"/>
      </w:divBdr>
    </w:div>
    <w:div w:id="86730925">
      <w:bodyDiv w:val="1"/>
      <w:marLeft w:val="0"/>
      <w:marRight w:val="0"/>
      <w:marTop w:val="0"/>
      <w:marBottom w:val="0"/>
      <w:divBdr>
        <w:top w:val="none" w:sz="0" w:space="0" w:color="auto"/>
        <w:left w:val="none" w:sz="0" w:space="0" w:color="auto"/>
        <w:bottom w:val="none" w:sz="0" w:space="0" w:color="auto"/>
        <w:right w:val="none" w:sz="0" w:space="0" w:color="auto"/>
      </w:divBdr>
    </w:div>
    <w:div w:id="108670045">
      <w:bodyDiv w:val="1"/>
      <w:marLeft w:val="0"/>
      <w:marRight w:val="0"/>
      <w:marTop w:val="0"/>
      <w:marBottom w:val="0"/>
      <w:divBdr>
        <w:top w:val="none" w:sz="0" w:space="0" w:color="auto"/>
        <w:left w:val="none" w:sz="0" w:space="0" w:color="auto"/>
        <w:bottom w:val="none" w:sz="0" w:space="0" w:color="auto"/>
        <w:right w:val="none" w:sz="0" w:space="0" w:color="auto"/>
      </w:divBdr>
    </w:div>
    <w:div w:id="110825685">
      <w:bodyDiv w:val="1"/>
      <w:marLeft w:val="0"/>
      <w:marRight w:val="0"/>
      <w:marTop w:val="0"/>
      <w:marBottom w:val="0"/>
      <w:divBdr>
        <w:top w:val="none" w:sz="0" w:space="0" w:color="auto"/>
        <w:left w:val="none" w:sz="0" w:space="0" w:color="auto"/>
        <w:bottom w:val="none" w:sz="0" w:space="0" w:color="auto"/>
        <w:right w:val="none" w:sz="0" w:space="0" w:color="auto"/>
      </w:divBdr>
    </w:div>
    <w:div w:id="127476245">
      <w:bodyDiv w:val="1"/>
      <w:marLeft w:val="0"/>
      <w:marRight w:val="0"/>
      <w:marTop w:val="0"/>
      <w:marBottom w:val="0"/>
      <w:divBdr>
        <w:top w:val="none" w:sz="0" w:space="0" w:color="auto"/>
        <w:left w:val="none" w:sz="0" w:space="0" w:color="auto"/>
        <w:bottom w:val="none" w:sz="0" w:space="0" w:color="auto"/>
        <w:right w:val="none" w:sz="0" w:space="0" w:color="auto"/>
      </w:divBdr>
    </w:div>
    <w:div w:id="155851280">
      <w:bodyDiv w:val="1"/>
      <w:marLeft w:val="0"/>
      <w:marRight w:val="0"/>
      <w:marTop w:val="0"/>
      <w:marBottom w:val="0"/>
      <w:divBdr>
        <w:top w:val="none" w:sz="0" w:space="0" w:color="auto"/>
        <w:left w:val="none" w:sz="0" w:space="0" w:color="auto"/>
        <w:bottom w:val="none" w:sz="0" w:space="0" w:color="auto"/>
        <w:right w:val="none" w:sz="0" w:space="0" w:color="auto"/>
      </w:divBdr>
      <w:divsChild>
        <w:div w:id="1110128163">
          <w:marLeft w:val="0"/>
          <w:marRight w:val="0"/>
          <w:marTop w:val="0"/>
          <w:marBottom w:val="0"/>
          <w:divBdr>
            <w:top w:val="single" w:sz="2" w:space="0" w:color="E5E7EB"/>
            <w:left w:val="single" w:sz="2" w:space="0" w:color="E5E7EB"/>
            <w:bottom w:val="single" w:sz="2" w:space="0" w:color="E5E7EB"/>
            <w:right w:val="single" w:sz="2" w:space="0" w:color="E5E7EB"/>
          </w:divBdr>
          <w:divsChild>
            <w:div w:id="814637878">
              <w:marLeft w:val="0"/>
              <w:marRight w:val="0"/>
              <w:marTop w:val="0"/>
              <w:marBottom w:val="0"/>
              <w:divBdr>
                <w:top w:val="single" w:sz="2" w:space="0" w:color="E5E7EB"/>
                <w:left w:val="single" w:sz="2" w:space="0" w:color="E5E7EB"/>
                <w:bottom w:val="single" w:sz="2" w:space="0" w:color="E5E7EB"/>
                <w:right w:val="single" w:sz="2" w:space="0" w:color="E5E7EB"/>
              </w:divBdr>
              <w:divsChild>
                <w:div w:id="1346397165">
                  <w:marLeft w:val="0"/>
                  <w:marRight w:val="0"/>
                  <w:marTop w:val="0"/>
                  <w:marBottom w:val="0"/>
                  <w:divBdr>
                    <w:top w:val="single" w:sz="2" w:space="0" w:color="auto"/>
                    <w:left w:val="single" w:sz="2" w:space="0" w:color="auto"/>
                    <w:bottom w:val="single" w:sz="2" w:space="0" w:color="auto"/>
                    <w:right w:val="single" w:sz="2" w:space="0" w:color="auto"/>
                  </w:divBdr>
                  <w:divsChild>
                    <w:div w:id="522860471">
                      <w:marLeft w:val="0"/>
                      <w:marRight w:val="0"/>
                      <w:marTop w:val="0"/>
                      <w:marBottom w:val="0"/>
                      <w:divBdr>
                        <w:top w:val="single" w:sz="2" w:space="0" w:color="auto"/>
                        <w:left w:val="single" w:sz="2" w:space="0" w:color="auto"/>
                        <w:bottom w:val="single" w:sz="2" w:space="0" w:color="auto"/>
                        <w:right w:val="single" w:sz="2" w:space="0" w:color="auto"/>
                      </w:divBdr>
                      <w:divsChild>
                        <w:div w:id="1818840777">
                          <w:marLeft w:val="0"/>
                          <w:marRight w:val="0"/>
                          <w:marTop w:val="0"/>
                          <w:marBottom w:val="0"/>
                          <w:divBdr>
                            <w:top w:val="single" w:sz="2" w:space="0" w:color="E5E7EB"/>
                            <w:left w:val="single" w:sz="2" w:space="0" w:color="E5E7EB"/>
                            <w:bottom w:val="single" w:sz="2" w:space="0" w:color="E5E7EB"/>
                            <w:right w:val="single" w:sz="2" w:space="0" w:color="E5E7EB"/>
                          </w:divBdr>
                          <w:divsChild>
                            <w:div w:id="220560102">
                              <w:marLeft w:val="0"/>
                              <w:marRight w:val="0"/>
                              <w:marTop w:val="0"/>
                              <w:marBottom w:val="0"/>
                              <w:divBdr>
                                <w:top w:val="single" w:sz="2" w:space="0" w:color="E5E7EB"/>
                                <w:left w:val="single" w:sz="2" w:space="0" w:color="E5E7EB"/>
                                <w:bottom w:val="single" w:sz="2" w:space="0" w:color="E5E7EB"/>
                                <w:right w:val="single" w:sz="2" w:space="0" w:color="E5E7EB"/>
                              </w:divBdr>
                              <w:divsChild>
                                <w:div w:id="1331831317">
                                  <w:marLeft w:val="0"/>
                                  <w:marRight w:val="0"/>
                                  <w:marTop w:val="0"/>
                                  <w:marBottom w:val="0"/>
                                  <w:divBdr>
                                    <w:top w:val="single" w:sz="2" w:space="0" w:color="E5E7EB"/>
                                    <w:left w:val="single" w:sz="2" w:space="0" w:color="E5E7EB"/>
                                    <w:bottom w:val="single" w:sz="2" w:space="0" w:color="E5E7EB"/>
                                    <w:right w:val="single" w:sz="2" w:space="0" w:color="E5E7EB"/>
                                  </w:divBdr>
                                  <w:divsChild>
                                    <w:div w:id="6953537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197082653">
                      <w:marLeft w:val="0"/>
                      <w:marRight w:val="0"/>
                      <w:marTop w:val="0"/>
                      <w:marBottom w:val="0"/>
                      <w:divBdr>
                        <w:top w:val="single" w:sz="2" w:space="0" w:color="auto"/>
                        <w:left w:val="single" w:sz="2" w:space="0" w:color="auto"/>
                        <w:bottom w:val="single" w:sz="2" w:space="0" w:color="auto"/>
                        <w:right w:val="single" w:sz="2" w:space="0" w:color="auto"/>
                      </w:divBdr>
                      <w:divsChild>
                        <w:div w:id="2092239447">
                          <w:marLeft w:val="0"/>
                          <w:marRight w:val="0"/>
                          <w:marTop w:val="0"/>
                          <w:marBottom w:val="0"/>
                          <w:divBdr>
                            <w:top w:val="single" w:sz="2" w:space="0" w:color="E5E7EB"/>
                            <w:left w:val="single" w:sz="2" w:space="0" w:color="E5E7EB"/>
                            <w:bottom w:val="single" w:sz="2" w:space="0" w:color="E5E7EB"/>
                            <w:right w:val="single" w:sz="2" w:space="0" w:color="E5E7EB"/>
                          </w:divBdr>
                          <w:divsChild>
                            <w:div w:id="1280186498">
                              <w:marLeft w:val="0"/>
                              <w:marRight w:val="0"/>
                              <w:marTop w:val="0"/>
                              <w:marBottom w:val="0"/>
                              <w:divBdr>
                                <w:top w:val="single" w:sz="2" w:space="0" w:color="E5E7EB"/>
                                <w:left w:val="single" w:sz="2" w:space="0" w:color="E5E7EB"/>
                                <w:bottom w:val="single" w:sz="2" w:space="0" w:color="E5E7EB"/>
                                <w:right w:val="single" w:sz="2" w:space="0" w:color="E5E7EB"/>
                              </w:divBdr>
                              <w:divsChild>
                                <w:div w:id="20089730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1630932">
                              <w:marLeft w:val="0"/>
                              <w:marRight w:val="0"/>
                              <w:marTop w:val="0"/>
                              <w:marBottom w:val="0"/>
                              <w:divBdr>
                                <w:top w:val="single" w:sz="2" w:space="0" w:color="E5E7EB"/>
                                <w:left w:val="single" w:sz="2" w:space="0" w:color="E5E7EB"/>
                                <w:bottom w:val="single" w:sz="2" w:space="0" w:color="E5E7EB"/>
                                <w:right w:val="single" w:sz="2" w:space="0" w:color="E5E7EB"/>
                              </w:divBdr>
                              <w:divsChild>
                                <w:div w:id="2000227171">
                                  <w:marLeft w:val="0"/>
                                  <w:marRight w:val="0"/>
                                  <w:marTop w:val="0"/>
                                  <w:marBottom w:val="0"/>
                                  <w:divBdr>
                                    <w:top w:val="single" w:sz="2" w:space="0" w:color="E5E7EB"/>
                                    <w:left w:val="single" w:sz="2" w:space="0" w:color="E5E7EB"/>
                                    <w:bottom w:val="single" w:sz="2" w:space="0" w:color="E5E7EB"/>
                                    <w:right w:val="single" w:sz="2" w:space="0" w:color="E5E7EB"/>
                                  </w:divBdr>
                                  <w:divsChild>
                                    <w:div w:id="13232399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157811130">
      <w:bodyDiv w:val="1"/>
      <w:marLeft w:val="0"/>
      <w:marRight w:val="0"/>
      <w:marTop w:val="0"/>
      <w:marBottom w:val="0"/>
      <w:divBdr>
        <w:top w:val="none" w:sz="0" w:space="0" w:color="auto"/>
        <w:left w:val="none" w:sz="0" w:space="0" w:color="auto"/>
        <w:bottom w:val="none" w:sz="0" w:space="0" w:color="auto"/>
        <w:right w:val="none" w:sz="0" w:space="0" w:color="auto"/>
      </w:divBdr>
    </w:div>
    <w:div w:id="158275477">
      <w:bodyDiv w:val="1"/>
      <w:marLeft w:val="0"/>
      <w:marRight w:val="0"/>
      <w:marTop w:val="0"/>
      <w:marBottom w:val="0"/>
      <w:divBdr>
        <w:top w:val="none" w:sz="0" w:space="0" w:color="auto"/>
        <w:left w:val="none" w:sz="0" w:space="0" w:color="auto"/>
        <w:bottom w:val="none" w:sz="0" w:space="0" w:color="auto"/>
        <w:right w:val="none" w:sz="0" w:space="0" w:color="auto"/>
      </w:divBdr>
    </w:div>
    <w:div w:id="162746469">
      <w:bodyDiv w:val="1"/>
      <w:marLeft w:val="0"/>
      <w:marRight w:val="0"/>
      <w:marTop w:val="0"/>
      <w:marBottom w:val="0"/>
      <w:divBdr>
        <w:top w:val="none" w:sz="0" w:space="0" w:color="auto"/>
        <w:left w:val="none" w:sz="0" w:space="0" w:color="auto"/>
        <w:bottom w:val="none" w:sz="0" w:space="0" w:color="auto"/>
        <w:right w:val="none" w:sz="0" w:space="0" w:color="auto"/>
      </w:divBdr>
    </w:div>
    <w:div w:id="185756294">
      <w:bodyDiv w:val="1"/>
      <w:marLeft w:val="0"/>
      <w:marRight w:val="0"/>
      <w:marTop w:val="0"/>
      <w:marBottom w:val="0"/>
      <w:divBdr>
        <w:top w:val="none" w:sz="0" w:space="0" w:color="auto"/>
        <w:left w:val="none" w:sz="0" w:space="0" w:color="auto"/>
        <w:bottom w:val="none" w:sz="0" w:space="0" w:color="auto"/>
        <w:right w:val="none" w:sz="0" w:space="0" w:color="auto"/>
      </w:divBdr>
    </w:div>
    <w:div w:id="187912599">
      <w:bodyDiv w:val="1"/>
      <w:marLeft w:val="0"/>
      <w:marRight w:val="0"/>
      <w:marTop w:val="0"/>
      <w:marBottom w:val="0"/>
      <w:divBdr>
        <w:top w:val="none" w:sz="0" w:space="0" w:color="auto"/>
        <w:left w:val="none" w:sz="0" w:space="0" w:color="auto"/>
        <w:bottom w:val="none" w:sz="0" w:space="0" w:color="auto"/>
        <w:right w:val="none" w:sz="0" w:space="0" w:color="auto"/>
      </w:divBdr>
    </w:div>
    <w:div w:id="188104707">
      <w:bodyDiv w:val="1"/>
      <w:marLeft w:val="0"/>
      <w:marRight w:val="0"/>
      <w:marTop w:val="0"/>
      <w:marBottom w:val="0"/>
      <w:divBdr>
        <w:top w:val="none" w:sz="0" w:space="0" w:color="auto"/>
        <w:left w:val="none" w:sz="0" w:space="0" w:color="auto"/>
        <w:bottom w:val="none" w:sz="0" w:space="0" w:color="auto"/>
        <w:right w:val="none" w:sz="0" w:space="0" w:color="auto"/>
      </w:divBdr>
    </w:div>
    <w:div w:id="194655314">
      <w:bodyDiv w:val="1"/>
      <w:marLeft w:val="0"/>
      <w:marRight w:val="0"/>
      <w:marTop w:val="0"/>
      <w:marBottom w:val="0"/>
      <w:divBdr>
        <w:top w:val="none" w:sz="0" w:space="0" w:color="auto"/>
        <w:left w:val="none" w:sz="0" w:space="0" w:color="auto"/>
        <w:bottom w:val="none" w:sz="0" w:space="0" w:color="auto"/>
        <w:right w:val="none" w:sz="0" w:space="0" w:color="auto"/>
      </w:divBdr>
    </w:div>
    <w:div w:id="195241446">
      <w:bodyDiv w:val="1"/>
      <w:marLeft w:val="0"/>
      <w:marRight w:val="0"/>
      <w:marTop w:val="0"/>
      <w:marBottom w:val="0"/>
      <w:divBdr>
        <w:top w:val="none" w:sz="0" w:space="0" w:color="auto"/>
        <w:left w:val="none" w:sz="0" w:space="0" w:color="auto"/>
        <w:bottom w:val="none" w:sz="0" w:space="0" w:color="auto"/>
        <w:right w:val="none" w:sz="0" w:space="0" w:color="auto"/>
      </w:divBdr>
    </w:div>
    <w:div w:id="200409441">
      <w:bodyDiv w:val="1"/>
      <w:marLeft w:val="0"/>
      <w:marRight w:val="0"/>
      <w:marTop w:val="0"/>
      <w:marBottom w:val="0"/>
      <w:divBdr>
        <w:top w:val="none" w:sz="0" w:space="0" w:color="auto"/>
        <w:left w:val="none" w:sz="0" w:space="0" w:color="auto"/>
        <w:bottom w:val="none" w:sz="0" w:space="0" w:color="auto"/>
        <w:right w:val="none" w:sz="0" w:space="0" w:color="auto"/>
      </w:divBdr>
    </w:div>
    <w:div w:id="204565210">
      <w:bodyDiv w:val="1"/>
      <w:marLeft w:val="0"/>
      <w:marRight w:val="0"/>
      <w:marTop w:val="0"/>
      <w:marBottom w:val="0"/>
      <w:divBdr>
        <w:top w:val="none" w:sz="0" w:space="0" w:color="auto"/>
        <w:left w:val="none" w:sz="0" w:space="0" w:color="auto"/>
        <w:bottom w:val="none" w:sz="0" w:space="0" w:color="auto"/>
        <w:right w:val="none" w:sz="0" w:space="0" w:color="auto"/>
      </w:divBdr>
    </w:div>
    <w:div w:id="209928107">
      <w:bodyDiv w:val="1"/>
      <w:marLeft w:val="0"/>
      <w:marRight w:val="0"/>
      <w:marTop w:val="0"/>
      <w:marBottom w:val="0"/>
      <w:divBdr>
        <w:top w:val="none" w:sz="0" w:space="0" w:color="auto"/>
        <w:left w:val="none" w:sz="0" w:space="0" w:color="auto"/>
        <w:bottom w:val="none" w:sz="0" w:space="0" w:color="auto"/>
        <w:right w:val="none" w:sz="0" w:space="0" w:color="auto"/>
      </w:divBdr>
      <w:divsChild>
        <w:div w:id="250700524">
          <w:marLeft w:val="0"/>
          <w:marRight w:val="0"/>
          <w:marTop w:val="0"/>
          <w:marBottom w:val="0"/>
          <w:divBdr>
            <w:top w:val="none" w:sz="0" w:space="0" w:color="auto"/>
            <w:left w:val="none" w:sz="0" w:space="0" w:color="auto"/>
            <w:bottom w:val="none" w:sz="0" w:space="0" w:color="auto"/>
            <w:right w:val="none" w:sz="0" w:space="0" w:color="auto"/>
          </w:divBdr>
          <w:divsChild>
            <w:div w:id="1477068905">
              <w:marLeft w:val="0"/>
              <w:marRight w:val="0"/>
              <w:marTop w:val="0"/>
              <w:marBottom w:val="0"/>
              <w:divBdr>
                <w:top w:val="none" w:sz="0" w:space="0" w:color="auto"/>
                <w:left w:val="none" w:sz="0" w:space="0" w:color="auto"/>
                <w:bottom w:val="none" w:sz="0" w:space="0" w:color="auto"/>
                <w:right w:val="none" w:sz="0" w:space="0" w:color="auto"/>
              </w:divBdr>
              <w:divsChild>
                <w:div w:id="288359199">
                  <w:marLeft w:val="0"/>
                  <w:marRight w:val="0"/>
                  <w:marTop w:val="0"/>
                  <w:marBottom w:val="0"/>
                  <w:divBdr>
                    <w:top w:val="none" w:sz="0" w:space="0" w:color="auto"/>
                    <w:left w:val="none" w:sz="0" w:space="0" w:color="auto"/>
                    <w:bottom w:val="none" w:sz="0" w:space="0" w:color="auto"/>
                    <w:right w:val="none" w:sz="0" w:space="0" w:color="auto"/>
                  </w:divBdr>
                  <w:divsChild>
                    <w:div w:id="106175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026519">
      <w:bodyDiv w:val="1"/>
      <w:marLeft w:val="0"/>
      <w:marRight w:val="0"/>
      <w:marTop w:val="0"/>
      <w:marBottom w:val="0"/>
      <w:divBdr>
        <w:top w:val="none" w:sz="0" w:space="0" w:color="auto"/>
        <w:left w:val="none" w:sz="0" w:space="0" w:color="auto"/>
        <w:bottom w:val="none" w:sz="0" w:space="0" w:color="auto"/>
        <w:right w:val="none" w:sz="0" w:space="0" w:color="auto"/>
      </w:divBdr>
    </w:div>
    <w:div w:id="235357827">
      <w:bodyDiv w:val="1"/>
      <w:marLeft w:val="0"/>
      <w:marRight w:val="0"/>
      <w:marTop w:val="0"/>
      <w:marBottom w:val="0"/>
      <w:divBdr>
        <w:top w:val="none" w:sz="0" w:space="0" w:color="auto"/>
        <w:left w:val="none" w:sz="0" w:space="0" w:color="auto"/>
        <w:bottom w:val="none" w:sz="0" w:space="0" w:color="auto"/>
        <w:right w:val="none" w:sz="0" w:space="0" w:color="auto"/>
      </w:divBdr>
    </w:div>
    <w:div w:id="236282834">
      <w:bodyDiv w:val="1"/>
      <w:marLeft w:val="0"/>
      <w:marRight w:val="0"/>
      <w:marTop w:val="0"/>
      <w:marBottom w:val="0"/>
      <w:divBdr>
        <w:top w:val="none" w:sz="0" w:space="0" w:color="auto"/>
        <w:left w:val="none" w:sz="0" w:space="0" w:color="auto"/>
        <w:bottom w:val="none" w:sz="0" w:space="0" w:color="auto"/>
        <w:right w:val="none" w:sz="0" w:space="0" w:color="auto"/>
      </w:divBdr>
    </w:div>
    <w:div w:id="242958223">
      <w:bodyDiv w:val="1"/>
      <w:marLeft w:val="0"/>
      <w:marRight w:val="0"/>
      <w:marTop w:val="0"/>
      <w:marBottom w:val="0"/>
      <w:divBdr>
        <w:top w:val="none" w:sz="0" w:space="0" w:color="auto"/>
        <w:left w:val="none" w:sz="0" w:space="0" w:color="auto"/>
        <w:bottom w:val="none" w:sz="0" w:space="0" w:color="auto"/>
        <w:right w:val="none" w:sz="0" w:space="0" w:color="auto"/>
      </w:divBdr>
    </w:div>
    <w:div w:id="243026572">
      <w:bodyDiv w:val="1"/>
      <w:marLeft w:val="0"/>
      <w:marRight w:val="0"/>
      <w:marTop w:val="0"/>
      <w:marBottom w:val="0"/>
      <w:divBdr>
        <w:top w:val="none" w:sz="0" w:space="0" w:color="auto"/>
        <w:left w:val="none" w:sz="0" w:space="0" w:color="auto"/>
        <w:bottom w:val="none" w:sz="0" w:space="0" w:color="auto"/>
        <w:right w:val="none" w:sz="0" w:space="0" w:color="auto"/>
      </w:divBdr>
    </w:div>
    <w:div w:id="243757740">
      <w:bodyDiv w:val="1"/>
      <w:marLeft w:val="0"/>
      <w:marRight w:val="0"/>
      <w:marTop w:val="0"/>
      <w:marBottom w:val="0"/>
      <w:divBdr>
        <w:top w:val="none" w:sz="0" w:space="0" w:color="auto"/>
        <w:left w:val="none" w:sz="0" w:space="0" w:color="auto"/>
        <w:bottom w:val="none" w:sz="0" w:space="0" w:color="auto"/>
        <w:right w:val="none" w:sz="0" w:space="0" w:color="auto"/>
      </w:divBdr>
    </w:div>
    <w:div w:id="244650089">
      <w:bodyDiv w:val="1"/>
      <w:marLeft w:val="0"/>
      <w:marRight w:val="0"/>
      <w:marTop w:val="0"/>
      <w:marBottom w:val="0"/>
      <w:divBdr>
        <w:top w:val="none" w:sz="0" w:space="0" w:color="auto"/>
        <w:left w:val="none" w:sz="0" w:space="0" w:color="auto"/>
        <w:bottom w:val="none" w:sz="0" w:space="0" w:color="auto"/>
        <w:right w:val="none" w:sz="0" w:space="0" w:color="auto"/>
      </w:divBdr>
    </w:div>
    <w:div w:id="273248212">
      <w:bodyDiv w:val="1"/>
      <w:marLeft w:val="0"/>
      <w:marRight w:val="0"/>
      <w:marTop w:val="0"/>
      <w:marBottom w:val="0"/>
      <w:divBdr>
        <w:top w:val="none" w:sz="0" w:space="0" w:color="auto"/>
        <w:left w:val="none" w:sz="0" w:space="0" w:color="auto"/>
        <w:bottom w:val="none" w:sz="0" w:space="0" w:color="auto"/>
        <w:right w:val="none" w:sz="0" w:space="0" w:color="auto"/>
      </w:divBdr>
    </w:div>
    <w:div w:id="283776473">
      <w:bodyDiv w:val="1"/>
      <w:marLeft w:val="0"/>
      <w:marRight w:val="0"/>
      <w:marTop w:val="0"/>
      <w:marBottom w:val="0"/>
      <w:divBdr>
        <w:top w:val="none" w:sz="0" w:space="0" w:color="auto"/>
        <w:left w:val="none" w:sz="0" w:space="0" w:color="auto"/>
        <w:bottom w:val="none" w:sz="0" w:space="0" w:color="auto"/>
        <w:right w:val="none" w:sz="0" w:space="0" w:color="auto"/>
      </w:divBdr>
    </w:div>
    <w:div w:id="286668710">
      <w:bodyDiv w:val="1"/>
      <w:marLeft w:val="0"/>
      <w:marRight w:val="0"/>
      <w:marTop w:val="0"/>
      <w:marBottom w:val="0"/>
      <w:divBdr>
        <w:top w:val="none" w:sz="0" w:space="0" w:color="auto"/>
        <w:left w:val="none" w:sz="0" w:space="0" w:color="auto"/>
        <w:bottom w:val="none" w:sz="0" w:space="0" w:color="auto"/>
        <w:right w:val="none" w:sz="0" w:space="0" w:color="auto"/>
      </w:divBdr>
    </w:div>
    <w:div w:id="287126852">
      <w:bodyDiv w:val="1"/>
      <w:marLeft w:val="0"/>
      <w:marRight w:val="0"/>
      <w:marTop w:val="0"/>
      <w:marBottom w:val="0"/>
      <w:divBdr>
        <w:top w:val="none" w:sz="0" w:space="0" w:color="auto"/>
        <w:left w:val="none" w:sz="0" w:space="0" w:color="auto"/>
        <w:bottom w:val="none" w:sz="0" w:space="0" w:color="auto"/>
        <w:right w:val="none" w:sz="0" w:space="0" w:color="auto"/>
      </w:divBdr>
    </w:div>
    <w:div w:id="293099406">
      <w:bodyDiv w:val="1"/>
      <w:marLeft w:val="0"/>
      <w:marRight w:val="0"/>
      <w:marTop w:val="0"/>
      <w:marBottom w:val="0"/>
      <w:divBdr>
        <w:top w:val="none" w:sz="0" w:space="0" w:color="auto"/>
        <w:left w:val="none" w:sz="0" w:space="0" w:color="auto"/>
        <w:bottom w:val="none" w:sz="0" w:space="0" w:color="auto"/>
        <w:right w:val="none" w:sz="0" w:space="0" w:color="auto"/>
      </w:divBdr>
    </w:div>
    <w:div w:id="294335587">
      <w:bodyDiv w:val="1"/>
      <w:marLeft w:val="0"/>
      <w:marRight w:val="0"/>
      <w:marTop w:val="0"/>
      <w:marBottom w:val="0"/>
      <w:divBdr>
        <w:top w:val="none" w:sz="0" w:space="0" w:color="auto"/>
        <w:left w:val="none" w:sz="0" w:space="0" w:color="auto"/>
        <w:bottom w:val="none" w:sz="0" w:space="0" w:color="auto"/>
        <w:right w:val="none" w:sz="0" w:space="0" w:color="auto"/>
      </w:divBdr>
    </w:div>
    <w:div w:id="295138239">
      <w:bodyDiv w:val="1"/>
      <w:marLeft w:val="0"/>
      <w:marRight w:val="0"/>
      <w:marTop w:val="0"/>
      <w:marBottom w:val="0"/>
      <w:divBdr>
        <w:top w:val="none" w:sz="0" w:space="0" w:color="auto"/>
        <w:left w:val="none" w:sz="0" w:space="0" w:color="auto"/>
        <w:bottom w:val="none" w:sz="0" w:space="0" w:color="auto"/>
        <w:right w:val="none" w:sz="0" w:space="0" w:color="auto"/>
      </w:divBdr>
    </w:div>
    <w:div w:id="298801888">
      <w:bodyDiv w:val="1"/>
      <w:marLeft w:val="0"/>
      <w:marRight w:val="0"/>
      <w:marTop w:val="0"/>
      <w:marBottom w:val="0"/>
      <w:divBdr>
        <w:top w:val="none" w:sz="0" w:space="0" w:color="auto"/>
        <w:left w:val="none" w:sz="0" w:space="0" w:color="auto"/>
        <w:bottom w:val="none" w:sz="0" w:space="0" w:color="auto"/>
        <w:right w:val="none" w:sz="0" w:space="0" w:color="auto"/>
      </w:divBdr>
    </w:div>
    <w:div w:id="300114962">
      <w:bodyDiv w:val="1"/>
      <w:marLeft w:val="0"/>
      <w:marRight w:val="0"/>
      <w:marTop w:val="0"/>
      <w:marBottom w:val="0"/>
      <w:divBdr>
        <w:top w:val="none" w:sz="0" w:space="0" w:color="auto"/>
        <w:left w:val="none" w:sz="0" w:space="0" w:color="auto"/>
        <w:bottom w:val="none" w:sz="0" w:space="0" w:color="auto"/>
        <w:right w:val="none" w:sz="0" w:space="0" w:color="auto"/>
      </w:divBdr>
    </w:div>
    <w:div w:id="307436422">
      <w:bodyDiv w:val="1"/>
      <w:marLeft w:val="0"/>
      <w:marRight w:val="0"/>
      <w:marTop w:val="0"/>
      <w:marBottom w:val="0"/>
      <w:divBdr>
        <w:top w:val="none" w:sz="0" w:space="0" w:color="auto"/>
        <w:left w:val="none" w:sz="0" w:space="0" w:color="auto"/>
        <w:bottom w:val="none" w:sz="0" w:space="0" w:color="auto"/>
        <w:right w:val="none" w:sz="0" w:space="0" w:color="auto"/>
      </w:divBdr>
    </w:div>
    <w:div w:id="313684091">
      <w:bodyDiv w:val="1"/>
      <w:marLeft w:val="0"/>
      <w:marRight w:val="0"/>
      <w:marTop w:val="0"/>
      <w:marBottom w:val="0"/>
      <w:divBdr>
        <w:top w:val="none" w:sz="0" w:space="0" w:color="auto"/>
        <w:left w:val="none" w:sz="0" w:space="0" w:color="auto"/>
        <w:bottom w:val="none" w:sz="0" w:space="0" w:color="auto"/>
        <w:right w:val="none" w:sz="0" w:space="0" w:color="auto"/>
      </w:divBdr>
    </w:div>
    <w:div w:id="319238395">
      <w:bodyDiv w:val="1"/>
      <w:marLeft w:val="0"/>
      <w:marRight w:val="0"/>
      <w:marTop w:val="0"/>
      <w:marBottom w:val="0"/>
      <w:divBdr>
        <w:top w:val="none" w:sz="0" w:space="0" w:color="auto"/>
        <w:left w:val="none" w:sz="0" w:space="0" w:color="auto"/>
        <w:bottom w:val="none" w:sz="0" w:space="0" w:color="auto"/>
        <w:right w:val="none" w:sz="0" w:space="0" w:color="auto"/>
      </w:divBdr>
    </w:div>
    <w:div w:id="324552944">
      <w:bodyDiv w:val="1"/>
      <w:marLeft w:val="0"/>
      <w:marRight w:val="0"/>
      <w:marTop w:val="0"/>
      <w:marBottom w:val="0"/>
      <w:divBdr>
        <w:top w:val="none" w:sz="0" w:space="0" w:color="auto"/>
        <w:left w:val="none" w:sz="0" w:space="0" w:color="auto"/>
        <w:bottom w:val="none" w:sz="0" w:space="0" w:color="auto"/>
        <w:right w:val="none" w:sz="0" w:space="0" w:color="auto"/>
      </w:divBdr>
    </w:div>
    <w:div w:id="345442657">
      <w:bodyDiv w:val="1"/>
      <w:marLeft w:val="0"/>
      <w:marRight w:val="0"/>
      <w:marTop w:val="0"/>
      <w:marBottom w:val="0"/>
      <w:divBdr>
        <w:top w:val="none" w:sz="0" w:space="0" w:color="auto"/>
        <w:left w:val="none" w:sz="0" w:space="0" w:color="auto"/>
        <w:bottom w:val="none" w:sz="0" w:space="0" w:color="auto"/>
        <w:right w:val="none" w:sz="0" w:space="0" w:color="auto"/>
      </w:divBdr>
    </w:div>
    <w:div w:id="348485764">
      <w:bodyDiv w:val="1"/>
      <w:marLeft w:val="0"/>
      <w:marRight w:val="0"/>
      <w:marTop w:val="0"/>
      <w:marBottom w:val="0"/>
      <w:divBdr>
        <w:top w:val="none" w:sz="0" w:space="0" w:color="auto"/>
        <w:left w:val="none" w:sz="0" w:space="0" w:color="auto"/>
        <w:bottom w:val="none" w:sz="0" w:space="0" w:color="auto"/>
        <w:right w:val="none" w:sz="0" w:space="0" w:color="auto"/>
      </w:divBdr>
    </w:div>
    <w:div w:id="354157541">
      <w:bodyDiv w:val="1"/>
      <w:marLeft w:val="0"/>
      <w:marRight w:val="0"/>
      <w:marTop w:val="0"/>
      <w:marBottom w:val="0"/>
      <w:divBdr>
        <w:top w:val="none" w:sz="0" w:space="0" w:color="auto"/>
        <w:left w:val="none" w:sz="0" w:space="0" w:color="auto"/>
        <w:bottom w:val="none" w:sz="0" w:space="0" w:color="auto"/>
        <w:right w:val="none" w:sz="0" w:space="0" w:color="auto"/>
      </w:divBdr>
    </w:div>
    <w:div w:id="355667008">
      <w:bodyDiv w:val="1"/>
      <w:marLeft w:val="0"/>
      <w:marRight w:val="0"/>
      <w:marTop w:val="0"/>
      <w:marBottom w:val="0"/>
      <w:divBdr>
        <w:top w:val="none" w:sz="0" w:space="0" w:color="auto"/>
        <w:left w:val="none" w:sz="0" w:space="0" w:color="auto"/>
        <w:bottom w:val="none" w:sz="0" w:space="0" w:color="auto"/>
        <w:right w:val="none" w:sz="0" w:space="0" w:color="auto"/>
      </w:divBdr>
    </w:div>
    <w:div w:id="357509576">
      <w:bodyDiv w:val="1"/>
      <w:marLeft w:val="0"/>
      <w:marRight w:val="0"/>
      <w:marTop w:val="0"/>
      <w:marBottom w:val="0"/>
      <w:divBdr>
        <w:top w:val="none" w:sz="0" w:space="0" w:color="auto"/>
        <w:left w:val="none" w:sz="0" w:space="0" w:color="auto"/>
        <w:bottom w:val="none" w:sz="0" w:space="0" w:color="auto"/>
        <w:right w:val="none" w:sz="0" w:space="0" w:color="auto"/>
      </w:divBdr>
    </w:div>
    <w:div w:id="363792975">
      <w:bodyDiv w:val="1"/>
      <w:marLeft w:val="0"/>
      <w:marRight w:val="0"/>
      <w:marTop w:val="0"/>
      <w:marBottom w:val="0"/>
      <w:divBdr>
        <w:top w:val="none" w:sz="0" w:space="0" w:color="auto"/>
        <w:left w:val="none" w:sz="0" w:space="0" w:color="auto"/>
        <w:bottom w:val="none" w:sz="0" w:space="0" w:color="auto"/>
        <w:right w:val="none" w:sz="0" w:space="0" w:color="auto"/>
      </w:divBdr>
    </w:div>
    <w:div w:id="369378863">
      <w:bodyDiv w:val="1"/>
      <w:marLeft w:val="0"/>
      <w:marRight w:val="0"/>
      <w:marTop w:val="0"/>
      <w:marBottom w:val="0"/>
      <w:divBdr>
        <w:top w:val="none" w:sz="0" w:space="0" w:color="auto"/>
        <w:left w:val="none" w:sz="0" w:space="0" w:color="auto"/>
        <w:bottom w:val="none" w:sz="0" w:space="0" w:color="auto"/>
        <w:right w:val="none" w:sz="0" w:space="0" w:color="auto"/>
      </w:divBdr>
    </w:div>
    <w:div w:id="379088551">
      <w:bodyDiv w:val="1"/>
      <w:marLeft w:val="0"/>
      <w:marRight w:val="0"/>
      <w:marTop w:val="0"/>
      <w:marBottom w:val="0"/>
      <w:divBdr>
        <w:top w:val="none" w:sz="0" w:space="0" w:color="auto"/>
        <w:left w:val="none" w:sz="0" w:space="0" w:color="auto"/>
        <w:bottom w:val="none" w:sz="0" w:space="0" w:color="auto"/>
        <w:right w:val="none" w:sz="0" w:space="0" w:color="auto"/>
      </w:divBdr>
    </w:div>
    <w:div w:id="379400313">
      <w:bodyDiv w:val="1"/>
      <w:marLeft w:val="0"/>
      <w:marRight w:val="0"/>
      <w:marTop w:val="0"/>
      <w:marBottom w:val="0"/>
      <w:divBdr>
        <w:top w:val="none" w:sz="0" w:space="0" w:color="auto"/>
        <w:left w:val="none" w:sz="0" w:space="0" w:color="auto"/>
        <w:bottom w:val="none" w:sz="0" w:space="0" w:color="auto"/>
        <w:right w:val="none" w:sz="0" w:space="0" w:color="auto"/>
      </w:divBdr>
    </w:div>
    <w:div w:id="380204876">
      <w:bodyDiv w:val="1"/>
      <w:marLeft w:val="0"/>
      <w:marRight w:val="0"/>
      <w:marTop w:val="0"/>
      <w:marBottom w:val="0"/>
      <w:divBdr>
        <w:top w:val="none" w:sz="0" w:space="0" w:color="auto"/>
        <w:left w:val="none" w:sz="0" w:space="0" w:color="auto"/>
        <w:bottom w:val="none" w:sz="0" w:space="0" w:color="auto"/>
        <w:right w:val="none" w:sz="0" w:space="0" w:color="auto"/>
      </w:divBdr>
    </w:div>
    <w:div w:id="384331330">
      <w:bodyDiv w:val="1"/>
      <w:marLeft w:val="0"/>
      <w:marRight w:val="0"/>
      <w:marTop w:val="0"/>
      <w:marBottom w:val="0"/>
      <w:divBdr>
        <w:top w:val="none" w:sz="0" w:space="0" w:color="auto"/>
        <w:left w:val="none" w:sz="0" w:space="0" w:color="auto"/>
        <w:bottom w:val="none" w:sz="0" w:space="0" w:color="auto"/>
        <w:right w:val="none" w:sz="0" w:space="0" w:color="auto"/>
      </w:divBdr>
    </w:div>
    <w:div w:id="389109524">
      <w:bodyDiv w:val="1"/>
      <w:marLeft w:val="0"/>
      <w:marRight w:val="0"/>
      <w:marTop w:val="0"/>
      <w:marBottom w:val="0"/>
      <w:divBdr>
        <w:top w:val="none" w:sz="0" w:space="0" w:color="auto"/>
        <w:left w:val="none" w:sz="0" w:space="0" w:color="auto"/>
        <w:bottom w:val="none" w:sz="0" w:space="0" w:color="auto"/>
        <w:right w:val="none" w:sz="0" w:space="0" w:color="auto"/>
      </w:divBdr>
    </w:div>
    <w:div w:id="394859873">
      <w:bodyDiv w:val="1"/>
      <w:marLeft w:val="0"/>
      <w:marRight w:val="0"/>
      <w:marTop w:val="0"/>
      <w:marBottom w:val="0"/>
      <w:divBdr>
        <w:top w:val="none" w:sz="0" w:space="0" w:color="auto"/>
        <w:left w:val="none" w:sz="0" w:space="0" w:color="auto"/>
        <w:bottom w:val="none" w:sz="0" w:space="0" w:color="auto"/>
        <w:right w:val="none" w:sz="0" w:space="0" w:color="auto"/>
      </w:divBdr>
    </w:div>
    <w:div w:id="396903204">
      <w:bodyDiv w:val="1"/>
      <w:marLeft w:val="0"/>
      <w:marRight w:val="0"/>
      <w:marTop w:val="0"/>
      <w:marBottom w:val="0"/>
      <w:divBdr>
        <w:top w:val="none" w:sz="0" w:space="0" w:color="auto"/>
        <w:left w:val="none" w:sz="0" w:space="0" w:color="auto"/>
        <w:bottom w:val="none" w:sz="0" w:space="0" w:color="auto"/>
        <w:right w:val="none" w:sz="0" w:space="0" w:color="auto"/>
      </w:divBdr>
    </w:div>
    <w:div w:id="400178789">
      <w:bodyDiv w:val="1"/>
      <w:marLeft w:val="0"/>
      <w:marRight w:val="0"/>
      <w:marTop w:val="0"/>
      <w:marBottom w:val="0"/>
      <w:divBdr>
        <w:top w:val="none" w:sz="0" w:space="0" w:color="auto"/>
        <w:left w:val="none" w:sz="0" w:space="0" w:color="auto"/>
        <w:bottom w:val="none" w:sz="0" w:space="0" w:color="auto"/>
        <w:right w:val="none" w:sz="0" w:space="0" w:color="auto"/>
      </w:divBdr>
    </w:div>
    <w:div w:id="403601699">
      <w:bodyDiv w:val="1"/>
      <w:marLeft w:val="0"/>
      <w:marRight w:val="0"/>
      <w:marTop w:val="0"/>
      <w:marBottom w:val="0"/>
      <w:divBdr>
        <w:top w:val="none" w:sz="0" w:space="0" w:color="auto"/>
        <w:left w:val="none" w:sz="0" w:space="0" w:color="auto"/>
        <w:bottom w:val="none" w:sz="0" w:space="0" w:color="auto"/>
        <w:right w:val="none" w:sz="0" w:space="0" w:color="auto"/>
      </w:divBdr>
    </w:div>
    <w:div w:id="411125527">
      <w:bodyDiv w:val="1"/>
      <w:marLeft w:val="0"/>
      <w:marRight w:val="0"/>
      <w:marTop w:val="0"/>
      <w:marBottom w:val="0"/>
      <w:divBdr>
        <w:top w:val="none" w:sz="0" w:space="0" w:color="auto"/>
        <w:left w:val="none" w:sz="0" w:space="0" w:color="auto"/>
        <w:bottom w:val="none" w:sz="0" w:space="0" w:color="auto"/>
        <w:right w:val="none" w:sz="0" w:space="0" w:color="auto"/>
      </w:divBdr>
      <w:divsChild>
        <w:div w:id="1149445707">
          <w:marLeft w:val="0"/>
          <w:marRight w:val="0"/>
          <w:marTop w:val="0"/>
          <w:marBottom w:val="0"/>
          <w:divBdr>
            <w:top w:val="none" w:sz="0" w:space="0" w:color="auto"/>
            <w:left w:val="none" w:sz="0" w:space="0" w:color="auto"/>
            <w:bottom w:val="none" w:sz="0" w:space="0" w:color="auto"/>
            <w:right w:val="none" w:sz="0" w:space="0" w:color="auto"/>
          </w:divBdr>
          <w:divsChild>
            <w:div w:id="1464156079">
              <w:marLeft w:val="0"/>
              <w:marRight w:val="0"/>
              <w:marTop w:val="0"/>
              <w:marBottom w:val="0"/>
              <w:divBdr>
                <w:top w:val="none" w:sz="0" w:space="0" w:color="auto"/>
                <w:left w:val="none" w:sz="0" w:space="0" w:color="auto"/>
                <w:bottom w:val="none" w:sz="0" w:space="0" w:color="auto"/>
                <w:right w:val="none" w:sz="0" w:space="0" w:color="auto"/>
              </w:divBdr>
              <w:divsChild>
                <w:div w:id="162419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445440">
          <w:marLeft w:val="0"/>
          <w:marRight w:val="0"/>
          <w:marTop w:val="0"/>
          <w:marBottom w:val="0"/>
          <w:divBdr>
            <w:top w:val="none" w:sz="0" w:space="0" w:color="auto"/>
            <w:left w:val="none" w:sz="0" w:space="0" w:color="auto"/>
            <w:bottom w:val="none" w:sz="0" w:space="0" w:color="auto"/>
            <w:right w:val="none" w:sz="0" w:space="0" w:color="auto"/>
          </w:divBdr>
          <w:divsChild>
            <w:div w:id="643891629">
              <w:marLeft w:val="0"/>
              <w:marRight w:val="0"/>
              <w:marTop w:val="0"/>
              <w:marBottom w:val="0"/>
              <w:divBdr>
                <w:top w:val="none" w:sz="0" w:space="0" w:color="auto"/>
                <w:left w:val="none" w:sz="0" w:space="0" w:color="auto"/>
                <w:bottom w:val="none" w:sz="0" w:space="0" w:color="auto"/>
                <w:right w:val="none" w:sz="0" w:space="0" w:color="auto"/>
              </w:divBdr>
              <w:divsChild>
                <w:div w:id="65634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781231">
      <w:bodyDiv w:val="1"/>
      <w:marLeft w:val="0"/>
      <w:marRight w:val="0"/>
      <w:marTop w:val="0"/>
      <w:marBottom w:val="0"/>
      <w:divBdr>
        <w:top w:val="none" w:sz="0" w:space="0" w:color="auto"/>
        <w:left w:val="none" w:sz="0" w:space="0" w:color="auto"/>
        <w:bottom w:val="none" w:sz="0" w:space="0" w:color="auto"/>
        <w:right w:val="none" w:sz="0" w:space="0" w:color="auto"/>
      </w:divBdr>
    </w:div>
    <w:div w:id="418644408">
      <w:bodyDiv w:val="1"/>
      <w:marLeft w:val="0"/>
      <w:marRight w:val="0"/>
      <w:marTop w:val="0"/>
      <w:marBottom w:val="0"/>
      <w:divBdr>
        <w:top w:val="none" w:sz="0" w:space="0" w:color="auto"/>
        <w:left w:val="none" w:sz="0" w:space="0" w:color="auto"/>
        <w:bottom w:val="none" w:sz="0" w:space="0" w:color="auto"/>
        <w:right w:val="none" w:sz="0" w:space="0" w:color="auto"/>
      </w:divBdr>
    </w:div>
    <w:div w:id="444544497">
      <w:bodyDiv w:val="1"/>
      <w:marLeft w:val="0"/>
      <w:marRight w:val="0"/>
      <w:marTop w:val="0"/>
      <w:marBottom w:val="0"/>
      <w:divBdr>
        <w:top w:val="none" w:sz="0" w:space="0" w:color="auto"/>
        <w:left w:val="none" w:sz="0" w:space="0" w:color="auto"/>
        <w:bottom w:val="none" w:sz="0" w:space="0" w:color="auto"/>
        <w:right w:val="none" w:sz="0" w:space="0" w:color="auto"/>
      </w:divBdr>
    </w:div>
    <w:div w:id="445202584">
      <w:bodyDiv w:val="1"/>
      <w:marLeft w:val="0"/>
      <w:marRight w:val="0"/>
      <w:marTop w:val="0"/>
      <w:marBottom w:val="0"/>
      <w:divBdr>
        <w:top w:val="none" w:sz="0" w:space="0" w:color="auto"/>
        <w:left w:val="none" w:sz="0" w:space="0" w:color="auto"/>
        <w:bottom w:val="none" w:sz="0" w:space="0" w:color="auto"/>
        <w:right w:val="none" w:sz="0" w:space="0" w:color="auto"/>
      </w:divBdr>
    </w:div>
    <w:div w:id="445973259">
      <w:bodyDiv w:val="1"/>
      <w:marLeft w:val="0"/>
      <w:marRight w:val="0"/>
      <w:marTop w:val="0"/>
      <w:marBottom w:val="0"/>
      <w:divBdr>
        <w:top w:val="none" w:sz="0" w:space="0" w:color="auto"/>
        <w:left w:val="none" w:sz="0" w:space="0" w:color="auto"/>
        <w:bottom w:val="none" w:sz="0" w:space="0" w:color="auto"/>
        <w:right w:val="none" w:sz="0" w:space="0" w:color="auto"/>
      </w:divBdr>
    </w:div>
    <w:div w:id="454108107">
      <w:bodyDiv w:val="1"/>
      <w:marLeft w:val="0"/>
      <w:marRight w:val="0"/>
      <w:marTop w:val="0"/>
      <w:marBottom w:val="0"/>
      <w:divBdr>
        <w:top w:val="none" w:sz="0" w:space="0" w:color="auto"/>
        <w:left w:val="none" w:sz="0" w:space="0" w:color="auto"/>
        <w:bottom w:val="none" w:sz="0" w:space="0" w:color="auto"/>
        <w:right w:val="none" w:sz="0" w:space="0" w:color="auto"/>
      </w:divBdr>
    </w:div>
    <w:div w:id="457139434">
      <w:bodyDiv w:val="1"/>
      <w:marLeft w:val="0"/>
      <w:marRight w:val="0"/>
      <w:marTop w:val="0"/>
      <w:marBottom w:val="0"/>
      <w:divBdr>
        <w:top w:val="none" w:sz="0" w:space="0" w:color="auto"/>
        <w:left w:val="none" w:sz="0" w:space="0" w:color="auto"/>
        <w:bottom w:val="none" w:sz="0" w:space="0" w:color="auto"/>
        <w:right w:val="none" w:sz="0" w:space="0" w:color="auto"/>
      </w:divBdr>
    </w:div>
    <w:div w:id="459423502">
      <w:bodyDiv w:val="1"/>
      <w:marLeft w:val="0"/>
      <w:marRight w:val="0"/>
      <w:marTop w:val="0"/>
      <w:marBottom w:val="0"/>
      <w:divBdr>
        <w:top w:val="none" w:sz="0" w:space="0" w:color="auto"/>
        <w:left w:val="none" w:sz="0" w:space="0" w:color="auto"/>
        <w:bottom w:val="none" w:sz="0" w:space="0" w:color="auto"/>
        <w:right w:val="none" w:sz="0" w:space="0" w:color="auto"/>
      </w:divBdr>
    </w:div>
    <w:div w:id="465855221">
      <w:bodyDiv w:val="1"/>
      <w:marLeft w:val="0"/>
      <w:marRight w:val="0"/>
      <w:marTop w:val="0"/>
      <w:marBottom w:val="0"/>
      <w:divBdr>
        <w:top w:val="none" w:sz="0" w:space="0" w:color="auto"/>
        <w:left w:val="none" w:sz="0" w:space="0" w:color="auto"/>
        <w:bottom w:val="none" w:sz="0" w:space="0" w:color="auto"/>
        <w:right w:val="none" w:sz="0" w:space="0" w:color="auto"/>
      </w:divBdr>
    </w:div>
    <w:div w:id="466052826">
      <w:bodyDiv w:val="1"/>
      <w:marLeft w:val="0"/>
      <w:marRight w:val="0"/>
      <w:marTop w:val="0"/>
      <w:marBottom w:val="0"/>
      <w:divBdr>
        <w:top w:val="none" w:sz="0" w:space="0" w:color="auto"/>
        <w:left w:val="none" w:sz="0" w:space="0" w:color="auto"/>
        <w:bottom w:val="none" w:sz="0" w:space="0" w:color="auto"/>
        <w:right w:val="none" w:sz="0" w:space="0" w:color="auto"/>
      </w:divBdr>
    </w:div>
    <w:div w:id="470367519">
      <w:bodyDiv w:val="1"/>
      <w:marLeft w:val="0"/>
      <w:marRight w:val="0"/>
      <w:marTop w:val="0"/>
      <w:marBottom w:val="0"/>
      <w:divBdr>
        <w:top w:val="none" w:sz="0" w:space="0" w:color="auto"/>
        <w:left w:val="none" w:sz="0" w:space="0" w:color="auto"/>
        <w:bottom w:val="none" w:sz="0" w:space="0" w:color="auto"/>
        <w:right w:val="none" w:sz="0" w:space="0" w:color="auto"/>
      </w:divBdr>
    </w:div>
    <w:div w:id="470825848">
      <w:bodyDiv w:val="1"/>
      <w:marLeft w:val="0"/>
      <w:marRight w:val="0"/>
      <w:marTop w:val="0"/>
      <w:marBottom w:val="0"/>
      <w:divBdr>
        <w:top w:val="none" w:sz="0" w:space="0" w:color="auto"/>
        <w:left w:val="none" w:sz="0" w:space="0" w:color="auto"/>
        <w:bottom w:val="none" w:sz="0" w:space="0" w:color="auto"/>
        <w:right w:val="none" w:sz="0" w:space="0" w:color="auto"/>
      </w:divBdr>
    </w:div>
    <w:div w:id="474178202">
      <w:bodyDiv w:val="1"/>
      <w:marLeft w:val="0"/>
      <w:marRight w:val="0"/>
      <w:marTop w:val="0"/>
      <w:marBottom w:val="0"/>
      <w:divBdr>
        <w:top w:val="none" w:sz="0" w:space="0" w:color="auto"/>
        <w:left w:val="none" w:sz="0" w:space="0" w:color="auto"/>
        <w:bottom w:val="none" w:sz="0" w:space="0" w:color="auto"/>
        <w:right w:val="none" w:sz="0" w:space="0" w:color="auto"/>
      </w:divBdr>
    </w:div>
    <w:div w:id="478377386">
      <w:bodyDiv w:val="1"/>
      <w:marLeft w:val="0"/>
      <w:marRight w:val="0"/>
      <w:marTop w:val="0"/>
      <w:marBottom w:val="0"/>
      <w:divBdr>
        <w:top w:val="none" w:sz="0" w:space="0" w:color="auto"/>
        <w:left w:val="none" w:sz="0" w:space="0" w:color="auto"/>
        <w:bottom w:val="none" w:sz="0" w:space="0" w:color="auto"/>
        <w:right w:val="none" w:sz="0" w:space="0" w:color="auto"/>
      </w:divBdr>
    </w:div>
    <w:div w:id="483131580">
      <w:bodyDiv w:val="1"/>
      <w:marLeft w:val="0"/>
      <w:marRight w:val="0"/>
      <w:marTop w:val="0"/>
      <w:marBottom w:val="0"/>
      <w:divBdr>
        <w:top w:val="none" w:sz="0" w:space="0" w:color="auto"/>
        <w:left w:val="none" w:sz="0" w:space="0" w:color="auto"/>
        <w:bottom w:val="none" w:sz="0" w:space="0" w:color="auto"/>
        <w:right w:val="none" w:sz="0" w:space="0" w:color="auto"/>
      </w:divBdr>
    </w:div>
    <w:div w:id="487283811">
      <w:bodyDiv w:val="1"/>
      <w:marLeft w:val="0"/>
      <w:marRight w:val="0"/>
      <w:marTop w:val="0"/>
      <w:marBottom w:val="0"/>
      <w:divBdr>
        <w:top w:val="none" w:sz="0" w:space="0" w:color="auto"/>
        <w:left w:val="none" w:sz="0" w:space="0" w:color="auto"/>
        <w:bottom w:val="none" w:sz="0" w:space="0" w:color="auto"/>
        <w:right w:val="none" w:sz="0" w:space="0" w:color="auto"/>
      </w:divBdr>
      <w:divsChild>
        <w:div w:id="1600412729">
          <w:marLeft w:val="0"/>
          <w:marRight w:val="0"/>
          <w:marTop w:val="0"/>
          <w:marBottom w:val="0"/>
          <w:divBdr>
            <w:top w:val="none" w:sz="0" w:space="0" w:color="auto"/>
            <w:left w:val="none" w:sz="0" w:space="0" w:color="auto"/>
            <w:bottom w:val="none" w:sz="0" w:space="0" w:color="auto"/>
            <w:right w:val="none" w:sz="0" w:space="0" w:color="auto"/>
          </w:divBdr>
          <w:divsChild>
            <w:div w:id="472404560">
              <w:marLeft w:val="0"/>
              <w:marRight w:val="0"/>
              <w:marTop w:val="0"/>
              <w:marBottom w:val="0"/>
              <w:divBdr>
                <w:top w:val="none" w:sz="0" w:space="0" w:color="auto"/>
                <w:left w:val="none" w:sz="0" w:space="0" w:color="auto"/>
                <w:bottom w:val="none" w:sz="0" w:space="0" w:color="auto"/>
                <w:right w:val="none" w:sz="0" w:space="0" w:color="auto"/>
              </w:divBdr>
              <w:divsChild>
                <w:div w:id="1497187230">
                  <w:marLeft w:val="0"/>
                  <w:marRight w:val="0"/>
                  <w:marTop w:val="0"/>
                  <w:marBottom w:val="0"/>
                  <w:divBdr>
                    <w:top w:val="none" w:sz="0" w:space="0" w:color="auto"/>
                    <w:left w:val="none" w:sz="0" w:space="0" w:color="auto"/>
                    <w:bottom w:val="none" w:sz="0" w:space="0" w:color="auto"/>
                    <w:right w:val="none" w:sz="0" w:space="0" w:color="auto"/>
                  </w:divBdr>
                  <w:divsChild>
                    <w:div w:id="164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379755">
      <w:bodyDiv w:val="1"/>
      <w:marLeft w:val="0"/>
      <w:marRight w:val="0"/>
      <w:marTop w:val="0"/>
      <w:marBottom w:val="0"/>
      <w:divBdr>
        <w:top w:val="none" w:sz="0" w:space="0" w:color="auto"/>
        <w:left w:val="none" w:sz="0" w:space="0" w:color="auto"/>
        <w:bottom w:val="none" w:sz="0" w:space="0" w:color="auto"/>
        <w:right w:val="none" w:sz="0" w:space="0" w:color="auto"/>
      </w:divBdr>
    </w:div>
    <w:div w:id="497422264">
      <w:bodyDiv w:val="1"/>
      <w:marLeft w:val="0"/>
      <w:marRight w:val="0"/>
      <w:marTop w:val="0"/>
      <w:marBottom w:val="0"/>
      <w:divBdr>
        <w:top w:val="none" w:sz="0" w:space="0" w:color="auto"/>
        <w:left w:val="none" w:sz="0" w:space="0" w:color="auto"/>
        <w:bottom w:val="none" w:sz="0" w:space="0" w:color="auto"/>
        <w:right w:val="none" w:sz="0" w:space="0" w:color="auto"/>
      </w:divBdr>
    </w:div>
    <w:div w:id="500703983">
      <w:bodyDiv w:val="1"/>
      <w:marLeft w:val="0"/>
      <w:marRight w:val="0"/>
      <w:marTop w:val="0"/>
      <w:marBottom w:val="0"/>
      <w:divBdr>
        <w:top w:val="none" w:sz="0" w:space="0" w:color="auto"/>
        <w:left w:val="none" w:sz="0" w:space="0" w:color="auto"/>
        <w:bottom w:val="none" w:sz="0" w:space="0" w:color="auto"/>
        <w:right w:val="none" w:sz="0" w:space="0" w:color="auto"/>
      </w:divBdr>
    </w:div>
    <w:div w:id="503133144">
      <w:bodyDiv w:val="1"/>
      <w:marLeft w:val="0"/>
      <w:marRight w:val="0"/>
      <w:marTop w:val="0"/>
      <w:marBottom w:val="0"/>
      <w:divBdr>
        <w:top w:val="none" w:sz="0" w:space="0" w:color="auto"/>
        <w:left w:val="none" w:sz="0" w:space="0" w:color="auto"/>
        <w:bottom w:val="none" w:sz="0" w:space="0" w:color="auto"/>
        <w:right w:val="none" w:sz="0" w:space="0" w:color="auto"/>
      </w:divBdr>
    </w:div>
    <w:div w:id="510412481">
      <w:bodyDiv w:val="1"/>
      <w:marLeft w:val="0"/>
      <w:marRight w:val="0"/>
      <w:marTop w:val="0"/>
      <w:marBottom w:val="0"/>
      <w:divBdr>
        <w:top w:val="none" w:sz="0" w:space="0" w:color="auto"/>
        <w:left w:val="none" w:sz="0" w:space="0" w:color="auto"/>
        <w:bottom w:val="none" w:sz="0" w:space="0" w:color="auto"/>
        <w:right w:val="none" w:sz="0" w:space="0" w:color="auto"/>
      </w:divBdr>
      <w:divsChild>
        <w:div w:id="1409961900">
          <w:marLeft w:val="0"/>
          <w:marRight w:val="0"/>
          <w:marTop w:val="0"/>
          <w:marBottom w:val="0"/>
          <w:divBdr>
            <w:top w:val="none" w:sz="0" w:space="0" w:color="auto"/>
            <w:left w:val="none" w:sz="0" w:space="0" w:color="auto"/>
            <w:bottom w:val="none" w:sz="0" w:space="0" w:color="auto"/>
            <w:right w:val="none" w:sz="0" w:space="0" w:color="auto"/>
          </w:divBdr>
          <w:divsChild>
            <w:div w:id="2081245758">
              <w:marLeft w:val="0"/>
              <w:marRight w:val="0"/>
              <w:marTop w:val="0"/>
              <w:marBottom w:val="0"/>
              <w:divBdr>
                <w:top w:val="none" w:sz="0" w:space="0" w:color="auto"/>
                <w:left w:val="none" w:sz="0" w:space="0" w:color="auto"/>
                <w:bottom w:val="none" w:sz="0" w:space="0" w:color="auto"/>
                <w:right w:val="none" w:sz="0" w:space="0" w:color="auto"/>
              </w:divBdr>
              <w:divsChild>
                <w:div w:id="1791778035">
                  <w:marLeft w:val="0"/>
                  <w:marRight w:val="0"/>
                  <w:marTop w:val="0"/>
                  <w:marBottom w:val="0"/>
                  <w:divBdr>
                    <w:top w:val="none" w:sz="0" w:space="0" w:color="auto"/>
                    <w:left w:val="none" w:sz="0" w:space="0" w:color="auto"/>
                    <w:bottom w:val="none" w:sz="0" w:space="0" w:color="auto"/>
                    <w:right w:val="none" w:sz="0" w:space="0" w:color="auto"/>
                  </w:divBdr>
                  <w:divsChild>
                    <w:div w:id="107447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305812">
      <w:bodyDiv w:val="1"/>
      <w:marLeft w:val="0"/>
      <w:marRight w:val="0"/>
      <w:marTop w:val="0"/>
      <w:marBottom w:val="0"/>
      <w:divBdr>
        <w:top w:val="none" w:sz="0" w:space="0" w:color="auto"/>
        <w:left w:val="none" w:sz="0" w:space="0" w:color="auto"/>
        <w:bottom w:val="none" w:sz="0" w:space="0" w:color="auto"/>
        <w:right w:val="none" w:sz="0" w:space="0" w:color="auto"/>
      </w:divBdr>
    </w:div>
    <w:div w:id="520632752">
      <w:bodyDiv w:val="1"/>
      <w:marLeft w:val="0"/>
      <w:marRight w:val="0"/>
      <w:marTop w:val="0"/>
      <w:marBottom w:val="0"/>
      <w:divBdr>
        <w:top w:val="none" w:sz="0" w:space="0" w:color="auto"/>
        <w:left w:val="none" w:sz="0" w:space="0" w:color="auto"/>
        <w:bottom w:val="none" w:sz="0" w:space="0" w:color="auto"/>
        <w:right w:val="none" w:sz="0" w:space="0" w:color="auto"/>
      </w:divBdr>
    </w:div>
    <w:div w:id="522206898">
      <w:bodyDiv w:val="1"/>
      <w:marLeft w:val="0"/>
      <w:marRight w:val="0"/>
      <w:marTop w:val="0"/>
      <w:marBottom w:val="0"/>
      <w:divBdr>
        <w:top w:val="none" w:sz="0" w:space="0" w:color="auto"/>
        <w:left w:val="none" w:sz="0" w:space="0" w:color="auto"/>
        <w:bottom w:val="none" w:sz="0" w:space="0" w:color="auto"/>
        <w:right w:val="none" w:sz="0" w:space="0" w:color="auto"/>
      </w:divBdr>
      <w:divsChild>
        <w:div w:id="1693921087">
          <w:marLeft w:val="0"/>
          <w:marRight w:val="0"/>
          <w:marTop w:val="0"/>
          <w:marBottom w:val="0"/>
          <w:divBdr>
            <w:top w:val="none" w:sz="0" w:space="0" w:color="auto"/>
            <w:left w:val="none" w:sz="0" w:space="0" w:color="auto"/>
            <w:bottom w:val="none" w:sz="0" w:space="0" w:color="auto"/>
            <w:right w:val="none" w:sz="0" w:space="0" w:color="auto"/>
          </w:divBdr>
          <w:divsChild>
            <w:div w:id="996566936">
              <w:marLeft w:val="0"/>
              <w:marRight w:val="0"/>
              <w:marTop w:val="0"/>
              <w:marBottom w:val="0"/>
              <w:divBdr>
                <w:top w:val="none" w:sz="0" w:space="0" w:color="auto"/>
                <w:left w:val="none" w:sz="0" w:space="0" w:color="auto"/>
                <w:bottom w:val="none" w:sz="0" w:space="0" w:color="auto"/>
                <w:right w:val="none" w:sz="0" w:space="0" w:color="auto"/>
              </w:divBdr>
              <w:divsChild>
                <w:div w:id="68312309">
                  <w:marLeft w:val="0"/>
                  <w:marRight w:val="0"/>
                  <w:marTop w:val="0"/>
                  <w:marBottom w:val="0"/>
                  <w:divBdr>
                    <w:top w:val="none" w:sz="0" w:space="0" w:color="auto"/>
                    <w:left w:val="none" w:sz="0" w:space="0" w:color="auto"/>
                    <w:bottom w:val="none" w:sz="0" w:space="0" w:color="auto"/>
                    <w:right w:val="none" w:sz="0" w:space="0" w:color="auto"/>
                  </w:divBdr>
                  <w:divsChild>
                    <w:div w:id="108357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365601">
      <w:bodyDiv w:val="1"/>
      <w:marLeft w:val="0"/>
      <w:marRight w:val="0"/>
      <w:marTop w:val="0"/>
      <w:marBottom w:val="0"/>
      <w:divBdr>
        <w:top w:val="none" w:sz="0" w:space="0" w:color="auto"/>
        <w:left w:val="none" w:sz="0" w:space="0" w:color="auto"/>
        <w:bottom w:val="none" w:sz="0" w:space="0" w:color="auto"/>
        <w:right w:val="none" w:sz="0" w:space="0" w:color="auto"/>
      </w:divBdr>
    </w:div>
    <w:div w:id="535041151">
      <w:bodyDiv w:val="1"/>
      <w:marLeft w:val="0"/>
      <w:marRight w:val="0"/>
      <w:marTop w:val="0"/>
      <w:marBottom w:val="0"/>
      <w:divBdr>
        <w:top w:val="none" w:sz="0" w:space="0" w:color="auto"/>
        <w:left w:val="none" w:sz="0" w:space="0" w:color="auto"/>
        <w:bottom w:val="none" w:sz="0" w:space="0" w:color="auto"/>
        <w:right w:val="none" w:sz="0" w:space="0" w:color="auto"/>
      </w:divBdr>
    </w:div>
    <w:div w:id="537397465">
      <w:bodyDiv w:val="1"/>
      <w:marLeft w:val="0"/>
      <w:marRight w:val="0"/>
      <w:marTop w:val="0"/>
      <w:marBottom w:val="0"/>
      <w:divBdr>
        <w:top w:val="none" w:sz="0" w:space="0" w:color="auto"/>
        <w:left w:val="none" w:sz="0" w:space="0" w:color="auto"/>
        <w:bottom w:val="none" w:sz="0" w:space="0" w:color="auto"/>
        <w:right w:val="none" w:sz="0" w:space="0" w:color="auto"/>
      </w:divBdr>
    </w:div>
    <w:div w:id="542862445">
      <w:bodyDiv w:val="1"/>
      <w:marLeft w:val="0"/>
      <w:marRight w:val="0"/>
      <w:marTop w:val="0"/>
      <w:marBottom w:val="0"/>
      <w:divBdr>
        <w:top w:val="none" w:sz="0" w:space="0" w:color="auto"/>
        <w:left w:val="none" w:sz="0" w:space="0" w:color="auto"/>
        <w:bottom w:val="none" w:sz="0" w:space="0" w:color="auto"/>
        <w:right w:val="none" w:sz="0" w:space="0" w:color="auto"/>
      </w:divBdr>
      <w:divsChild>
        <w:div w:id="1739745255">
          <w:marLeft w:val="0"/>
          <w:marRight w:val="0"/>
          <w:marTop w:val="0"/>
          <w:marBottom w:val="0"/>
          <w:divBdr>
            <w:top w:val="none" w:sz="0" w:space="0" w:color="auto"/>
            <w:left w:val="none" w:sz="0" w:space="0" w:color="auto"/>
            <w:bottom w:val="none" w:sz="0" w:space="0" w:color="auto"/>
            <w:right w:val="none" w:sz="0" w:space="0" w:color="auto"/>
          </w:divBdr>
          <w:divsChild>
            <w:div w:id="419910107">
              <w:marLeft w:val="0"/>
              <w:marRight w:val="0"/>
              <w:marTop w:val="0"/>
              <w:marBottom w:val="0"/>
              <w:divBdr>
                <w:top w:val="none" w:sz="0" w:space="0" w:color="auto"/>
                <w:left w:val="none" w:sz="0" w:space="0" w:color="auto"/>
                <w:bottom w:val="none" w:sz="0" w:space="0" w:color="auto"/>
                <w:right w:val="none" w:sz="0" w:space="0" w:color="auto"/>
              </w:divBdr>
              <w:divsChild>
                <w:div w:id="1790395501">
                  <w:marLeft w:val="0"/>
                  <w:marRight w:val="0"/>
                  <w:marTop w:val="0"/>
                  <w:marBottom w:val="0"/>
                  <w:divBdr>
                    <w:top w:val="none" w:sz="0" w:space="0" w:color="auto"/>
                    <w:left w:val="none" w:sz="0" w:space="0" w:color="auto"/>
                    <w:bottom w:val="none" w:sz="0" w:space="0" w:color="auto"/>
                    <w:right w:val="none" w:sz="0" w:space="0" w:color="auto"/>
                  </w:divBdr>
                  <w:divsChild>
                    <w:div w:id="110049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952265">
      <w:bodyDiv w:val="1"/>
      <w:marLeft w:val="0"/>
      <w:marRight w:val="0"/>
      <w:marTop w:val="0"/>
      <w:marBottom w:val="0"/>
      <w:divBdr>
        <w:top w:val="none" w:sz="0" w:space="0" w:color="auto"/>
        <w:left w:val="none" w:sz="0" w:space="0" w:color="auto"/>
        <w:bottom w:val="none" w:sz="0" w:space="0" w:color="auto"/>
        <w:right w:val="none" w:sz="0" w:space="0" w:color="auto"/>
      </w:divBdr>
    </w:div>
    <w:div w:id="548224689">
      <w:bodyDiv w:val="1"/>
      <w:marLeft w:val="0"/>
      <w:marRight w:val="0"/>
      <w:marTop w:val="0"/>
      <w:marBottom w:val="0"/>
      <w:divBdr>
        <w:top w:val="none" w:sz="0" w:space="0" w:color="auto"/>
        <w:left w:val="none" w:sz="0" w:space="0" w:color="auto"/>
        <w:bottom w:val="none" w:sz="0" w:space="0" w:color="auto"/>
        <w:right w:val="none" w:sz="0" w:space="0" w:color="auto"/>
      </w:divBdr>
    </w:div>
    <w:div w:id="558170542">
      <w:bodyDiv w:val="1"/>
      <w:marLeft w:val="0"/>
      <w:marRight w:val="0"/>
      <w:marTop w:val="0"/>
      <w:marBottom w:val="0"/>
      <w:divBdr>
        <w:top w:val="none" w:sz="0" w:space="0" w:color="auto"/>
        <w:left w:val="none" w:sz="0" w:space="0" w:color="auto"/>
        <w:bottom w:val="none" w:sz="0" w:space="0" w:color="auto"/>
        <w:right w:val="none" w:sz="0" w:space="0" w:color="auto"/>
      </w:divBdr>
      <w:divsChild>
        <w:div w:id="703092586">
          <w:marLeft w:val="0"/>
          <w:marRight w:val="0"/>
          <w:marTop w:val="0"/>
          <w:marBottom w:val="0"/>
          <w:divBdr>
            <w:top w:val="none" w:sz="0" w:space="0" w:color="auto"/>
            <w:left w:val="none" w:sz="0" w:space="0" w:color="auto"/>
            <w:bottom w:val="none" w:sz="0" w:space="0" w:color="auto"/>
            <w:right w:val="none" w:sz="0" w:space="0" w:color="auto"/>
          </w:divBdr>
        </w:div>
      </w:divsChild>
    </w:div>
    <w:div w:id="558832937">
      <w:bodyDiv w:val="1"/>
      <w:marLeft w:val="0"/>
      <w:marRight w:val="0"/>
      <w:marTop w:val="0"/>
      <w:marBottom w:val="0"/>
      <w:divBdr>
        <w:top w:val="none" w:sz="0" w:space="0" w:color="auto"/>
        <w:left w:val="none" w:sz="0" w:space="0" w:color="auto"/>
        <w:bottom w:val="none" w:sz="0" w:space="0" w:color="auto"/>
        <w:right w:val="none" w:sz="0" w:space="0" w:color="auto"/>
      </w:divBdr>
    </w:div>
    <w:div w:id="562986814">
      <w:bodyDiv w:val="1"/>
      <w:marLeft w:val="0"/>
      <w:marRight w:val="0"/>
      <w:marTop w:val="0"/>
      <w:marBottom w:val="0"/>
      <w:divBdr>
        <w:top w:val="none" w:sz="0" w:space="0" w:color="auto"/>
        <w:left w:val="none" w:sz="0" w:space="0" w:color="auto"/>
        <w:bottom w:val="none" w:sz="0" w:space="0" w:color="auto"/>
        <w:right w:val="none" w:sz="0" w:space="0" w:color="auto"/>
      </w:divBdr>
    </w:div>
    <w:div w:id="568657635">
      <w:bodyDiv w:val="1"/>
      <w:marLeft w:val="0"/>
      <w:marRight w:val="0"/>
      <w:marTop w:val="0"/>
      <w:marBottom w:val="0"/>
      <w:divBdr>
        <w:top w:val="none" w:sz="0" w:space="0" w:color="auto"/>
        <w:left w:val="none" w:sz="0" w:space="0" w:color="auto"/>
        <w:bottom w:val="none" w:sz="0" w:space="0" w:color="auto"/>
        <w:right w:val="none" w:sz="0" w:space="0" w:color="auto"/>
      </w:divBdr>
    </w:div>
    <w:div w:id="576525515">
      <w:bodyDiv w:val="1"/>
      <w:marLeft w:val="0"/>
      <w:marRight w:val="0"/>
      <w:marTop w:val="0"/>
      <w:marBottom w:val="0"/>
      <w:divBdr>
        <w:top w:val="none" w:sz="0" w:space="0" w:color="auto"/>
        <w:left w:val="none" w:sz="0" w:space="0" w:color="auto"/>
        <w:bottom w:val="none" w:sz="0" w:space="0" w:color="auto"/>
        <w:right w:val="none" w:sz="0" w:space="0" w:color="auto"/>
      </w:divBdr>
    </w:div>
    <w:div w:id="577831066">
      <w:bodyDiv w:val="1"/>
      <w:marLeft w:val="0"/>
      <w:marRight w:val="0"/>
      <w:marTop w:val="0"/>
      <w:marBottom w:val="0"/>
      <w:divBdr>
        <w:top w:val="none" w:sz="0" w:space="0" w:color="auto"/>
        <w:left w:val="none" w:sz="0" w:space="0" w:color="auto"/>
        <w:bottom w:val="none" w:sz="0" w:space="0" w:color="auto"/>
        <w:right w:val="none" w:sz="0" w:space="0" w:color="auto"/>
      </w:divBdr>
      <w:divsChild>
        <w:div w:id="1436243554">
          <w:marLeft w:val="0"/>
          <w:marRight w:val="0"/>
          <w:marTop w:val="0"/>
          <w:marBottom w:val="0"/>
          <w:divBdr>
            <w:top w:val="none" w:sz="0" w:space="0" w:color="auto"/>
            <w:left w:val="none" w:sz="0" w:space="0" w:color="auto"/>
            <w:bottom w:val="none" w:sz="0" w:space="0" w:color="auto"/>
            <w:right w:val="none" w:sz="0" w:space="0" w:color="auto"/>
          </w:divBdr>
          <w:divsChild>
            <w:div w:id="608466731">
              <w:marLeft w:val="0"/>
              <w:marRight w:val="0"/>
              <w:marTop w:val="0"/>
              <w:marBottom w:val="0"/>
              <w:divBdr>
                <w:top w:val="none" w:sz="0" w:space="0" w:color="auto"/>
                <w:left w:val="none" w:sz="0" w:space="0" w:color="auto"/>
                <w:bottom w:val="none" w:sz="0" w:space="0" w:color="auto"/>
                <w:right w:val="none" w:sz="0" w:space="0" w:color="auto"/>
              </w:divBdr>
              <w:divsChild>
                <w:div w:id="117538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607130">
      <w:bodyDiv w:val="1"/>
      <w:marLeft w:val="0"/>
      <w:marRight w:val="0"/>
      <w:marTop w:val="0"/>
      <w:marBottom w:val="0"/>
      <w:divBdr>
        <w:top w:val="none" w:sz="0" w:space="0" w:color="auto"/>
        <w:left w:val="none" w:sz="0" w:space="0" w:color="auto"/>
        <w:bottom w:val="none" w:sz="0" w:space="0" w:color="auto"/>
        <w:right w:val="none" w:sz="0" w:space="0" w:color="auto"/>
      </w:divBdr>
    </w:div>
    <w:div w:id="589003218">
      <w:bodyDiv w:val="1"/>
      <w:marLeft w:val="0"/>
      <w:marRight w:val="0"/>
      <w:marTop w:val="0"/>
      <w:marBottom w:val="0"/>
      <w:divBdr>
        <w:top w:val="none" w:sz="0" w:space="0" w:color="auto"/>
        <w:left w:val="none" w:sz="0" w:space="0" w:color="auto"/>
        <w:bottom w:val="none" w:sz="0" w:space="0" w:color="auto"/>
        <w:right w:val="none" w:sz="0" w:space="0" w:color="auto"/>
      </w:divBdr>
    </w:div>
    <w:div w:id="591551454">
      <w:bodyDiv w:val="1"/>
      <w:marLeft w:val="0"/>
      <w:marRight w:val="0"/>
      <w:marTop w:val="0"/>
      <w:marBottom w:val="0"/>
      <w:divBdr>
        <w:top w:val="none" w:sz="0" w:space="0" w:color="auto"/>
        <w:left w:val="none" w:sz="0" w:space="0" w:color="auto"/>
        <w:bottom w:val="none" w:sz="0" w:space="0" w:color="auto"/>
        <w:right w:val="none" w:sz="0" w:space="0" w:color="auto"/>
      </w:divBdr>
    </w:div>
    <w:div w:id="592666770">
      <w:bodyDiv w:val="1"/>
      <w:marLeft w:val="0"/>
      <w:marRight w:val="0"/>
      <w:marTop w:val="0"/>
      <w:marBottom w:val="0"/>
      <w:divBdr>
        <w:top w:val="none" w:sz="0" w:space="0" w:color="auto"/>
        <w:left w:val="none" w:sz="0" w:space="0" w:color="auto"/>
        <w:bottom w:val="none" w:sz="0" w:space="0" w:color="auto"/>
        <w:right w:val="none" w:sz="0" w:space="0" w:color="auto"/>
      </w:divBdr>
    </w:div>
    <w:div w:id="600921283">
      <w:bodyDiv w:val="1"/>
      <w:marLeft w:val="0"/>
      <w:marRight w:val="0"/>
      <w:marTop w:val="0"/>
      <w:marBottom w:val="0"/>
      <w:divBdr>
        <w:top w:val="none" w:sz="0" w:space="0" w:color="auto"/>
        <w:left w:val="none" w:sz="0" w:space="0" w:color="auto"/>
        <w:bottom w:val="none" w:sz="0" w:space="0" w:color="auto"/>
        <w:right w:val="none" w:sz="0" w:space="0" w:color="auto"/>
      </w:divBdr>
    </w:div>
    <w:div w:id="606086888">
      <w:bodyDiv w:val="1"/>
      <w:marLeft w:val="0"/>
      <w:marRight w:val="0"/>
      <w:marTop w:val="0"/>
      <w:marBottom w:val="0"/>
      <w:divBdr>
        <w:top w:val="none" w:sz="0" w:space="0" w:color="auto"/>
        <w:left w:val="none" w:sz="0" w:space="0" w:color="auto"/>
        <w:bottom w:val="none" w:sz="0" w:space="0" w:color="auto"/>
        <w:right w:val="none" w:sz="0" w:space="0" w:color="auto"/>
      </w:divBdr>
      <w:divsChild>
        <w:div w:id="1028263794">
          <w:marLeft w:val="0"/>
          <w:marRight w:val="0"/>
          <w:marTop w:val="0"/>
          <w:marBottom w:val="0"/>
          <w:divBdr>
            <w:top w:val="none" w:sz="0" w:space="0" w:color="auto"/>
            <w:left w:val="none" w:sz="0" w:space="0" w:color="auto"/>
            <w:bottom w:val="none" w:sz="0" w:space="0" w:color="auto"/>
            <w:right w:val="none" w:sz="0" w:space="0" w:color="auto"/>
          </w:divBdr>
          <w:divsChild>
            <w:div w:id="462382305">
              <w:marLeft w:val="0"/>
              <w:marRight w:val="0"/>
              <w:marTop w:val="0"/>
              <w:marBottom w:val="0"/>
              <w:divBdr>
                <w:top w:val="none" w:sz="0" w:space="0" w:color="auto"/>
                <w:left w:val="none" w:sz="0" w:space="0" w:color="auto"/>
                <w:bottom w:val="none" w:sz="0" w:space="0" w:color="auto"/>
                <w:right w:val="none" w:sz="0" w:space="0" w:color="auto"/>
              </w:divBdr>
              <w:divsChild>
                <w:div w:id="1588267446">
                  <w:marLeft w:val="0"/>
                  <w:marRight w:val="0"/>
                  <w:marTop w:val="0"/>
                  <w:marBottom w:val="0"/>
                  <w:divBdr>
                    <w:top w:val="none" w:sz="0" w:space="0" w:color="auto"/>
                    <w:left w:val="none" w:sz="0" w:space="0" w:color="auto"/>
                    <w:bottom w:val="none" w:sz="0" w:space="0" w:color="auto"/>
                    <w:right w:val="none" w:sz="0" w:space="0" w:color="auto"/>
                  </w:divBdr>
                  <w:divsChild>
                    <w:div w:id="188783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237293">
      <w:bodyDiv w:val="1"/>
      <w:marLeft w:val="0"/>
      <w:marRight w:val="0"/>
      <w:marTop w:val="0"/>
      <w:marBottom w:val="0"/>
      <w:divBdr>
        <w:top w:val="none" w:sz="0" w:space="0" w:color="auto"/>
        <w:left w:val="none" w:sz="0" w:space="0" w:color="auto"/>
        <w:bottom w:val="none" w:sz="0" w:space="0" w:color="auto"/>
        <w:right w:val="none" w:sz="0" w:space="0" w:color="auto"/>
      </w:divBdr>
    </w:div>
    <w:div w:id="612132502">
      <w:bodyDiv w:val="1"/>
      <w:marLeft w:val="0"/>
      <w:marRight w:val="0"/>
      <w:marTop w:val="0"/>
      <w:marBottom w:val="0"/>
      <w:divBdr>
        <w:top w:val="none" w:sz="0" w:space="0" w:color="auto"/>
        <w:left w:val="none" w:sz="0" w:space="0" w:color="auto"/>
        <w:bottom w:val="none" w:sz="0" w:space="0" w:color="auto"/>
        <w:right w:val="none" w:sz="0" w:space="0" w:color="auto"/>
      </w:divBdr>
    </w:div>
    <w:div w:id="625282408">
      <w:bodyDiv w:val="1"/>
      <w:marLeft w:val="0"/>
      <w:marRight w:val="0"/>
      <w:marTop w:val="0"/>
      <w:marBottom w:val="0"/>
      <w:divBdr>
        <w:top w:val="none" w:sz="0" w:space="0" w:color="auto"/>
        <w:left w:val="none" w:sz="0" w:space="0" w:color="auto"/>
        <w:bottom w:val="none" w:sz="0" w:space="0" w:color="auto"/>
        <w:right w:val="none" w:sz="0" w:space="0" w:color="auto"/>
      </w:divBdr>
      <w:divsChild>
        <w:div w:id="1537160537">
          <w:marLeft w:val="0"/>
          <w:marRight w:val="0"/>
          <w:marTop w:val="0"/>
          <w:marBottom w:val="0"/>
          <w:divBdr>
            <w:top w:val="none" w:sz="0" w:space="0" w:color="auto"/>
            <w:left w:val="none" w:sz="0" w:space="0" w:color="auto"/>
            <w:bottom w:val="none" w:sz="0" w:space="0" w:color="auto"/>
            <w:right w:val="none" w:sz="0" w:space="0" w:color="auto"/>
          </w:divBdr>
          <w:divsChild>
            <w:div w:id="1804690731">
              <w:marLeft w:val="0"/>
              <w:marRight w:val="0"/>
              <w:marTop w:val="0"/>
              <w:marBottom w:val="0"/>
              <w:divBdr>
                <w:top w:val="none" w:sz="0" w:space="0" w:color="auto"/>
                <w:left w:val="none" w:sz="0" w:space="0" w:color="auto"/>
                <w:bottom w:val="none" w:sz="0" w:space="0" w:color="auto"/>
                <w:right w:val="none" w:sz="0" w:space="0" w:color="auto"/>
              </w:divBdr>
              <w:divsChild>
                <w:div w:id="1416779301">
                  <w:marLeft w:val="0"/>
                  <w:marRight w:val="0"/>
                  <w:marTop w:val="0"/>
                  <w:marBottom w:val="0"/>
                  <w:divBdr>
                    <w:top w:val="none" w:sz="0" w:space="0" w:color="auto"/>
                    <w:left w:val="none" w:sz="0" w:space="0" w:color="auto"/>
                    <w:bottom w:val="none" w:sz="0" w:space="0" w:color="auto"/>
                    <w:right w:val="none" w:sz="0" w:space="0" w:color="auto"/>
                  </w:divBdr>
                  <w:divsChild>
                    <w:div w:id="1317107058">
                      <w:marLeft w:val="0"/>
                      <w:marRight w:val="0"/>
                      <w:marTop w:val="0"/>
                      <w:marBottom w:val="0"/>
                      <w:divBdr>
                        <w:top w:val="none" w:sz="0" w:space="0" w:color="auto"/>
                        <w:left w:val="none" w:sz="0" w:space="0" w:color="auto"/>
                        <w:bottom w:val="none" w:sz="0" w:space="0" w:color="auto"/>
                        <w:right w:val="none" w:sz="0" w:space="0" w:color="auto"/>
                      </w:divBdr>
                      <w:divsChild>
                        <w:div w:id="1633049942">
                          <w:marLeft w:val="0"/>
                          <w:marRight w:val="0"/>
                          <w:marTop w:val="0"/>
                          <w:marBottom w:val="0"/>
                          <w:divBdr>
                            <w:top w:val="none" w:sz="0" w:space="0" w:color="auto"/>
                            <w:left w:val="none" w:sz="0" w:space="0" w:color="auto"/>
                            <w:bottom w:val="none" w:sz="0" w:space="0" w:color="auto"/>
                            <w:right w:val="none" w:sz="0" w:space="0" w:color="auto"/>
                          </w:divBdr>
                          <w:divsChild>
                            <w:div w:id="1717317234">
                              <w:marLeft w:val="0"/>
                              <w:marRight w:val="0"/>
                              <w:marTop w:val="0"/>
                              <w:marBottom w:val="0"/>
                              <w:divBdr>
                                <w:top w:val="none" w:sz="0" w:space="0" w:color="auto"/>
                                <w:left w:val="none" w:sz="0" w:space="0" w:color="auto"/>
                                <w:bottom w:val="none" w:sz="0" w:space="0" w:color="auto"/>
                                <w:right w:val="none" w:sz="0" w:space="0" w:color="auto"/>
                              </w:divBdr>
                              <w:divsChild>
                                <w:div w:id="1195343353">
                                  <w:marLeft w:val="0"/>
                                  <w:marRight w:val="0"/>
                                  <w:marTop w:val="0"/>
                                  <w:marBottom w:val="0"/>
                                  <w:divBdr>
                                    <w:top w:val="none" w:sz="0" w:space="0" w:color="auto"/>
                                    <w:left w:val="none" w:sz="0" w:space="0" w:color="auto"/>
                                    <w:bottom w:val="none" w:sz="0" w:space="0" w:color="auto"/>
                                    <w:right w:val="none" w:sz="0" w:space="0" w:color="auto"/>
                                  </w:divBdr>
                                  <w:divsChild>
                                    <w:div w:id="1707294946">
                                      <w:marLeft w:val="0"/>
                                      <w:marRight w:val="0"/>
                                      <w:marTop w:val="0"/>
                                      <w:marBottom w:val="0"/>
                                      <w:divBdr>
                                        <w:top w:val="none" w:sz="0" w:space="0" w:color="auto"/>
                                        <w:left w:val="none" w:sz="0" w:space="0" w:color="auto"/>
                                        <w:bottom w:val="none" w:sz="0" w:space="0" w:color="auto"/>
                                        <w:right w:val="none" w:sz="0" w:space="0" w:color="auto"/>
                                      </w:divBdr>
                                      <w:divsChild>
                                        <w:div w:id="2098864626">
                                          <w:marLeft w:val="0"/>
                                          <w:marRight w:val="0"/>
                                          <w:marTop w:val="0"/>
                                          <w:marBottom w:val="0"/>
                                          <w:divBdr>
                                            <w:top w:val="none" w:sz="0" w:space="0" w:color="auto"/>
                                            <w:left w:val="none" w:sz="0" w:space="0" w:color="auto"/>
                                            <w:bottom w:val="none" w:sz="0" w:space="0" w:color="auto"/>
                                            <w:right w:val="none" w:sz="0" w:space="0" w:color="auto"/>
                                          </w:divBdr>
                                          <w:divsChild>
                                            <w:div w:id="1287393745">
                                              <w:marLeft w:val="0"/>
                                              <w:marRight w:val="0"/>
                                              <w:marTop w:val="0"/>
                                              <w:marBottom w:val="0"/>
                                              <w:divBdr>
                                                <w:top w:val="none" w:sz="0" w:space="0" w:color="auto"/>
                                                <w:left w:val="none" w:sz="0" w:space="0" w:color="auto"/>
                                                <w:bottom w:val="none" w:sz="0" w:space="0" w:color="auto"/>
                                                <w:right w:val="none" w:sz="0" w:space="0" w:color="auto"/>
                                              </w:divBdr>
                                              <w:divsChild>
                                                <w:div w:id="774860029">
                                                  <w:marLeft w:val="0"/>
                                                  <w:marRight w:val="0"/>
                                                  <w:marTop w:val="0"/>
                                                  <w:marBottom w:val="0"/>
                                                  <w:divBdr>
                                                    <w:top w:val="none" w:sz="0" w:space="0" w:color="auto"/>
                                                    <w:left w:val="none" w:sz="0" w:space="0" w:color="auto"/>
                                                    <w:bottom w:val="none" w:sz="0" w:space="0" w:color="auto"/>
                                                    <w:right w:val="none" w:sz="0" w:space="0" w:color="auto"/>
                                                  </w:divBdr>
                                                  <w:divsChild>
                                                    <w:div w:id="1131248049">
                                                      <w:marLeft w:val="0"/>
                                                      <w:marRight w:val="0"/>
                                                      <w:marTop w:val="0"/>
                                                      <w:marBottom w:val="0"/>
                                                      <w:divBdr>
                                                        <w:top w:val="none" w:sz="0" w:space="0" w:color="auto"/>
                                                        <w:left w:val="none" w:sz="0" w:space="0" w:color="auto"/>
                                                        <w:bottom w:val="none" w:sz="0" w:space="0" w:color="auto"/>
                                                        <w:right w:val="none" w:sz="0" w:space="0" w:color="auto"/>
                                                      </w:divBdr>
                                                      <w:divsChild>
                                                        <w:div w:id="89138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5543892">
      <w:bodyDiv w:val="1"/>
      <w:marLeft w:val="0"/>
      <w:marRight w:val="0"/>
      <w:marTop w:val="0"/>
      <w:marBottom w:val="0"/>
      <w:divBdr>
        <w:top w:val="none" w:sz="0" w:space="0" w:color="auto"/>
        <w:left w:val="none" w:sz="0" w:space="0" w:color="auto"/>
        <w:bottom w:val="none" w:sz="0" w:space="0" w:color="auto"/>
        <w:right w:val="none" w:sz="0" w:space="0" w:color="auto"/>
      </w:divBdr>
    </w:div>
    <w:div w:id="632906513">
      <w:bodyDiv w:val="1"/>
      <w:marLeft w:val="0"/>
      <w:marRight w:val="0"/>
      <w:marTop w:val="0"/>
      <w:marBottom w:val="0"/>
      <w:divBdr>
        <w:top w:val="none" w:sz="0" w:space="0" w:color="auto"/>
        <w:left w:val="none" w:sz="0" w:space="0" w:color="auto"/>
        <w:bottom w:val="none" w:sz="0" w:space="0" w:color="auto"/>
        <w:right w:val="none" w:sz="0" w:space="0" w:color="auto"/>
      </w:divBdr>
    </w:div>
    <w:div w:id="634339408">
      <w:bodyDiv w:val="1"/>
      <w:marLeft w:val="0"/>
      <w:marRight w:val="0"/>
      <w:marTop w:val="0"/>
      <w:marBottom w:val="0"/>
      <w:divBdr>
        <w:top w:val="none" w:sz="0" w:space="0" w:color="auto"/>
        <w:left w:val="none" w:sz="0" w:space="0" w:color="auto"/>
        <w:bottom w:val="none" w:sz="0" w:space="0" w:color="auto"/>
        <w:right w:val="none" w:sz="0" w:space="0" w:color="auto"/>
      </w:divBdr>
    </w:div>
    <w:div w:id="638346957">
      <w:bodyDiv w:val="1"/>
      <w:marLeft w:val="0"/>
      <w:marRight w:val="0"/>
      <w:marTop w:val="0"/>
      <w:marBottom w:val="0"/>
      <w:divBdr>
        <w:top w:val="none" w:sz="0" w:space="0" w:color="auto"/>
        <w:left w:val="none" w:sz="0" w:space="0" w:color="auto"/>
        <w:bottom w:val="none" w:sz="0" w:space="0" w:color="auto"/>
        <w:right w:val="none" w:sz="0" w:space="0" w:color="auto"/>
      </w:divBdr>
    </w:div>
    <w:div w:id="639725939">
      <w:bodyDiv w:val="1"/>
      <w:marLeft w:val="0"/>
      <w:marRight w:val="0"/>
      <w:marTop w:val="0"/>
      <w:marBottom w:val="0"/>
      <w:divBdr>
        <w:top w:val="none" w:sz="0" w:space="0" w:color="auto"/>
        <w:left w:val="none" w:sz="0" w:space="0" w:color="auto"/>
        <w:bottom w:val="none" w:sz="0" w:space="0" w:color="auto"/>
        <w:right w:val="none" w:sz="0" w:space="0" w:color="auto"/>
      </w:divBdr>
    </w:div>
    <w:div w:id="641228227">
      <w:bodyDiv w:val="1"/>
      <w:marLeft w:val="0"/>
      <w:marRight w:val="0"/>
      <w:marTop w:val="0"/>
      <w:marBottom w:val="0"/>
      <w:divBdr>
        <w:top w:val="none" w:sz="0" w:space="0" w:color="auto"/>
        <w:left w:val="none" w:sz="0" w:space="0" w:color="auto"/>
        <w:bottom w:val="none" w:sz="0" w:space="0" w:color="auto"/>
        <w:right w:val="none" w:sz="0" w:space="0" w:color="auto"/>
      </w:divBdr>
    </w:div>
    <w:div w:id="655691461">
      <w:bodyDiv w:val="1"/>
      <w:marLeft w:val="0"/>
      <w:marRight w:val="0"/>
      <w:marTop w:val="0"/>
      <w:marBottom w:val="0"/>
      <w:divBdr>
        <w:top w:val="none" w:sz="0" w:space="0" w:color="auto"/>
        <w:left w:val="none" w:sz="0" w:space="0" w:color="auto"/>
        <w:bottom w:val="none" w:sz="0" w:space="0" w:color="auto"/>
        <w:right w:val="none" w:sz="0" w:space="0" w:color="auto"/>
      </w:divBdr>
    </w:div>
    <w:div w:id="668872241">
      <w:bodyDiv w:val="1"/>
      <w:marLeft w:val="0"/>
      <w:marRight w:val="0"/>
      <w:marTop w:val="0"/>
      <w:marBottom w:val="0"/>
      <w:divBdr>
        <w:top w:val="none" w:sz="0" w:space="0" w:color="auto"/>
        <w:left w:val="none" w:sz="0" w:space="0" w:color="auto"/>
        <w:bottom w:val="none" w:sz="0" w:space="0" w:color="auto"/>
        <w:right w:val="none" w:sz="0" w:space="0" w:color="auto"/>
      </w:divBdr>
    </w:div>
    <w:div w:id="669984979">
      <w:bodyDiv w:val="1"/>
      <w:marLeft w:val="0"/>
      <w:marRight w:val="0"/>
      <w:marTop w:val="0"/>
      <w:marBottom w:val="0"/>
      <w:divBdr>
        <w:top w:val="none" w:sz="0" w:space="0" w:color="auto"/>
        <w:left w:val="none" w:sz="0" w:space="0" w:color="auto"/>
        <w:bottom w:val="none" w:sz="0" w:space="0" w:color="auto"/>
        <w:right w:val="none" w:sz="0" w:space="0" w:color="auto"/>
      </w:divBdr>
    </w:div>
    <w:div w:id="671832729">
      <w:bodyDiv w:val="1"/>
      <w:marLeft w:val="0"/>
      <w:marRight w:val="0"/>
      <w:marTop w:val="0"/>
      <w:marBottom w:val="0"/>
      <w:divBdr>
        <w:top w:val="none" w:sz="0" w:space="0" w:color="auto"/>
        <w:left w:val="none" w:sz="0" w:space="0" w:color="auto"/>
        <w:bottom w:val="none" w:sz="0" w:space="0" w:color="auto"/>
        <w:right w:val="none" w:sz="0" w:space="0" w:color="auto"/>
      </w:divBdr>
    </w:div>
    <w:div w:id="682173846">
      <w:bodyDiv w:val="1"/>
      <w:marLeft w:val="0"/>
      <w:marRight w:val="0"/>
      <w:marTop w:val="0"/>
      <w:marBottom w:val="0"/>
      <w:divBdr>
        <w:top w:val="none" w:sz="0" w:space="0" w:color="auto"/>
        <w:left w:val="none" w:sz="0" w:space="0" w:color="auto"/>
        <w:bottom w:val="none" w:sz="0" w:space="0" w:color="auto"/>
        <w:right w:val="none" w:sz="0" w:space="0" w:color="auto"/>
      </w:divBdr>
      <w:divsChild>
        <w:div w:id="779833040">
          <w:marLeft w:val="0"/>
          <w:marRight w:val="0"/>
          <w:marTop w:val="0"/>
          <w:marBottom w:val="0"/>
          <w:divBdr>
            <w:top w:val="none" w:sz="0" w:space="0" w:color="auto"/>
            <w:left w:val="none" w:sz="0" w:space="0" w:color="auto"/>
            <w:bottom w:val="none" w:sz="0" w:space="0" w:color="auto"/>
            <w:right w:val="none" w:sz="0" w:space="0" w:color="auto"/>
          </w:divBdr>
        </w:div>
      </w:divsChild>
    </w:div>
    <w:div w:id="698316843">
      <w:bodyDiv w:val="1"/>
      <w:marLeft w:val="0"/>
      <w:marRight w:val="0"/>
      <w:marTop w:val="0"/>
      <w:marBottom w:val="0"/>
      <w:divBdr>
        <w:top w:val="none" w:sz="0" w:space="0" w:color="auto"/>
        <w:left w:val="none" w:sz="0" w:space="0" w:color="auto"/>
        <w:bottom w:val="none" w:sz="0" w:space="0" w:color="auto"/>
        <w:right w:val="none" w:sz="0" w:space="0" w:color="auto"/>
      </w:divBdr>
    </w:div>
    <w:div w:id="704595634">
      <w:bodyDiv w:val="1"/>
      <w:marLeft w:val="0"/>
      <w:marRight w:val="0"/>
      <w:marTop w:val="0"/>
      <w:marBottom w:val="0"/>
      <w:divBdr>
        <w:top w:val="none" w:sz="0" w:space="0" w:color="auto"/>
        <w:left w:val="none" w:sz="0" w:space="0" w:color="auto"/>
        <w:bottom w:val="none" w:sz="0" w:space="0" w:color="auto"/>
        <w:right w:val="none" w:sz="0" w:space="0" w:color="auto"/>
      </w:divBdr>
    </w:div>
    <w:div w:id="709494711">
      <w:bodyDiv w:val="1"/>
      <w:marLeft w:val="0"/>
      <w:marRight w:val="0"/>
      <w:marTop w:val="0"/>
      <w:marBottom w:val="0"/>
      <w:divBdr>
        <w:top w:val="none" w:sz="0" w:space="0" w:color="auto"/>
        <w:left w:val="none" w:sz="0" w:space="0" w:color="auto"/>
        <w:bottom w:val="none" w:sz="0" w:space="0" w:color="auto"/>
        <w:right w:val="none" w:sz="0" w:space="0" w:color="auto"/>
      </w:divBdr>
    </w:div>
    <w:div w:id="712538780">
      <w:bodyDiv w:val="1"/>
      <w:marLeft w:val="0"/>
      <w:marRight w:val="0"/>
      <w:marTop w:val="0"/>
      <w:marBottom w:val="0"/>
      <w:divBdr>
        <w:top w:val="none" w:sz="0" w:space="0" w:color="auto"/>
        <w:left w:val="none" w:sz="0" w:space="0" w:color="auto"/>
        <w:bottom w:val="none" w:sz="0" w:space="0" w:color="auto"/>
        <w:right w:val="none" w:sz="0" w:space="0" w:color="auto"/>
      </w:divBdr>
    </w:div>
    <w:div w:id="716929074">
      <w:bodyDiv w:val="1"/>
      <w:marLeft w:val="0"/>
      <w:marRight w:val="0"/>
      <w:marTop w:val="0"/>
      <w:marBottom w:val="0"/>
      <w:divBdr>
        <w:top w:val="none" w:sz="0" w:space="0" w:color="auto"/>
        <w:left w:val="none" w:sz="0" w:space="0" w:color="auto"/>
        <w:bottom w:val="none" w:sz="0" w:space="0" w:color="auto"/>
        <w:right w:val="none" w:sz="0" w:space="0" w:color="auto"/>
      </w:divBdr>
    </w:div>
    <w:div w:id="726338239">
      <w:bodyDiv w:val="1"/>
      <w:marLeft w:val="0"/>
      <w:marRight w:val="0"/>
      <w:marTop w:val="0"/>
      <w:marBottom w:val="0"/>
      <w:divBdr>
        <w:top w:val="none" w:sz="0" w:space="0" w:color="auto"/>
        <w:left w:val="none" w:sz="0" w:space="0" w:color="auto"/>
        <w:bottom w:val="none" w:sz="0" w:space="0" w:color="auto"/>
        <w:right w:val="none" w:sz="0" w:space="0" w:color="auto"/>
      </w:divBdr>
    </w:div>
    <w:div w:id="743990891">
      <w:bodyDiv w:val="1"/>
      <w:marLeft w:val="0"/>
      <w:marRight w:val="0"/>
      <w:marTop w:val="0"/>
      <w:marBottom w:val="0"/>
      <w:divBdr>
        <w:top w:val="none" w:sz="0" w:space="0" w:color="auto"/>
        <w:left w:val="none" w:sz="0" w:space="0" w:color="auto"/>
        <w:bottom w:val="none" w:sz="0" w:space="0" w:color="auto"/>
        <w:right w:val="none" w:sz="0" w:space="0" w:color="auto"/>
      </w:divBdr>
    </w:div>
    <w:div w:id="749470185">
      <w:bodyDiv w:val="1"/>
      <w:marLeft w:val="0"/>
      <w:marRight w:val="0"/>
      <w:marTop w:val="0"/>
      <w:marBottom w:val="0"/>
      <w:divBdr>
        <w:top w:val="none" w:sz="0" w:space="0" w:color="auto"/>
        <w:left w:val="none" w:sz="0" w:space="0" w:color="auto"/>
        <w:bottom w:val="none" w:sz="0" w:space="0" w:color="auto"/>
        <w:right w:val="none" w:sz="0" w:space="0" w:color="auto"/>
      </w:divBdr>
    </w:div>
    <w:div w:id="753211722">
      <w:bodyDiv w:val="1"/>
      <w:marLeft w:val="0"/>
      <w:marRight w:val="0"/>
      <w:marTop w:val="0"/>
      <w:marBottom w:val="0"/>
      <w:divBdr>
        <w:top w:val="none" w:sz="0" w:space="0" w:color="auto"/>
        <w:left w:val="none" w:sz="0" w:space="0" w:color="auto"/>
        <w:bottom w:val="none" w:sz="0" w:space="0" w:color="auto"/>
        <w:right w:val="none" w:sz="0" w:space="0" w:color="auto"/>
      </w:divBdr>
      <w:divsChild>
        <w:div w:id="735980208">
          <w:marLeft w:val="0"/>
          <w:marRight w:val="0"/>
          <w:marTop w:val="0"/>
          <w:marBottom w:val="0"/>
          <w:divBdr>
            <w:top w:val="none" w:sz="0" w:space="0" w:color="auto"/>
            <w:left w:val="none" w:sz="0" w:space="0" w:color="auto"/>
            <w:bottom w:val="none" w:sz="0" w:space="0" w:color="auto"/>
            <w:right w:val="none" w:sz="0" w:space="0" w:color="auto"/>
          </w:divBdr>
          <w:divsChild>
            <w:div w:id="1797210731">
              <w:marLeft w:val="0"/>
              <w:marRight w:val="0"/>
              <w:marTop w:val="0"/>
              <w:marBottom w:val="0"/>
              <w:divBdr>
                <w:top w:val="none" w:sz="0" w:space="0" w:color="auto"/>
                <w:left w:val="none" w:sz="0" w:space="0" w:color="auto"/>
                <w:bottom w:val="none" w:sz="0" w:space="0" w:color="auto"/>
                <w:right w:val="none" w:sz="0" w:space="0" w:color="auto"/>
              </w:divBdr>
              <w:divsChild>
                <w:div w:id="1898971189">
                  <w:marLeft w:val="0"/>
                  <w:marRight w:val="0"/>
                  <w:marTop w:val="0"/>
                  <w:marBottom w:val="0"/>
                  <w:divBdr>
                    <w:top w:val="none" w:sz="0" w:space="0" w:color="auto"/>
                    <w:left w:val="none" w:sz="0" w:space="0" w:color="auto"/>
                    <w:bottom w:val="none" w:sz="0" w:space="0" w:color="auto"/>
                    <w:right w:val="none" w:sz="0" w:space="0" w:color="auto"/>
                  </w:divBdr>
                  <w:divsChild>
                    <w:div w:id="69430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298631">
      <w:bodyDiv w:val="1"/>
      <w:marLeft w:val="0"/>
      <w:marRight w:val="0"/>
      <w:marTop w:val="0"/>
      <w:marBottom w:val="0"/>
      <w:divBdr>
        <w:top w:val="none" w:sz="0" w:space="0" w:color="auto"/>
        <w:left w:val="none" w:sz="0" w:space="0" w:color="auto"/>
        <w:bottom w:val="none" w:sz="0" w:space="0" w:color="auto"/>
        <w:right w:val="none" w:sz="0" w:space="0" w:color="auto"/>
      </w:divBdr>
    </w:div>
    <w:div w:id="765425284">
      <w:bodyDiv w:val="1"/>
      <w:marLeft w:val="0"/>
      <w:marRight w:val="0"/>
      <w:marTop w:val="0"/>
      <w:marBottom w:val="0"/>
      <w:divBdr>
        <w:top w:val="none" w:sz="0" w:space="0" w:color="auto"/>
        <w:left w:val="none" w:sz="0" w:space="0" w:color="auto"/>
        <w:bottom w:val="none" w:sz="0" w:space="0" w:color="auto"/>
        <w:right w:val="none" w:sz="0" w:space="0" w:color="auto"/>
      </w:divBdr>
    </w:div>
    <w:div w:id="767654246">
      <w:bodyDiv w:val="1"/>
      <w:marLeft w:val="0"/>
      <w:marRight w:val="0"/>
      <w:marTop w:val="0"/>
      <w:marBottom w:val="0"/>
      <w:divBdr>
        <w:top w:val="none" w:sz="0" w:space="0" w:color="auto"/>
        <w:left w:val="none" w:sz="0" w:space="0" w:color="auto"/>
        <w:bottom w:val="none" w:sz="0" w:space="0" w:color="auto"/>
        <w:right w:val="none" w:sz="0" w:space="0" w:color="auto"/>
      </w:divBdr>
    </w:div>
    <w:div w:id="769006368">
      <w:bodyDiv w:val="1"/>
      <w:marLeft w:val="0"/>
      <w:marRight w:val="0"/>
      <w:marTop w:val="0"/>
      <w:marBottom w:val="0"/>
      <w:divBdr>
        <w:top w:val="none" w:sz="0" w:space="0" w:color="auto"/>
        <w:left w:val="none" w:sz="0" w:space="0" w:color="auto"/>
        <w:bottom w:val="none" w:sz="0" w:space="0" w:color="auto"/>
        <w:right w:val="none" w:sz="0" w:space="0" w:color="auto"/>
      </w:divBdr>
    </w:div>
    <w:div w:id="786311482">
      <w:bodyDiv w:val="1"/>
      <w:marLeft w:val="0"/>
      <w:marRight w:val="0"/>
      <w:marTop w:val="0"/>
      <w:marBottom w:val="0"/>
      <w:divBdr>
        <w:top w:val="none" w:sz="0" w:space="0" w:color="auto"/>
        <w:left w:val="none" w:sz="0" w:space="0" w:color="auto"/>
        <w:bottom w:val="none" w:sz="0" w:space="0" w:color="auto"/>
        <w:right w:val="none" w:sz="0" w:space="0" w:color="auto"/>
      </w:divBdr>
    </w:div>
    <w:div w:id="791099154">
      <w:bodyDiv w:val="1"/>
      <w:marLeft w:val="0"/>
      <w:marRight w:val="0"/>
      <w:marTop w:val="0"/>
      <w:marBottom w:val="0"/>
      <w:divBdr>
        <w:top w:val="none" w:sz="0" w:space="0" w:color="auto"/>
        <w:left w:val="none" w:sz="0" w:space="0" w:color="auto"/>
        <w:bottom w:val="none" w:sz="0" w:space="0" w:color="auto"/>
        <w:right w:val="none" w:sz="0" w:space="0" w:color="auto"/>
      </w:divBdr>
    </w:div>
    <w:div w:id="794719943">
      <w:bodyDiv w:val="1"/>
      <w:marLeft w:val="0"/>
      <w:marRight w:val="0"/>
      <w:marTop w:val="0"/>
      <w:marBottom w:val="0"/>
      <w:divBdr>
        <w:top w:val="none" w:sz="0" w:space="0" w:color="auto"/>
        <w:left w:val="none" w:sz="0" w:space="0" w:color="auto"/>
        <w:bottom w:val="none" w:sz="0" w:space="0" w:color="auto"/>
        <w:right w:val="none" w:sz="0" w:space="0" w:color="auto"/>
      </w:divBdr>
    </w:div>
    <w:div w:id="807480877">
      <w:bodyDiv w:val="1"/>
      <w:marLeft w:val="0"/>
      <w:marRight w:val="0"/>
      <w:marTop w:val="0"/>
      <w:marBottom w:val="0"/>
      <w:divBdr>
        <w:top w:val="none" w:sz="0" w:space="0" w:color="auto"/>
        <w:left w:val="none" w:sz="0" w:space="0" w:color="auto"/>
        <w:bottom w:val="none" w:sz="0" w:space="0" w:color="auto"/>
        <w:right w:val="none" w:sz="0" w:space="0" w:color="auto"/>
      </w:divBdr>
    </w:div>
    <w:div w:id="811481208">
      <w:bodyDiv w:val="1"/>
      <w:marLeft w:val="0"/>
      <w:marRight w:val="0"/>
      <w:marTop w:val="0"/>
      <w:marBottom w:val="0"/>
      <w:divBdr>
        <w:top w:val="none" w:sz="0" w:space="0" w:color="auto"/>
        <w:left w:val="none" w:sz="0" w:space="0" w:color="auto"/>
        <w:bottom w:val="none" w:sz="0" w:space="0" w:color="auto"/>
        <w:right w:val="none" w:sz="0" w:space="0" w:color="auto"/>
      </w:divBdr>
    </w:div>
    <w:div w:id="811872699">
      <w:bodyDiv w:val="1"/>
      <w:marLeft w:val="0"/>
      <w:marRight w:val="0"/>
      <w:marTop w:val="0"/>
      <w:marBottom w:val="0"/>
      <w:divBdr>
        <w:top w:val="none" w:sz="0" w:space="0" w:color="auto"/>
        <w:left w:val="none" w:sz="0" w:space="0" w:color="auto"/>
        <w:bottom w:val="none" w:sz="0" w:space="0" w:color="auto"/>
        <w:right w:val="none" w:sz="0" w:space="0" w:color="auto"/>
      </w:divBdr>
    </w:div>
    <w:div w:id="812331167">
      <w:bodyDiv w:val="1"/>
      <w:marLeft w:val="0"/>
      <w:marRight w:val="0"/>
      <w:marTop w:val="0"/>
      <w:marBottom w:val="0"/>
      <w:divBdr>
        <w:top w:val="none" w:sz="0" w:space="0" w:color="auto"/>
        <w:left w:val="none" w:sz="0" w:space="0" w:color="auto"/>
        <w:bottom w:val="none" w:sz="0" w:space="0" w:color="auto"/>
        <w:right w:val="none" w:sz="0" w:space="0" w:color="auto"/>
      </w:divBdr>
      <w:divsChild>
        <w:div w:id="1103963613">
          <w:marLeft w:val="0"/>
          <w:marRight w:val="0"/>
          <w:marTop w:val="0"/>
          <w:marBottom w:val="0"/>
          <w:divBdr>
            <w:top w:val="none" w:sz="0" w:space="0" w:color="auto"/>
            <w:left w:val="none" w:sz="0" w:space="0" w:color="auto"/>
            <w:bottom w:val="none" w:sz="0" w:space="0" w:color="auto"/>
            <w:right w:val="none" w:sz="0" w:space="0" w:color="auto"/>
          </w:divBdr>
          <w:divsChild>
            <w:div w:id="880946548">
              <w:marLeft w:val="0"/>
              <w:marRight w:val="0"/>
              <w:marTop w:val="0"/>
              <w:marBottom w:val="0"/>
              <w:divBdr>
                <w:top w:val="none" w:sz="0" w:space="0" w:color="auto"/>
                <w:left w:val="none" w:sz="0" w:space="0" w:color="auto"/>
                <w:bottom w:val="none" w:sz="0" w:space="0" w:color="auto"/>
                <w:right w:val="none" w:sz="0" w:space="0" w:color="auto"/>
              </w:divBdr>
              <w:divsChild>
                <w:div w:id="2070103977">
                  <w:marLeft w:val="0"/>
                  <w:marRight w:val="0"/>
                  <w:marTop w:val="0"/>
                  <w:marBottom w:val="0"/>
                  <w:divBdr>
                    <w:top w:val="none" w:sz="0" w:space="0" w:color="auto"/>
                    <w:left w:val="none" w:sz="0" w:space="0" w:color="auto"/>
                    <w:bottom w:val="none" w:sz="0" w:space="0" w:color="auto"/>
                    <w:right w:val="none" w:sz="0" w:space="0" w:color="auto"/>
                  </w:divBdr>
                  <w:divsChild>
                    <w:div w:id="122579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718311">
      <w:bodyDiv w:val="1"/>
      <w:marLeft w:val="0"/>
      <w:marRight w:val="0"/>
      <w:marTop w:val="0"/>
      <w:marBottom w:val="0"/>
      <w:divBdr>
        <w:top w:val="none" w:sz="0" w:space="0" w:color="auto"/>
        <w:left w:val="none" w:sz="0" w:space="0" w:color="auto"/>
        <w:bottom w:val="none" w:sz="0" w:space="0" w:color="auto"/>
        <w:right w:val="none" w:sz="0" w:space="0" w:color="auto"/>
      </w:divBdr>
    </w:div>
    <w:div w:id="814222184">
      <w:bodyDiv w:val="1"/>
      <w:marLeft w:val="0"/>
      <w:marRight w:val="0"/>
      <w:marTop w:val="0"/>
      <w:marBottom w:val="0"/>
      <w:divBdr>
        <w:top w:val="none" w:sz="0" w:space="0" w:color="auto"/>
        <w:left w:val="none" w:sz="0" w:space="0" w:color="auto"/>
        <w:bottom w:val="none" w:sz="0" w:space="0" w:color="auto"/>
        <w:right w:val="none" w:sz="0" w:space="0" w:color="auto"/>
      </w:divBdr>
    </w:div>
    <w:div w:id="844320084">
      <w:bodyDiv w:val="1"/>
      <w:marLeft w:val="0"/>
      <w:marRight w:val="0"/>
      <w:marTop w:val="0"/>
      <w:marBottom w:val="0"/>
      <w:divBdr>
        <w:top w:val="none" w:sz="0" w:space="0" w:color="auto"/>
        <w:left w:val="none" w:sz="0" w:space="0" w:color="auto"/>
        <w:bottom w:val="none" w:sz="0" w:space="0" w:color="auto"/>
        <w:right w:val="none" w:sz="0" w:space="0" w:color="auto"/>
      </w:divBdr>
    </w:div>
    <w:div w:id="853105735">
      <w:bodyDiv w:val="1"/>
      <w:marLeft w:val="0"/>
      <w:marRight w:val="0"/>
      <w:marTop w:val="0"/>
      <w:marBottom w:val="0"/>
      <w:divBdr>
        <w:top w:val="none" w:sz="0" w:space="0" w:color="auto"/>
        <w:left w:val="none" w:sz="0" w:space="0" w:color="auto"/>
        <w:bottom w:val="none" w:sz="0" w:space="0" w:color="auto"/>
        <w:right w:val="none" w:sz="0" w:space="0" w:color="auto"/>
      </w:divBdr>
    </w:div>
    <w:div w:id="853497764">
      <w:bodyDiv w:val="1"/>
      <w:marLeft w:val="0"/>
      <w:marRight w:val="0"/>
      <w:marTop w:val="0"/>
      <w:marBottom w:val="0"/>
      <w:divBdr>
        <w:top w:val="none" w:sz="0" w:space="0" w:color="auto"/>
        <w:left w:val="none" w:sz="0" w:space="0" w:color="auto"/>
        <w:bottom w:val="none" w:sz="0" w:space="0" w:color="auto"/>
        <w:right w:val="none" w:sz="0" w:space="0" w:color="auto"/>
      </w:divBdr>
      <w:divsChild>
        <w:div w:id="2035694157">
          <w:marLeft w:val="0"/>
          <w:marRight w:val="0"/>
          <w:marTop w:val="0"/>
          <w:marBottom w:val="0"/>
          <w:divBdr>
            <w:top w:val="none" w:sz="0" w:space="0" w:color="auto"/>
            <w:left w:val="none" w:sz="0" w:space="0" w:color="auto"/>
            <w:bottom w:val="none" w:sz="0" w:space="0" w:color="auto"/>
            <w:right w:val="none" w:sz="0" w:space="0" w:color="auto"/>
          </w:divBdr>
          <w:divsChild>
            <w:div w:id="1905796839">
              <w:marLeft w:val="0"/>
              <w:marRight w:val="0"/>
              <w:marTop w:val="0"/>
              <w:marBottom w:val="0"/>
              <w:divBdr>
                <w:top w:val="none" w:sz="0" w:space="0" w:color="auto"/>
                <w:left w:val="none" w:sz="0" w:space="0" w:color="auto"/>
                <w:bottom w:val="none" w:sz="0" w:space="0" w:color="auto"/>
                <w:right w:val="none" w:sz="0" w:space="0" w:color="auto"/>
              </w:divBdr>
              <w:divsChild>
                <w:div w:id="58527411">
                  <w:marLeft w:val="0"/>
                  <w:marRight w:val="0"/>
                  <w:marTop w:val="0"/>
                  <w:marBottom w:val="0"/>
                  <w:divBdr>
                    <w:top w:val="none" w:sz="0" w:space="0" w:color="auto"/>
                    <w:left w:val="none" w:sz="0" w:space="0" w:color="auto"/>
                    <w:bottom w:val="none" w:sz="0" w:space="0" w:color="auto"/>
                    <w:right w:val="none" w:sz="0" w:space="0" w:color="auto"/>
                  </w:divBdr>
                  <w:divsChild>
                    <w:div w:id="1097822529">
                      <w:marLeft w:val="0"/>
                      <w:marRight w:val="0"/>
                      <w:marTop w:val="0"/>
                      <w:marBottom w:val="0"/>
                      <w:divBdr>
                        <w:top w:val="none" w:sz="0" w:space="0" w:color="auto"/>
                        <w:left w:val="none" w:sz="0" w:space="0" w:color="auto"/>
                        <w:bottom w:val="none" w:sz="0" w:space="0" w:color="auto"/>
                        <w:right w:val="none" w:sz="0" w:space="0" w:color="auto"/>
                      </w:divBdr>
                      <w:divsChild>
                        <w:div w:id="1562205255">
                          <w:marLeft w:val="0"/>
                          <w:marRight w:val="0"/>
                          <w:marTop w:val="0"/>
                          <w:marBottom w:val="0"/>
                          <w:divBdr>
                            <w:top w:val="none" w:sz="0" w:space="0" w:color="auto"/>
                            <w:left w:val="none" w:sz="0" w:space="0" w:color="auto"/>
                            <w:bottom w:val="none" w:sz="0" w:space="0" w:color="auto"/>
                            <w:right w:val="none" w:sz="0" w:space="0" w:color="auto"/>
                          </w:divBdr>
                          <w:divsChild>
                            <w:div w:id="263652718">
                              <w:marLeft w:val="0"/>
                              <w:marRight w:val="0"/>
                              <w:marTop w:val="0"/>
                              <w:marBottom w:val="0"/>
                              <w:divBdr>
                                <w:top w:val="none" w:sz="0" w:space="0" w:color="auto"/>
                                <w:left w:val="none" w:sz="0" w:space="0" w:color="auto"/>
                                <w:bottom w:val="none" w:sz="0" w:space="0" w:color="auto"/>
                                <w:right w:val="none" w:sz="0" w:space="0" w:color="auto"/>
                              </w:divBdr>
                              <w:divsChild>
                                <w:div w:id="215120631">
                                  <w:marLeft w:val="0"/>
                                  <w:marRight w:val="0"/>
                                  <w:marTop w:val="0"/>
                                  <w:marBottom w:val="0"/>
                                  <w:divBdr>
                                    <w:top w:val="none" w:sz="0" w:space="0" w:color="auto"/>
                                    <w:left w:val="none" w:sz="0" w:space="0" w:color="auto"/>
                                    <w:bottom w:val="none" w:sz="0" w:space="0" w:color="auto"/>
                                    <w:right w:val="none" w:sz="0" w:space="0" w:color="auto"/>
                                  </w:divBdr>
                                  <w:divsChild>
                                    <w:div w:id="165059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3177193">
      <w:bodyDiv w:val="1"/>
      <w:marLeft w:val="0"/>
      <w:marRight w:val="0"/>
      <w:marTop w:val="0"/>
      <w:marBottom w:val="0"/>
      <w:divBdr>
        <w:top w:val="none" w:sz="0" w:space="0" w:color="auto"/>
        <w:left w:val="none" w:sz="0" w:space="0" w:color="auto"/>
        <w:bottom w:val="none" w:sz="0" w:space="0" w:color="auto"/>
        <w:right w:val="none" w:sz="0" w:space="0" w:color="auto"/>
      </w:divBdr>
    </w:div>
    <w:div w:id="863598538">
      <w:bodyDiv w:val="1"/>
      <w:marLeft w:val="0"/>
      <w:marRight w:val="0"/>
      <w:marTop w:val="0"/>
      <w:marBottom w:val="0"/>
      <w:divBdr>
        <w:top w:val="none" w:sz="0" w:space="0" w:color="auto"/>
        <w:left w:val="none" w:sz="0" w:space="0" w:color="auto"/>
        <w:bottom w:val="none" w:sz="0" w:space="0" w:color="auto"/>
        <w:right w:val="none" w:sz="0" w:space="0" w:color="auto"/>
      </w:divBdr>
    </w:div>
    <w:div w:id="875311889">
      <w:bodyDiv w:val="1"/>
      <w:marLeft w:val="0"/>
      <w:marRight w:val="0"/>
      <w:marTop w:val="0"/>
      <w:marBottom w:val="0"/>
      <w:divBdr>
        <w:top w:val="none" w:sz="0" w:space="0" w:color="auto"/>
        <w:left w:val="none" w:sz="0" w:space="0" w:color="auto"/>
        <w:bottom w:val="none" w:sz="0" w:space="0" w:color="auto"/>
        <w:right w:val="none" w:sz="0" w:space="0" w:color="auto"/>
      </w:divBdr>
    </w:div>
    <w:div w:id="884298460">
      <w:bodyDiv w:val="1"/>
      <w:marLeft w:val="0"/>
      <w:marRight w:val="0"/>
      <w:marTop w:val="0"/>
      <w:marBottom w:val="0"/>
      <w:divBdr>
        <w:top w:val="none" w:sz="0" w:space="0" w:color="auto"/>
        <w:left w:val="none" w:sz="0" w:space="0" w:color="auto"/>
        <w:bottom w:val="none" w:sz="0" w:space="0" w:color="auto"/>
        <w:right w:val="none" w:sz="0" w:space="0" w:color="auto"/>
      </w:divBdr>
    </w:div>
    <w:div w:id="884411602">
      <w:bodyDiv w:val="1"/>
      <w:marLeft w:val="0"/>
      <w:marRight w:val="0"/>
      <w:marTop w:val="0"/>
      <w:marBottom w:val="0"/>
      <w:divBdr>
        <w:top w:val="none" w:sz="0" w:space="0" w:color="auto"/>
        <w:left w:val="none" w:sz="0" w:space="0" w:color="auto"/>
        <w:bottom w:val="none" w:sz="0" w:space="0" w:color="auto"/>
        <w:right w:val="none" w:sz="0" w:space="0" w:color="auto"/>
      </w:divBdr>
    </w:div>
    <w:div w:id="885678555">
      <w:bodyDiv w:val="1"/>
      <w:marLeft w:val="0"/>
      <w:marRight w:val="0"/>
      <w:marTop w:val="0"/>
      <w:marBottom w:val="0"/>
      <w:divBdr>
        <w:top w:val="none" w:sz="0" w:space="0" w:color="auto"/>
        <w:left w:val="none" w:sz="0" w:space="0" w:color="auto"/>
        <w:bottom w:val="none" w:sz="0" w:space="0" w:color="auto"/>
        <w:right w:val="none" w:sz="0" w:space="0" w:color="auto"/>
      </w:divBdr>
    </w:div>
    <w:div w:id="892540733">
      <w:bodyDiv w:val="1"/>
      <w:marLeft w:val="0"/>
      <w:marRight w:val="0"/>
      <w:marTop w:val="0"/>
      <w:marBottom w:val="0"/>
      <w:divBdr>
        <w:top w:val="none" w:sz="0" w:space="0" w:color="auto"/>
        <w:left w:val="none" w:sz="0" w:space="0" w:color="auto"/>
        <w:bottom w:val="none" w:sz="0" w:space="0" w:color="auto"/>
        <w:right w:val="none" w:sz="0" w:space="0" w:color="auto"/>
      </w:divBdr>
    </w:div>
    <w:div w:id="893397116">
      <w:bodyDiv w:val="1"/>
      <w:marLeft w:val="0"/>
      <w:marRight w:val="0"/>
      <w:marTop w:val="0"/>
      <w:marBottom w:val="0"/>
      <w:divBdr>
        <w:top w:val="none" w:sz="0" w:space="0" w:color="auto"/>
        <w:left w:val="none" w:sz="0" w:space="0" w:color="auto"/>
        <w:bottom w:val="none" w:sz="0" w:space="0" w:color="auto"/>
        <w:right w:val="none" w:sz="0" w:space="0" w:color="auto"/>
      </w:divBdr>
    </w:div>
    <w:div w:id="894193785">
      <w:bodyDiv w:val="1"/>
      <w:marLeft w:val="0"/>
      <w:marRight w:val="0"/>
      <w:marTop w:val="0"/>
      <w:marBottom w:val="0"/>
      <w:divBdr>
        <w:top w:val="none" w:sz="0" w:space="0" w:color="auto"/>
        <w:left w:val="none" w:sz="0" w:space="0" w:color="auto"/>
        <w:bottom w:val="none" w:sz="0" w:space="0" w:color="auto"/>
        <w:right w:val="none" w:sz="0" w:space="0" w:color="auto"/>
      </w:divBdr>
    </w:div>
    <w:div w:id="910115233">
      <w:bodyDiv w:val="1"/>
      <w:marLeft w:val="0"/>
      <w:marRight w:val="0"/>
      <w:marTop w:val="0"/>
      <w:marBottom w:val="0"/>
      <w:divBdr>
        <w:top w:val="none" w:sz="0" w:space="0" w:color="auto"/>
        <w:left w:val="none" w:sz="0" w:space="0" w:color="auto"/>
        <w:bottom w:val="none" w:sz="0" w:space="0" w:color="auto"/>
        <w:right w:val="none" w:sz="0" w:space="0" w:color="auto"/>
      </w:divBdr>
    </w:div>
    <w:div w:id="910850302">
      <w:bodyDiv w:val="1"/>
      <w:marLeft w:val="0"/>
      <w:marRight w:val="0"/>
      <w:marTop w:val="0"/>
      <w:marBottom w:val="0"/>
      <w:divBdr>
        <w:top w:val="none" w:sz="0" w:space="0" w:color="auto"/>
        <w:left w:val="none" w:sz="0" w:space="0" w:color="auto"/>
        <w:bottom w:val="none" w:sz="0" w:space="0" w:color="auto"/>
        <w:right w:val="none" w:sz="0" w:space="0" w:color="auto"/>
      </w:divBdr>
    </w:div>
    <w:div w:id="911162717">
      <w:bodyDiv w:val="1"/>
      <w:marLeft w:val="0"/>
      <w:marRight w:val="0"/>
      <w:marTop w:val="0"/>
      <w:marBottom w:val="0"/>
      <w:divBdr>
        <w:top w:val="none" w:sz="0" w:space="0" w:color="auto"/>
        <w:left w:val="none" w:sz="0" w:space="0" w:color="auto"/>
        <w:bottom w:val="none" w:sz="0" w:space="0" w:color="auto"/>
        <w:right w:val="none" w:sz="0" w:space="0" w:color="auto"/>
      </w:divBdr>
    </w:div>
    <w:div w:id="911741789">
      <w:bodyDiv w:val="1"/>
      <w:marLeft w:val="0"/>
      <w:marRight w:val="0"/>
      <w:marTop w:val="0"/>
      <w:marBottom w:val="0"/>
      <w:divBdr>
        <w:top w:val="none" w:sz="0" w:space="0" w:color="auto"/>
        <w:left w:val="none" w:sz="0" w:space="0" w:color="auto"/>
        <w:bottom w:val="none" w:sz="0" w:space="0" w:color="auto"/>
        <w:right w:val="none" w:sz="0" w:space="0" w:color="auto"/>
      </w:divBdr>
    </w:div>
    <w:div w:id="919607031">
      <w:bodyDiv w:val="1"/>
      <w:marLeft w:val="0"/>
      <w:marRight w:val="0"/>
      <w:marTop w:val="0"/>
      <w:marBottom w:val="0"/>
      <w:divBdr>
        <w:top w:val="none" w:sz="0" w:space="0" w:color="auto"/>
        <w:left w:val="none" w:sz="0" w:space="0" w:color="auto"/>
        <w:bottom w:val="none" w:sz="0" w:space="0" w:color="auto"/>
        <w:right w:val="none" w:sz="0" w:space="0" w:color="auto"/>
      </w:divBdr>
    </w:div>
    <w:div w:id="920331346">
      <w:bodyDiv w:val="1"/>
      <w:marLeft w:val="0"/>
      <w:marRight w:val="0"/>
      <w:marTop w:val="0"/>
      <w:marBottom w:val="0"/>
      <w:divBdr>
        <w:top w:val="none" w:sz="0" w:space="0" w:color="auto"/>
        <w:left w:val="none" w:sz="0" w:space="0" w:color="auto"/>
        <w:bottom w:val="none" w:sz="0" w:space="0" w:color="auto"/>
        <w:right w:val="none" w:sz="0" w:space="0" w:color="auto"/>
      </w:divBdr>
    </w:div>
    <w:div w:id="921991861">
      <w:bodyDiv w:val="1"/>
      <w:marLeft w:val="0"/>
      <w:marRight w:val="0"/>
      <w:marTop w:val="0"/>
      <w:marBottom w:val="0"/>
      <w:divBdr>
        <w:top w:val="none" w:sz="0" w:space="0" w:color="auto"/>
        <w:left w:val="none" w:sz="0" w:space="0" w:color="auto"/>
        <w:bottom w:val="none" w:sz="0" w:space="0" w:color="auto"/>
        <w:right w:val="none" w:sz="0" w:space="0" w:color="auto"/>
      </w:divBdr>
      <w:divsChild>
        <w:div w:id="1051154213">
          <w:marLeft w:val="0"/>
          <w:marRight w:val="0"/>
          <w:marTop w:val="0"/>
          <w:marBottom w:val="0"/>
          <w:divBdr>
            <w:top w:val="none" w:sz="0" w:space="0" w:color="auto"/>
            <w:left w:val="none" w:sz="0" w:space="0" w:color="auto"/>
            <w:bottom w:val="none" w:sz="0" w:space="0" w:color="auto"/>
            <w:right w:val="none" w:sz="0" w:space="0" w:color="auto"/>
          </w:divBdr>
          <w:divsChild>
            <w:div w:id="1369642060">
              <w:marLeft w:val="0"/>
              <w:marRight w:val="0"/>
              <w:marTop w:val="0"/>
              <w:marBottom w:val="0"/>
              <w:divBdr>
                <w:top w:val="none" w:sz="0" w:space="0" w:color="auto"/>
                <w:left w:val="none" w:sz="0" w:space="0" w:color="auto"/>
                <w:bottom w:val="none" w:sz="0" w:space="0" w:color="auto"/>
                <w:right w:val="none" w:sz="0" w:space="0" w:color="auto"/>
              </w:divBdr>
              <w:divsChild>
                <w:div w:id="639382474">
                  <w:marLeft w:val="0"/>
                  <w:marRight w:val="0"/>
                  <w:marTop w:val="0"/>
                  <w:marBottom w:val="0"/>
                  <w:divBdr>
                    <w:top w:val="none" w:sz="0" w:space="0" w:color="auto"/>
                    <w:left w:val="none" w:sz="0" w:space="0" w:color="auto"/>
                    <w:bottom w:val="none" w:sz="0" w:space="0" w:color="auto"/>
                    <w:right w:val="none" w:sz="0" w:space="0" w:color="auto"/>
                  </w:divBdr>
                  <w:divsChild>
                    <w:div w:id="2014869687">
                      <w:marLeft w:val="0"/>
                      <w:marRight w:val="0"/>
                      <w:marTop w:val="0"/>
                      <w:marBottom w:val="0"/>
                      <w:divBdr>
                        <w:top w:val="none" w:sz="0" w:space="0" w:color="auto"/>
                        <w:left w:val="none" w:sz="0" w:space="0" w:color="auto"/>
                        <w:bottom w:val="none" w:sz="0" w:space="0" w:color="auto"/>
                        <w:right w:val="none" w:sz="0" w:space="0" w:color="auto"/>
                      </w:divBdr>
                      <w:divsChild>
                        <w:div w:id="930746259">
                          <w:marLeft w:val="0"/>
                          <w:marRight w:val="0"/>
                          <w:marTop w:val="0"/>
                          <w:marBottom w:val="0"/>
                          <w:divBdr>
                            <w:top w:val="none" w:sz="0" w:space="0" w:color="auto"/>
                            <w:left w:val="none" w:sz="0" w:space="0" w:color="auto"/>
                            <w:bottom w:val="none" w:sz="0" w:space="0" w:color="auto"/>
                            <w:right w:val="none" w:sz="0" w:space="0" w:color="auto"/>
                          </w:divBdr>
                          <w:divsChild>
                            <w:div w:id="267784221">
                              <w:marLeft w:val="0"/>
                              <w:marRight w:val="0"/>
                              <w:marTop w:val="0"/>
                              <w:marBottom w:val="0"/>
                              <w:divBdr>
                                <w:top w:val="none" w:sz="0" w:space="0" w:color="auto"/>
                                <w:left w:val="none" w:sz="0" w:space="0" w:color="auto"/>
                                <w:bottom w:val="none" w:sz="0" w:space="0" w:color="auto"/>
                                <w:right w:val="none" w:sz="0" w:space="0" w:color="auto"/>
                              </w:divBdr>
                              <w:divsChild>
                                <w:div w:id="1358311241">
                                  <w:marLeft w:val="0"/>
                                  <w:marRight w:val="0"/>
                                  <w:marTop w:val="0"/>
                                  <w:marBottom w:val="0"/>
                                  <w:divBdr>
                                    <w:top w:val="none" w:sz="0" w:space="0" w:color="auto"/>
                                    <w:left w:val="none" w:sz="0" w:space="0" w:color="auto"/>
                                    <w:bottom w:val="none" w:sz="0" w:space="0" w:color="auto"/>
                                    <w:right w:val="none" w:sz="0" w:space="0" w:color="auto"/>
                                  </w:divBdr>
                                  <w:divsChild>
                                    <w:div w:id="176993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6885870">
      <w:bodyDiv w:val="1"/>
      <w:marLeft w:val="0"/>
      <w:marRight w:val="0"/>
      <w:marTop w:val="0"/>
      <w:marBottom w:val="0"/>
      <w:divBdr>
        <w:top w:val="none" w:sz="0" w:space="0" w:color="auto"/>
        <w:left w:val="none" w:sz="0" w:space="0" w:color="auto"/>
        <w:bottom w:val="none" w:sz="0" w:space="0" w:color="auto"/>
        <w:right w:val="none" w:sz="0" w:space="0" w:color="auto"/>
      </w:divBdr>
    </w:div>
    <w:div w:id="935362480">
      <w:bodyDiv w:val="1"/>
      <w:marLeft w:val="0"/>
      <w:marRight w:val="0"/>
      <w:marTop w:val="0"/>
      <w:marBottom w:val="0"/>
      <w:divBdr>
        <w:top w:val="none" w:sz="0" w:space="0" w:color="auto"/>
        <w:left w:val="none" w:sz="0" w:space="0" w:color="auto"/>
        <w:bottom w:val="none" w:sz="0" w:space="0" w:color="auto"/>
        <w:right w:val="none" w:sz="0" w:space="0" w:color="auto"/>
      </w:divBdr>
    </w:div>
    <w:div w:id="943615228">
      <w:bodyDiv w:val="1"/>
      <w:marLeft w:val="0"/>
      <w:marRight w:val="0"/>
      <w:marTop w:val="0"/>
      <w:marBottom w:val="0"/>
      <w:divBdr>
        <w:top w:val="none" w:sz="0" w:space="0" w:color="auto"/>
        <w:left w:val="none" w:sz="0" w:space="0" w:color="auto"/>
        <w:bottom w:val="none" w:sz="0" w:space="0" w:color="auto"/>
        <w:right w:val="none" w:sz="0" w:space="0" w:color="auto"/>
      </w:divBdr>
    </w:div>
    <w:div w:id="944534128">
      <w:bodyDiv w:val="1"/>
      <w:marLeft w:val="0"/>
      <w:marRight w:val="0"/>
      <w:marTop w:val="0"/>
      <w:marBottom w:val="0"/>
      <w:divBdr>
        <w:top w:val="none" w:sz="0" w:space="0" w:color="auto"/>
        <w:left w:val="none" w:sz="0" w:space="0" w:color="auto"/>
        <w:bottom w:val="none" w:sz="0" w:space="0" w:color="auto"/>
        <w:right w:val="none" w:sz="0" w:space="0" w:color="auto"/>
      </w:divBdr>
    </w:div>
    <w:div w:id="947390029">
      <w:bodyDiv w:val="1"/>
      <w:marLeft w:val="0"/>
      <w:marRight w:val="0"/>
      <w:marTop w:val="0"/>
      <w:marBottom w:val="0"/>
      <w:divBdr>
        <w:top w:val="none" w:sz="0" w:space="0" w:color="auto"/>
        <w:left w:val="none" w:sz="0" w:space="0" w:color="auto"/>
        <w:bottom w:val="none" w:sz="0" w:space="0" w:color="auto"/>
        <w:right w:val="none" w:sz="0" w:space="0" w:color="auto"/>
      </w:divBdr>
    </w:div>
    <w:div w:id="951664635">
      <w:bodyDiv w:val="1"/>
      <w:marLeft w:val="0"/>
      <w:marRight w:val="0"/>
      <w:marTop w:val="0"/>
      <w:marBottom w:val="0"/>
      <w:divBdr>
        <w:top w:val="none" w:sz="0" w:space="0" w:color="auto"/>
        <w:left w:val="none" w:sz="0" w:space="0" w:color="auto"/>
        <w:bottom w:val="none" w:sz="0" w:space="0" w:color="auto"/>
        <w:right w:val="none" w:sz="0" w:space="0" w:color="auto"/>
      </w:divBdr>
    </w:div>
    <w:div w:id="961689747">
      <w:bodyDiv w:val="1"/>
      <w:marLeft w:val="0"/>
      <w:marRight w:val="0"/>
      <w:marTop w:val="0"/>
      <w:marBottom w:val="0"/>
      <w:divBdr>
        <w:top w:val="none" w:sz="0" w:space="0" w:color="auto"/>
        <w:left w:val="none" w:sz="0" w:space="0" w:color="auto"/>
        <w:bottom w:val="none" w:sz="0" w:space="0" w:color="auto"/>
        <w:right w:val="none" w:sz="0" w:space="0" w:color="auto"/>
      </w:divBdr>
    </w:div>
    <w:div w:id="966007361">
      <w:bodyDiv w:val="1"/>
      <w:marLeft w:val="0"/>
      <w:marRight w:val="0"/>
      <w:marTop w:val="0"/>
      <w:marBottom w:val="0"/>
      <w:divBdr>
        <w:top w:val="none" w:sz="0" w:space="0" w:color="auto"/>
        <w:left w:val="none" w:sz="0" w:space="0" w:color="auto"/>
        <w:bottom w:val="none" w:sz="0" w:space="0" w:color="auto"/>
        <w:right w:val="none" w:sz="0" w:space="0" w:color="auto"/>
      </w:divBdr>
    </w:div>
    <w:div w:id="966744638">
      <w:bodyDiv w:val="1"/>
      <w:marLeft w:val="0"/>
      <w:marRight w:val="0"/>
      <w:marTop w:val="0"/>
      <w:marBottom w:val="0"/>
      <w:divBdr>
        <w:top w:val="none" w:sz="0" w:space="0" w:color="auto"/>
        <w:left w:val="none" w:sz="0" w:space="0" w:color="auto"/>
        <w:bottom w:val="none" w:sz="0" w:space="0" w:color="auto"/>
        <w:right w:val="none" w:sz="0" w:space="0" w:color="auto"/>
      </w:divBdr>
    </w:div>
    <w:div w:id="970941411">
      <w:bodyDiv w:val="1"/>
      <w:marLeft w:val="0"/>
      <w:marRight w:val="0"/>
      <w:marTop w:val="0"/>
      <w:marBottom w:val="0"/>
      <w:divBdr>
        <w:top w:val="none" w:sz="0" w:space="0" w:color="auto"/>
        <w:left w:val="none" w:sz="0" w:space="0" w:color="auto"/>
        <w:bottom w:val="none" w:sz="0" w:space="0" w:color="auto"/>
        <w:right w:val="none" w:sz="0" w:space="0" w:color="auto"/>
      </w:divBdr>
    </w:div>
    <w:div w:id="973681955">
      <w:bodyDiv w:val="1"/>
      <w:marLeft w:val="0"/>
      <w:marRight w:val="0"/>
      <w:marTop w:val="0"/>
      <w:marBottom w:val="0"/>
      <w:divBdr>
        <w:top w:val="none" w:sz="0" w:space="0" w:color="auto"/>
        <w:left w:val="none" w:sz="0" w:space="0" w:color="auto"/>
        <w:bottom w:val="none" w:sz="0" w:space="0" w:color="auto"/>
        <w:right w:val="none" w:sz="0" w:space="0" w:color="auto"/>
      </w:divBdr>
    </w:div>
    <w:div w:id="975065390">
      <w:bodyDiv w:val="1"/>
      <w:marLeft w:val="0"/>
      <w:marRight w:val="0"/>
      <w:marTop w:val="0"/>
      <w:marBottom w:val="0"/>
      <w:divBdr>
        <w:top w:val="none" w:sz="0" w:space="0" w:color="auto"/>
        <w:left w:val="none" w:sz="0" w:space="0" w:color="auto"/>
        <w:bottom w:val="none" w:sz="0" w:space="0" w:color="auto"/>
        <w:right w:val="none" w:sz="0" w:space="0" w:color="auto"/>
      </w:divBdr>
    </w:div>
    <w:div w:id="980503112">
      <w:bodyDiv w:val="1"/>
      <w:marLeft w:val="0"/>
      <w:marRight w:val="0"/>
      <w:marTop w:val="0"/>
      <w:marBottom w:val="0"/>
      <w:divBdr>
        <w:top w:val="none" w:sz="0" w:space="0" w:color="auto"/>
        <w:left w:val="none" w:sz="0" w:space="0" w:color="auto"/>
        <w:bottom w:val="none" w:sz="0" w:space="0" w:color="auto"/>
        <w:right w:val="none" w:sz="0" w:space="0" w:color="auto"/>
      </w:divBdr>
    </w:div>
    <w:div w:id="982656122">
      <w:bodyDiv w:val="1"/>
      <w:marLeft w:val="0"/>
      <w:marRight w:val="0"/>
      <w:marTop w:val="0"/>
      <w:marBottom w:val="0"/>
      <w:divBdr>
        <w:top w:val="none" w:sz="0" w:space="0" w:color="auto"/>
        <w:left w:val="none" w:sz="0" w:space="0" w:color="auto"/>
        <w:bottom w:val="none" w:sz="0" w:space="0" w:color="auto"/>
        <w:right w:val="none" w:sz="0" w:space="0" w:color="auto"/>
      </w:divBdr>
    </w:div>
    <w:div w:id="987824249">
      <w:bodyDiv w:val="1"/>
      <w:marLeft w:val="0"/>
      <w:marRight w:val="0"/>
      <w:marTop w:val="0"/>
      <w:marBottom w:val="0"/>
      <w:divBdr>
        <w:top w:val="none" w:sz="0" w:space="0" w:color="auto"/>
        <w:left w:val="none" w:sz="0" w:space="0" w:color="auto"/>
        <w:bottom w:val="none" w:sz="0" w:space="0" w:color="auto"/>
        <w:right w:val="none" w:sz="0" w:space="0" w:color="auto"/>
      </w:divBdr>
    </w:div>
    <w:div w:id="994531953">
      <w:bodyDiv w:val="1"/>
      <w:marLeft w:val="0"/>
      <w:marRight w:val="0"/>
      <w:marTop w:val="0"/>
      <w:marBottom w:val="0"/>
      <w:divBdr>
        <w:top w:val="none" w:sz="0" w:space="0" w:color="auto"/>
        <w:left w:val="none" w:sz="0" w:space="0" w:color="auto"/>
        <w:bottom w:val="none" w:sz="0" w:space="0" w:color="auto"/>
        <w:right w:val="none" w:sz="0" w:space="0" w:color="auto"/>
      </w:divBdr>
    </w:div>
    <w:div w:id="1003317683">
      <w:bodyDiv w:val="1"/>
      <w:marLeft w:val="0"/>
      <w:marRight w:val="0"/>
      <w:marTop w:val="0"/>
      <w:marBottom w:val="0"/>
      <w:divBdr>
        <w:top w:val="none" w:sz="0" w:space="0" w:color="auto"/>
        <w:left w:val="none" w:sz="0" w:space="0" w:color="auto"/>
        <w:bottom w:val="none" w:sz="0" w:space="0" w:color="auto"/>
        <w:right w:val="none" w:sz="0" w:space="0" w:color="auto"/>
      </w:divBdr>
    </w:div>
    <w:div w:id="1004354820">
      <w:bodyDiv w:val="1"/>
      <w:marLeft w:val="0"/>
      <w:marRight w:val="0"/>
      <w:marTop w:val="0"/>
      <w:marBottom w:val="0"/>
      <w:divBdr>
        <w:top w:val="none" w:sz="0" w:space="0" w:color="auto"/>
        <w:left w:val="none" w:sz="0" w:space="0" w:color="auto"/>
        <w:bottom w:val="none" w:sz="0" w:space="0" w:color="auto"/>
        <w:right w:val="none" w:sz="0" w:space="0" w:color="auto"/>
      </w:divBdr>
    </w:div>
    <w:div w:id="1018042896">
      <w:bodyDiv w:val="1"/>
      <w:marLeft w:val="0"/>
      <w:marRight w:val="0"/>
      <w:marTop w:val="0"/>
      <w:marBottom w:val="0"/>
      <w:divBdr>
        <w:top w:val="none" w:sz="0" w:space="0" w:color="auto"/>
        <w:left w:val="none" w:sz="0" w:space="0" w:color="auto"/>
        <w:bottom w:val="none" w:sz="0" w:space="0" w:color="auto"/>
        <w:right w:val="none" w:sz="0" w:space="0" w:color="auto"/>
      </w:divBdr>
    </w:div>
    <w:div w:id="1021780523">
      <w:bodyDiv w:val="1"/>
      <w:marLeft w:val="0"/>
      <w:marRight w:val="0"/>
      <w:marTop w:val="0"/>
      <w:marBottom w:val="0"/>
      <w:divBdr>
        <w:top w:val="none" w:sz="0" w:space="0" w:color="auto"/>
        <w:left w:val="none" w:sz="0" w:space="0" w:color="auto"/>
        <w:bottom w:val="none" w:sz="0" w:space="0" w:color="auto"/>
        <w:right w:val="none" w:sz="0" w:space="0" w:color="auto"/>
      </w:divBdr>
    </w:div>
    <w:div w:id="1039865030">
      <w:bodyDiv w:val="1"/>
      <w:marLeft w:val="0"/>
      <w:marRight w:val="0"/>
      <w:marTop w:val="0"/>
      <w:marBottom w:val="0"/>
      <w:divBdr>
        <w:top w:val="none" w:sz="0" w:space="0" w:color="auto"/>
        <w:left w:val="none" w:sz="0" w:space="0" w:color="auto"/>
        <w:bottom w:val="none" w:sz="0" w:space="0" w:color="auto"/>
        <w:right w:val="none" w:sz="0" w:space="0" w:color="auto"/>
      </w:divBdr>
    </w:div>
    <w:div w:id="1042363745">
      <w:bodyDiv w:val="1"/>
      <w:marLeft w:val="0"/>
      <w:marRight w:val="0"/>
      <w:marTop w:val="0"/>
      <w:marBottom w:val="0"/>
      <w:divBdr>
        <w:top w:val="none" w:sz="0" w:space="0" w:color="auto"/>
        <w:left w:val="none" w:sz="0" w:space="0" w:color="auto"/>
        <w:bottom w:val="none" w:sz="0" w:space="0" w:color="auto"/>
        <w:right w:val="none" w:sz="0" w:space="0" w:color="auto"/>
      </w:divBdr>
    </w:div>
    <w:div w:id="1043477260">
      <w:bodyDiv w:val="1"/>
      <w:marLeft w:val="0"/>
      <w:marRight w:val="0"/>
      <w:marTop w:val="0"/>
      <w:marBottom w:val="0"/>
      <w:divBdr>
        <w:top w:val="none" w:sz="0" w:space="0" w:color="auto"/>
        <w:left w:val="none" w:sz="0" w:space="0" w:color="auto"/>
        <w:bottom w:val="none" w:sz="0" w:space="0" w:color="auto"/>
        <w:right w:val="none" w:sz="0" w:space="0" w:color="auto"/>
      </w:divBdr>
      <w:divsChild>
        <w:div w:id="1728986651">
          <w:marLeft w:val="0"/>
          <w:marRight w:val="0"/>
          <w:marTop w:val="0"/>
          <w:marBottom w:val="0"/>
          <w:divBdr>
            <w:top w:val="none" w:sz="0" w:space="0" w:color="auto"/>
            <w:left w:val="none" w:sz="0" w:space="0" w:color="auto"/>
            <w:bottom w:val="none" w:sz="0" w:space="0" w:color="auto"/>
            <w:right w:val="none" w:sz="0" w:space="0" w:color="auto"/>
          </w:divBdr>
          <w:divsChild>
            <w:div w:id="177428112">
              <w:marLeft w:val="0"/>
              <w:marRight w:val="0"/>
              <w:marTop w:val="0"/>
              <w:marBottom w:val="0"/>
              <w:divBdr>
                <w:top w:val="none" w:sz="0" w:space="0" w:color="auto"/>
                <w:left w:val="none" w:sz="0" w:space="0" w:color="auto"/>
                <w:bottom w:val="none" w:sz="0" w:space="0" w:color="auto"/>
                <w:right w:val="none" w:sz="0" w:space="0" w:color="auto"/>
              </w:divBdr>
              <w:divsChild>
                <w:div w:id="1966885920">
                  <w:marLeft w:val="0"/>
                  <w:marRight w:val="0"/>
                  <w:marTop w:val="0"/>
                  <w:marBottom w:val="0"/>
                  <w:divBdr>
                    <w:top w:val="none" w:sz="0" w:space="0" w:color="auto"/>
                    <w:left w:val="none" w:sz="0" w:space="0" w:color="auto"/>
                    <w:bottom w:val="none" w:sz="0" w:space="0" w:color="auto"/>
                    <w:right w:val="none" w:sz="0" w:space="0" w:color="auto"/>
                  </w:divBdr>
                  <w:divsChild>
                    <w:div w:id="712005825">
                      <w:marLeft w:val="0"/>
                      <w:marRight w:val="0"/>
                      <w:marTop w:val="0"/>
                      <w:marBottom w:val="0"/>
                      <w:divBdr>
                        <w:top w:val="none" w:sz="0" w:space="0" w:color="auto"/>
                        <w:left w:val="none" w:sz="0" w:space="0" w:color="auto"/>
                        <w:bottom w:val="none" w:sz="0" w:space="0" w:color="auto"/>
                        <w:right w:val="none" w:sz="0" w:space="0" w:color="auto"/>
                      </w:divBdr>
                      <w:divsChild>
                        <w:div w:id="1330792010">
                          <w:marLeft w:val="0"/>
                          <w:marRight w:val="0"/>
                          <w:marTop w:val="0"/>
                          <w:marBottom w:val="0"/>
                          <w:divBdr>
                            <w:top w:val="none" w:sz="0" w:space="0" w:color="auto"/>
                            <w:left w:val="none" w:sz="0" w:space="0" w:color="auto"/>
                            <w:bottom w:val="none" w:sz="0" w:space="0" w:color="auto"/>
                            <w:right w:val="none" w:sz="0" w:space="0" w:color="auto"/>
                          </w:divBdr>
                          <w:divsChild>
                            <w:div w:id="1895266608">
                              <w:marLeft w:val="0"/>
                              <w:marRight w:val="0"/>
                              <w:marTop w:val="0"/>
                              <w:marBottom w:val="0"/>
                              <w:divBdr>
                                <w:top w:val="none" w:sz="0" w:space="0" w:color="auto"/>
                                <w:left w:val="none" w:sz="0" w:space="0" w:color="auto"/>
                                <w:bottom w:val="none" w:sz="0" w:space="0" w:color="auto"/>
                                <w:right w:val="none" w:sz="0" w:space="0" w:color="auto"/>
                              </w:divBdr>
                              <w:divsChild>
                                <w:div w:id="1766726661">
                                  <w:marLeft w:val="0"/>
                                  <w:marRight w:val="0"/>
                                  <w:marTop w:val="0"/>
                                  <w:marBottom w:val="0"/>
                                  <w:divBdr>
                                    <w:top w:val="none" w:sz="0" w:space="0" w:color="auto"/>
                                    <w:left w:val="none" w:sz="0" w:space="0" w:color="auto"/>
                                    <w:bottom w:val="none" w:sz="0" w:space="0" w:color="auto"/>
                                    <w:right w:val="none" w:sz="0" w:space="0" w:color="auto"/>
                                  </w:divBdr>
                                  <w:divsChild>
                                    <w:div w:id="2115200140">
                                      <w:marLeft w:val="0"/>
                                      <w:marRight w:val="0"/>
                                      <w:marTop w:val="0"/>
                                      <w:marBottom w:val="0"/>
                                      <w:divBdr>
                                        <w:top w:val="none" w:sz="0" w:space="0" w:color="auto"/>
                                        <w:left w:val="none" w:sz="0" w:space="0" w:color="auto"/>
                                        <w:bottom w:val="none" w:sz="0" w:space="0" w:color="auto"/>
                                        <w:right w:val="none" w:sz="0" w:space="0" w:color="auto"/>
                                      </w:divBdr>
                                      <w:divsChild>
                                        <w:div w:id="10427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8796977">
      <w:bodyDiv w:val="1"/>
      <w:marLeft w:val="0"/>
      <w:marRight w:val="0"/>
      <w:marTop w:val="0"/>
      <w:marBottom w:val="0"/>
      <w:divBdr>
        <w:top w:val="none" w:sz="0" w:space="0" w:color="auto"/>
        <w:left w:val="none" w:sz="0" w:space="0" w:color="auto"/>
        <w:bottom w:val="none" w:sz="0" w:space="0" w:color="auto"/>
        <w:right w:val="none" w:sz="0" w:space="0" w:color="auto"/>
      </w:divBdr>
    </w:div>
    <w:div w:id="1051272819">
      <w:bodyDiv w:val="1"/>
      <w:marLeft w:val="0"/>
      <w:marRight w:val="0"/>
      <w:marTop w:val="0"/>
      <w:marBottom w:val="0"/>
      <w:divBdr>
        <w:top w:val="none" w:sz="0" w:space="0" w:color="auto"/>
        <w:left w:val="none" w:sz="0" w:space="0" w:color="auto"/>
        <w:bottom w:val="none" w:sz="0" w:space="0" w:color="auto"/>
        <w:right w:val="none" w:sz="0" w:space="0" w:color="auto"/>
      </w:divBdr>
    </w:div>
    <w:div w:id="1071927891">
      <w:bodyDiv w:val="1"/>
      <w:marLeft w:val="0"/>
      <w:marRight w:val="0"/>
      <w:marTop w:val="0"/>
      <w:marBottom w:val="0"/>
      <w:divBdr>
        <w:top w:val="none" w:sz="0" w:space="0" w:color="auto"/>
        <w:left w:val="none" w:sz="0" w:space="0" w:color="auto"/>
        <w:bottom w:val="none" w:sz="0" w:space="0" w:color="auto"/>
        <w:right w:val="none" w:sz="0" w:space="0" w:color="auto"/>
      </w:divBdr>
    </w:div>
    <w:div w:id="1075783118">
      <w:bodyDiv w:val="1"/>
      <w:marLeft w:val="0"/>
      <w:marRight w:val="0"/>
      <w:marTop w:val="0"/>
      <w:marBottom w:val="0"/>
      <w:divBdr>
        <w:top w:val="none" w:sz="0" w:space="0" w:color="auto"/>
        <w:left w:val="none" w:sz="0" w:space="0" w:color="auto"/>
        <w:bottom w:val="none" w:sz="0" w:space="0" w:color="auto"/>
        <w:right w:val="none" w:sz="0" w:space="0" w:color="auto"/>
      </w:divBdr>
      <w:divsChild>
        <w:div w:id="1061365411">
          <w:marLeft w:val="0"/>
          <w:marRight w:val="0"/>
          <w:marTop w:val="0"/>
          <w:marBottom w:val="0"/>
          <w:divBdr>
            <w:top w:val="none" w:sz="0" w:space="0" w:color="auto"/>
            <w:left w:val="none" w:sz="0" w:space="0" w:color="auto"/>
            <w:bottom w:val="none" w:sz="0" w:space="0" w:color="auto"/>
            <w:right w:val="none" w:sz="0" w:space="0" w:color="auto"/>
          </w:divBdr>
          <w:divsChild>
            <w:div w:id="1380325226">
              <w:marLeft w:val="0"/>
              <w:marRight w:val="0"/>
              <w:marTop w:val="0"/>
              <w:marBottom w:val="0"/>
              <w:divBdr>
                <w:top w:val="none" w:sz="0" w:space="0" w:color="auto"/>
                <w:left w:val="none" w:sz="0" w:space="0" w:color="auto"/>
                <w:bottom w:val="none" w:sz="0" w:space="0" w:color="auto"/>
                <w:right w:val="none" w:sz="0" w:space="0" w:color="auto"/>
              </w:divBdr>
              <w:divsChild>
                <w:div w:id="815029083">
                  <w:marLeft w:val="0"/>
                  <w:marRight w:val="0"/>
                  <w:marTop w:val="0"/>
                  <w:marBottom w:val="0"/>
                  <w:divBdr>
                    <w:top w:val="none" w:sz="0" w:space="0" w:color="auto"/>
                    <w:left w:val="none" w:sz="0" w:space="0" w:color="auto"/>
                    <w:bottom w:val="none" w:sz="0" w:space="0" w:color="auto"/>
                    <w:right w:val="none" w:sz="0" w:space="0" w:color="auto"/>
                  </w:divBdr>
                  <w:divsChild>
                    <w:div w:id="752555838">
                      <w:marLeft w:val="0"/>
                      <w:marRight w:val="0"/>
                      <w:marTop w:val="0"/>
                      <w:marBottom w:val="0"/>
                      <w:divBdr>
                        <w:top w:val="none" w:sz="0" w:space="0" w:color="auto"/>
                        <w:left w:val="none" w:sz="0" w:space="0" w:color="auto"/>
                        <w:bottom w:val="none" w:sz="0" w:space="0" w:color="auto"/>
                        <w:right w:val="none" w:sz="0" w:space="0" w:color="auto"/>
                      </w:divBdr>
                      <w:divsChild>
                        <w:div w:id="1234848527">
                          <w:marLeft w:val="0"/>
                          <w:marRight w:val="0"/>
                          <w:marTop w:val="0"/>
                          <w:marBottom w:val="0"/>
                          <w:divBdr>
                            <w:top w:val="none" w:sz="0" w:space="0" w:color="auto"/>
                            <w:left w:val="none" w:sz="0" w:space="0" w:color="auto"/>
                            <w:bottom w:val="none" w:sz="0" w:space="0" w:color="auto"/>
                            <w:right w:val="none" w:sz="0" w:space="0" w:color="auto"/>
                          </w:divBdr>
                          <w:divsChild>
                            <w:div w:id="1626036219">
                              <w:marLeft w:val="0"/>
                              <w:marRight w:val="0"/>
                              <w:marTop w:val="0"/>
                              <w:marBottom w:val="0"/>
                              <w:divBdr>
                                <w:top w:val="none" w:sz="0" w:space="0" w:color="auto"/>
                                <w:left w:val="none" w:sz="0" w:space="0" w:color="auto"/>
                                <w:bottom w:val="none" w:sz="0" w:space="0" w:color="auto"/>
                                <w:right w:val="none" w:sz="0" w:space="0" w:color="auto"/>
                              </w:divBdr>
                              <w:divsChild>
                                <w:div w:id="369454180">
                                  <w:marLeft w:val="0"/>
                                  <w:marRight w:val="0"/>
                                  <w:marTop w:val="0"/>
                                  <w:marBottom w:val="0"/>
                                  <w:divBdr>
                                    <w:top w:val="none" w:sz="0" w:space="0" w:color="auto"/>
                                    <w:left w:val="none" w:sz="0" w:space="0" w:color="auto"/>
                                    <w:bottom w:val="none" w:sz="0" w:space="0" w:color="auto"/>
                                    <w:right w:val="none" w:sz="0" w:space="0" w:color="auto"/>
                                  </w:divBdr>
                                  <w:divsChild>
                                    <w:div w:id="666829958">
                                      <w:marLeft w:val="0"/>
                                      <w:marRight w:val="0"/>
                                      <w:marTop w:val="0"/>
                                      <w:marBottom w:val="0"/>
                                      <w:divBdr>
                                        <w:top w:val="none" w:sz="0" w:space="0" w:color="auto"/>
                                        <w:left w:val="none" w:sz="0" w:space="0" w:color="auto"/>
                                        <w:bottom w:val="none" w:sz="0" w:space="0" w:color="auto"/>
                                        <w:right w:val="none" w:sz="0" w:space="0" w:color="auto"/>
                                      </w:divBdr>
                                      <w:divsChild>
                                        <w:div w:id="1109475193">
                                          <w:marLeft w:val="0"/>
                                          <w:marRight w:val="0"/>
                                          <w:marTop w:val="0"/>
                                          <w:marBottom w:val="0"/>
                                          <w:divBdr>
                                            <w:top w:val="none" w:sz="0" w:space="0" w:color="auto"/>
                                            <w:left w:val="none" w:sz="0" w:space="0" w:color="auto"/>
                                            <w:bottom w:val="none" w:sz="0" w:space="0" w:color="auto"/>
                                            <w:right w:val="none" w:sz="0" w:space="0" w:color="auto"/>
                                          </w:divBdr>
                                          <w:divsChild>
                                            <w:div w:id="911309594">
                                              <w:marLeft w:val="0"/>
                                              <w:marRight w:val="0"/>
                                              <w:marTop w:val="0"/>
                                              <w:marBottom w:val="0"/>
                                              <w:divBdr>
                                                <w:top w:val="none" w:sz="0" w:space="0" w:color="auto"/>
                                                <w:left w:val="none" w:sz="0" w:space="0" w:color="auto"/>
                                                <w:bottom w:val="none" w:sz="0" w:space="0" w:color="auto"/>
                                                <w:right w:val="none" w:sz="0" w:space="0" w:color="auto"/>
                                              </w:divBdr>
                                              <w:divsChild>
                                                <w:div w:id="572395165">
                                                  <w:marLeft w:val="0"/>
                                                  <w:marRight w:val="0"/>
                                                  <w:marTop w:val="0"/>
                                                  <w:marBottom w:val="0"/>
                                                  <w:divBdr>
                                                    <w:top w:val="none" w:sz="0" w:space="0" w:color="auto"/>
                                                    <w:left w:val="none" w:sz="0" w:space="0" w:color="auto"/>
                                                    <w:bottom w:val="none" w:sz="0" w:space="0" w:color="auto"/>
                                                    <w:right w:val="none" w:sz="0" w:space="0" w:color="auto"/>
                                                  </w:divBdr>
                                                  <w:divsChild>
                                                    <w:div w:id="941492235">
                                                      <w:marLeft w:val="0"/>
                                                      <w:marRight w:val="0"/>
                                                      <w:marTop w:val="0"/>
                                                      <w:marBottom w:val="0"/>
                                                      <w:divBdr>
                                                        <w:top w:val="none" w:sz="0" w:space="0" w:color="auto"/>
                                                        <w:left w:val="none" w:sz="0" w:space="0" w:color="auto"/>
                                                        <w:bottom w:val="none" w:sz="0" w:space="0" w:color="auto"/>
                                                        <w:right w:val="none" w:sz="0" w:space="0" w:color="auto"/>
                                                      </w:divBdr>
                                                      <w:divsChild>
                                                        <w:div w:id="81553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7173445">
      <w:bodyDiv w:val="1"/>
      <w:marLeft w:val="0"/>
      <w:marRight w:val="0"/>
      <w:marTop w:val="0"/>
      <w:marBottom w:val="0"/>
      <w:divBdr>
        <w:top w:val="none" w:sz="0" w:space="0" w:color="auto"/>
        <w:left w:val="none" w:sz="0" w:space="0" w:color="auto"/>
        <w:bottom w:val="none" w:sz="0" w:space="0" w:color="auto"/>
        <w:right w:val="none" w:sz="0" w:space="0" w:color="auto"/>
      </w:divBdr>
    </w:div>
    <w:div w:id="1078133258">
      <w:bodyDiv w:val="1"/>
      <w:marLeft w:val="0"/>
      <w:marRight w:val="0"/>
      <w:marTop w:val="0"/>
      <w:marBottom w:val="0"/>
      <w:divBdr>
        <w:top w:val="none" w:sz="0" w:space="0" w:color="auto"/>
        <w:left w:val="none" w:sz="0" w:space="0" w:color="auto"/>
        <w:bottom w:val="none" w:sz="0" w:space="0" w:color="auto"/>
        <w:right w:val="none" w:sz="0" w:space="0" w:color="auto"/>
      </w:divBdr>
    </w:div>
    <w:div w:id="1083188778">
      <w:bodyDiv w:val="1"/>
      <w:marLeft w:val="0"/>
      <w:marRight w:val="0"/>
      <w:marTop w:val="0"/>
      <w:marBottom w:val="0"/>
      <w:divBdr>
        <w:top w:val="none" w:sz="0" w:space="0" w:color="auto"/>
        <w:left w:val="none" w:sz="0" w:space="0" w:color="auto"/>
        <w:bottom w:val="none" w:sz="0" w:space="0" w:color="auto"/>
        <w:right w:val="none" w:sz="0" w:space="0" w:color="auto"/>
      </w:divBdr>
    </w:div>
    <w:div w:id="1086194636">
      <w:bodyDiv w:val="1"/>
      <w:marLeft w:val="0"/>
      <w:marRight w:val="0"/>
      <w:marTop w:val="0"/>
      <w:marBottom w:val="0"/>
      <w:divBdr>
        <w:top w:val="none" w:sz="0" w:space="0" w:color="auto"/>
        <w:left w:val="none" w:sz="0" w:space="0" w:color="auto"/>
        <w:bottom w:val="none" w:sz="0" w:space="0" w:color="auto"/>
        <w:right w:val="none" w:sz="0" w:space="0" w:color="auto"/>
      </w:divBdr>
    </w:div>
    <w:div w:id="1102259204">
      <w:bodyDiv w:val="1"/>
      <w:marLeft w:val="0"/>
      <w:marRight w:val="0"/>
      <w:marTop w:val="0"/>
      <w:marBottom w:val="0"/>
      <w:divBdr>
        <w:top w:val="none" w:sz="0" w:space="0" w:color="auto"/>
        <w:left w:val="none" w:sz="0" w:space="0" w:color="auto"/>
        <w:bottom w:val="none" w:sz="0" w:space="0" w:color="auto"/>
        <w:right w:val="none" w:sz="0" w:space="0" w:color="auto"/>
      </w:divBdr>
    </w:div>
    <w:div w:id="1104305269">
      <w:bodyDiv w:val="1"/>
      <w:marLeft w:val="0"/>
      <w:marRight w:val="0"/>
      <w:marTop w:val="0"/>
      <w:marBottom w:val="0"/>
      <w:divBdr>
        <w:top w:val="none" w:sz="0" w:space="0" w:color="auto"/>
        <w:left w:val="none" w:sz="0" w:space="0" w:color="auto"/>
        <w:bottom w:val="none" w:sz="0" w:space="0" w:color="auto"/>
        <w:right w:val="none" w:sz="0" w:space="0" w:color="auto"/>
      </w:divBdr>
    </w:div>
    <w:div w:id="1113549716">
      <w:bodyDiv w:val="1"/>
      <w:marLeft w:val="0"/>
      <w:marRight w:val="0"/>
      <w:marTop w:val="0"/>
      <w:marBottom w:val="0"/>
      <w:divBdr>
        <w:top w:val="none" w:sz="0" w:space="0" w:color="auto"/>
        <w:left w:val="none" w:sz="0" w:space="0" w:color="auto"/>
        <w:bottom w:val="none" w:sz="0" w:space="0" w:color="auto"/>
        <w:right w:val="none" w:sz="0" w:space="0" w:color="auto"/>
      </w:divBdr>
    </w:div>
    <w:div w:id="1114862272">
      <w:bodyDiv w:val="1"/>
      <w:marLeft w:val="0"/>
      <w:marRight w:val="0"/>
      <w:marTop w:val="0"/>
      <w:marBottom w:val="0"/>
      <w:divBdr>
        <w:top w:val="none" w:sz="0" w:space="0" w:color="auto"/>
        <w:left w:val="none" w:sz="0" w:space="0" w:color="auto"/>
        <w:bottom w:val="none" w:sz="0" w:space="0" w:color="auto"/>
        <w:right w:val="none" w:sz="0" w:space="0" w:color="auto"/>
      </w:divBdr>
    </w:div>
    <w:div w:id="1117722963">
      <w:bodyDiv w:val="1"/>
      <w:marLeft w:val="0"/>
      <w:marRight w:val="0"/>
      <w:marTop w:val="0"/>
      <w:marBottom w:val="0"/>
      <w:divBdr>
        <w:top w:val="none" w:sz="0" w:space="0" w:color="auto"/>
        <w:left w:val="none" w:sz="0" w:space="0" w:color="auto"/>
        <w:bottom w:val="none" w:sz="0" w:space="0" w:color="auto"/>
        <w:right w:val="none" w:sz="0" w:space="0" w:color="auto"/>
      </w:divBdr>
    </w:div>
    <w:div w:id="1128744242">
      <w:bodyDiv w:val="1"/>
      <w:marLeft w:val="0"/>
      <w:marRight w:val="0"/>
      <w:marTop w:val="0"/>
      <w:marBottom w:val="0"/>
      <w:divBdr>
        <w:top w:val="none" w:sz="0" w:space="0" w:color="auto"/>
        <w:left w:val="none" w:sz="0" w:space="0" w:color="auto"/>
        <w:bottom w:val="none" w:sz="0" w:space="0" w:color="auto"/>
        <w:right w:val="none" w:sz="0" w:space="0" w:color="auto"/>
      </w:divBdr>
    </w:div>
    <w:div w:id="1130830708">
      <w:bodyDiv w:val="1"/>
      <w:marLeft w:val="0"/>
      <w:marRight w:val="0"/>
      <w:marTop w:val="0"/>
      <w:marBottom w:val="0"/>
      <w:divBdr>
        <w:top w:val="none" w:sz="0" w:space="0" w:color="auto"/>
        <w:left w:val="none" w:sz="0" w:space="0" w:color="auto"/>
        <w:bottom w:val="none" w:sz="0" w:space="0" w:color="auto"/>
        <w:right w:val="none" w:sz="0" w:space="0" w:color="auto"/>
      </w:divBdr>
    </w:div>
    <w:div w:id="1139372410">
      <w:bodyDiv w:val="1"/>
      <w:marLeft w:val="0"/>
      <w:marRight w:val="0"/>
      <w:marTop w:val="0"/>
      <w:marBottom w:val="0"/>
      <w:divBdr>
        <w:top w:val="none" w:sz="0" w:space="0" w:color="auto"/>
        <w:left w:val="none" w:sz="0" w:space="0" w:color="auto"/>
        <w:bottom w:val="none" w:sz="0" w:space="0" w:color="auto"/>
        <w:right w:val="none" w:sz="0" w:space="0" w:color="auto"/>
      </w:divBdr>
    </w:div>
    <w:div w:id="1147630068">
      <w:bodyDiv w:val="1"/>
      <w:marLeft w:val="0"/>
      <w:marRight w:val="0"/>
      <w:marTop w:val="0"/>
      <w:marBottom w:val="0"/>
      <w:divBdr>
        <w:top w:val="none" w:sz="0" w:space="0" w:color="auto"/>
        <w:left w:val="none" w:sz="0" w:space="0" w:color="auto"/>
        <w:bottom w:val="none" w:sz="0" w:space="0" w:color="auto"/>
        <w:right w:val="none" w:sz="0" w:space="0" w:color="auto"/>
      </w:divBdr>
    </w:div>
    <w:div w:id="1152598850">
      <w:bodyDiv w:val="1"/>
      <w:marLeft w:val="0"/>
      <w:marRight w:val="0"/>
      <w:marTop w:val="0"/>
      <w:marBottom w:val="0"/>
      <w:divBdr>
        <w:top w:val="none" w:sz="0" w:space="0" w:color="auto"/>
        <w:left w:val="none" w:sz="0" w:space="0" w:color="auto"/>
        <w:bottom w:val="none" w:sz="0" w:space="0" w:color="auto"/>
        <w:right w:val="none" w:sz="0" w:space="0" w:color="auto"/>
      </w:divBdr>
    </w:div>
    <w:div w:id="1152870751">
      <w:bodyDiv w:val="1"/>
      <w:marLeft w:val="0"/>
      <w:marRight w:val="0"/>
      <w:marTop w:val="0"/>
      <w:marBottom w:val="0"/>
      <w:divBdr>
        <w:top w:val="none" w:sz="0" w:space="0" w:color="auto"/>
        <w:left w:val="none" w:sz="0" w:space="0" w:color="auto"/>
        <w:bottom w:val="none" w:sz="0" w:space="0" w:color="auto"/>
        <w:right w:val="none" w:sz="0" w:space="0" w:color="auto"/>
      </w:divBdr>
    </w:div>
    <w:div w:id="1163163447">
      <w:bodyDiv w:val="1"/>
      <w:marLeft w:val="0"/>
      <w:marRight w:val="0"/>
      <w:marTop w:val="0"/>
      <w:marBottom w:val="0"/>
      <w:divBdr>
        <w:top w:val="none" w:sz="0" w:space="0" w:color="auto"/>
        <w:left w:val="none" w:sz="0" w:space="0" w:color="auto"/>
        <w:bottom w:val="none" w:sz="0" w:space="0" w:color="auto"/>
        <w:right w:val="none" w:sz="0" w:space="0" w:color="auto"/>
      </w:divBdr>
    </w:div>
    <w:div w:id="1163937668">
      <w:bodyDiv w:val="1"/>
      <w:marLeft w:val="0"/>
      <w:marRight w:val="0"/>
      <w:marTop w:val="0"/>
      <w:marBottom w:val="0"/>
      <w:divBdr>
        <w:top w:val="none" w:sz="0" w:space="0" w:color="auto"/>
        <w:left w:val="none" w:sz="0" w:space="0" w:color="auto"/>
        <w:bottom w:val="none" w:sz="0" w:space="0" w:color="auto"/>
        <w:right w:val="none" w:sz="0" w:space="0" w:color="auto"/>
      </w:divBdr>
    </w:div>
    <w:div w:id="1165512209">
      <w:bodyDiv w:val="1"/>
      <w:marLeft w:val="0"/>
      <w:marRight w:val="0"/>
      <w:marTop w:val="0"/>
      <w:marBottom w:val="0"/>
      <w:divBdr>
        <w:top w:val="none" w:sz="0" w:space="0" w:color="auto"/>
        <w:left w:val="none" w:sz="0" w:space="0" w:color="auto"/>
        <w:bottom w:val="none" w:sz="0" w:space="0" w:color="auto"/>
        <w:right w:val="none" w:sz="0" w:space="0" w:color="auto"/>
      </w:divBdr>
    </w:div>
    <w:div w:id="1171985989">
      <w:bodyDiv w:val="1"/>
      <w:marLeft w:val="0"/>
      <w:marRight w:val="0"/>
      <w:marTop w:val="0"/>
      <w:marBottom w:val="0"/>
      <w:divBdr>
        <w:top w:val="none" w:sz="0" w:space="0" w:color="auto"/>
        <w:left w:val="none" w:sz="0" w:space="0" w:color="auto"/>
        <w:bottom w:val="none" w:sz="0" w:space="0" w:color="auto"/>
        <w:right w:val="none" w:sz="0" w:space="0" w:color="auto"/>
      </w:divBdr>
    </w:div>
    <w:div w:id="1174957245">
      <w:bodyDiv w:val="1"/>
      <w:marLeft w:val="0"/>
      <w:marRight w:val="0"/>
      <w:marTop w:val="0"/>
      <w:marBottom w:val="0"/>
      <w:divBdr>
        <w:top w:val="none" w:sz="0" w:space="0" w:color="auto"/>
        <w:left w:val="none" w:sz="0" w:space="0" w:color="auto"/>
        <w:bottom w:val="none" w:sz="0" w:space="0" w:color="auto"/>
        <w:right w:val="none" w:sz="0" w:space="0" w:color="auto"/>
      </w:divBdr>
    </w:div>
    <w:div w:id="1177963639">
      <w:bodyDiv w:val="1"/>
      <w:marLeft w:val="0"/>
      <w:marRight w:val="0"/>
      <w:marTop w:val="0"/>
      <w:marBottom w:val="0"/>
      <w:divBdr>
        <w:top w:val="none" w:sz="0" w:space="0" w:color="auto"/>
        <w:left w:val="none" w:sz="0" w:space="0" w:color="auto"/>
        <w:bottom w:val="none" w:sz="0" w:space="0" w:color="auto"/>
        <w:right w:val="none" w:sz="0" w:space="0" w:color="auto"/>
      </w:divBdr>
    </w:div>
    <w:div w:id="1182277702">
      <w:bodyDiv w:val="1"/>
      <w:marLeft w:val="0"/>
      <w:marRight w:val="0"/>
      <w:marTop w:val="0"/>
      <w:marBottom w:val="0"/>
      <w:divBdr>
        <w:top w:val="none" w:sz="0" w:space="0" w:color="auto"/>
        <w:left w:val="none" w:sz="0" w:space="0" w:color="auto"/>
        <w:bottom w:val="none" w:sz="0" w:space="0" w:color="auto"/>
        <w:right w:val="none" w:sz="0" w:space="0" w:color="auto"/>
      </w:divBdr>
    </w:div>
    <w:div w:id="1192181962">
      <w:bodyDiv w:val="1"/>
      <w:marLeft w:val="0"/>
      <w:marRight w:val="0"/>
      <w:marTop w:val="0"/>
      <w:marBottom w:val="0"/>
      <w:divBdr>
        <w:top w:val="none" w:sz="0" w:space="0" w:color="auto"/>
        <w:left w:val="none" w:sz="0" w:space="0" w:color="auto"/>
        <w:bottom w:val="none" w:sz="0" w:space="0" w:color="auto"/>
        <w:right w:val="none" w:sz="0" w:space="0" w:color="auto"/>
      </w:divBdr>
    </w:div>
    <w:div w:id="1195920943">
      <w:bodyDiv w:val="1"/>
      <w:marLeft w:val="0"/>
      <w:marRight w:val="0"/>
      <w:marTop w:val="0"/>
      <w:marBottom w:val="0"/>
      <w:divBdr>
        <w:top w:val="none" w:sz="0" w:space="0" w:color="auto"/>
        <w:left w:val="none" w:sz="0" w:space="0" w:color="auto"/>
        <w:bottom w:val="none" w:sz="0" w:space="0" w:color="auto"/>
        <w:right w:val="none" w:sz="0" w:space="0" w:color="auto"/>
      </w:divBdr>
    </w:div>
    <w:div w:id="1200901382">
      <w:bodyDiv w:val="1"/>
      <w:marLeft w:val="0"/>
      <w:marRight w:val="0"/>
      <w:marTop w:val="0"/>
      <w:marBottom w:val="0"/>
      <w:divBdr>
        <w:top w:val="none" w:sz="0" w:space="0" w:color="auto"/>
        <w:left w:val="none" w:sz="0" w:space="0" w:color="auto"/>
        <w:bottom w:val="none" w:sz="0" w:space="0" w:color="auto"/>
        <w:right w:val="none" w:sz="0" w:space="0" w:color="auto"/>
      </w:divBdr>
    </w:div>
    <w:div w:id="1207449572">
      <w:bodyDiv w:val="1"/>
      <w:marLeft w:val="0"/>
      <w:marRight w:val="0"/>
      <w:marTop w:val="0"/>
      <w:marBottom w:val="0"/>
      <w:divBdr>
        <w:top w:val="none" w:sz="0" w:space="0" w:color="auto"/>
        <w:left w:val="none" w:sz="0" w:space="0" w:color="auto"/>
        <w:bottom w:val="none" w:sz="0" w:space="0" w:color="auto"/>
        <w:right w:val="none" w:sz="0" w:space="0" w:color="auto"/>
      </w:divBdr>
    </w:div>
    <w:div w:id="1212184670">
      <w:bodyDiv w:val="1"/>
      <w:marLeft w:val="0"/>
      <w:marRight w:val="0"/>
      <w:marTop w:val="0"/>
      <w:marBottom w:val="0"/>
      <w:divBdr>
        <w:top w:val="none" w:sz="0" w:space="0" w:color="auto"/>
        <w:left w:val="none" w:sz="0" w:space="0" w:color="auto"/>
        <w:bottom w:val="none" w:sz="0" w:space="0" w:color="auto"/>
        <w:right w:val="none" w:sz="0" w:space="0" w:color="auto"/>
      </w:divBdr>
    </w:div>
    <w:div w:id="1217467870">
      <w:bodyDiv w:val="1"/>
      <w:marLeft w:val="0"/>
      <w:marRight w:val="0"/>
      <w:marTop w:val="0"/>
      <w:marBottom w:val="0"/>
      <w:divBdr>
        <w:top w:val="none" w:sz="0" w:space="0" w:color="auto"/>
        <w:left w:val="none" w:sz="0" w:space="0" w:color="auto"/>
        <w:bottom w:val="none" w:sz="0" w:space="0" w:color="auto"/>
        <w:right w:val="none" w:sz="0" w:space="0" w:color="auto"/>
      </w:divBdr>
    </w:div>
    <w:div w:id="1223370961">
      <w:bodyDiv w:val="1"/>
      <w:marLeft w:val="0"/>
      <w:marRight w:val="0"/>
      <w:marTop w:val="0"/>
      <w:marBottom w:val="0"/>
      <w:divBdr>
        <w:top w:val="none" w:sz="0" w:space="0" w:color="auto"/>
        <w:left w:val="none" w:sz="0" w:space="0" w:color="auto"/>
        <w:bottom w:val="none" w:sz="0" w:space="0" w:color="auto"/>
        <w:right w:val="none" w:sz="0" w:space="0" w:color="auto"/>
      </w:divBdr>
    </w:div>
    <w:div w:id="1229804712">
      <w:bodyDiv w:val="1"/>
      <w:marLeft w:val="0"/>
      <w:marRight w:val="0"/>
      <w:marTop w:val="0"/>
      <w:marBottom w:val="0"/>
      <w:divBdr>
        <w:top w:val="none" w:sz="0" w:space="0" w:color="auto"/>
        <w:left w:val="none" w:sz="0" w:space="0" w:color="auto"/>
        <w:bottom w:val="none" w:sz="0" w:space="0" w:color="auto"/>
        <w:right w:val="none" w:sz="0" w:space="0" w:color="auto"/>
      </w:divBdr>
    </w:div>
    <w:div w:id="1238635958">
      <w:bodyDiv w:val="1"/>
      <w:marLeft w:val="0"/>
      <w:marRight w:val="0"/>
      <w:marTop w:val="0"/>
      <w:marBottom w:val="0"/>
      <w:divBdr>
        <w:top w:val="none" w:sz="0" w:space="0" w:color="auto"/>
        <w:left w:val="none" w:sz="0" w:space="0" w:color="auto"/>
        <w:bottom w:val="none" w:sz="0" w:space="0" w:color="auto"/>
        <w:right w:val="none" w:sz="0" w:space="0" w:color="auto"/>
      </w:divBdr>
    </w:div>
    <w:div w:id="1247615308">
      <w:bodyDiv w:val="1"/>
      <w:marLeft w:val="0"/>
      <w:marRight w:val="0"/>
      <w:marTop w:val="0"/>
      <w:marBottom w:val="0"/>
      <w:divBdr>
        <w:top w:val="none" w:sz="0" w:space="0" w:color="auto"/>
        <w:left w:val="none" w:sz="0" w:space="0" w:color="auto"/>
        <w:bottom w:val="none" w:sz="0" w:space="0" w:color="auto"/>
        <w:right w:val="none" w:sz="0" w:space="0" w:color="auto"/>
      </w:divBdr>
    </w:div>
    <w:div w:id="1253392177">
      <w:bodyDiv w:val="1"/>
      <w:marLeft w:val="0"/>
      <w:marRight w:val="0"/>
      <w:marTop w:val="0"/>
      <w:marBottom w:val="0"/>
      <w:divBdr>
        <w:top w:val="none" w:sz="0" w:space="0" w:color="auto"/>
        <w:left w:val="none" w:sz="0" w:space="0" w:color="auto"/>
        <w:bottom w:val="none" w:sz="0" w:space="0" w:color="auto"/>
        <w:right w:val="none" w:sz="0" w:space="0" w:color="auto"/>
      </w:divBdr>
    </w:div>
    <w:div w:id="1266383382">
      <w:bodyDiv w:val="1"/>
      <w:marLeft w:val="0"/>
      <w:marRight w:val="0"/>
      <w:marTop w:val="0"/>
      <w:marBottom w:val="0"/>
      <w:divBdr>
        <w:top w:val="none" w:sz="0" w:space="0" w:color="auto"/>
        <w:left w:val="none" w:sz="0" w:space="0" w:color="auto"/>
        <w:bottom w:val="none" w:sz="0" w:space="0" w:color="auto"/>
        <w:right w:val="none" w:sz="0" w:space="0" w:color="auto"/>
      </w:divBdr>
    </w:div>
    <w:div w:id="1266384286">
      <w:bodyDiv w:val="1"/>
      <w:marLeft w:val="0"/>
      <w:marRight w:val="0"/>
      <w:marTop w:val="0"/>
      <w:marBottom w:val="0"/>
      <w:divBdr>
        <w:top w:val="none" w:sz="0" w:space="0" w:color="auto"/>
        <w:left w:val="none" w:sz="0" w:space="0" w:color="auto"/>
        <w:bottom w:val="none" w:sz="0" w:space="0" w:color="auto"/>
        <w:right w:val="none" w:sz="0" w:space="0" w:color="auto"/>
      </w:divBdr>
    </w:div>
    <w:div w:id="1267927186">
      <w:bodyDiv w:val="1"/>
      <w:marLeft w:val="0"/>
      <w:marRight w:val="0"/>
      <w:marTop w:val="0"/>
      <w:marBottom w:val="0"/>
      <w:divBdr>
        <w:top w:val="none" w:sz="0" w:space="0" w:color="auto"/>
        <w:left w:val="none" w:sz="0" w:space="0" w:color="auto"/>
        <w:bottom w:val="none" w:sz="0" w:space="0" w:color="auto"/>
        <w:right w:val="none" w:sz="0" w:space="0" w:color="auto"/>
      </w:divBdr>
    </w:div>
    <w:div w:id="1271013776">
      <w:bodyDiv w:val="1"/>
      <w:marLeft w:val="0"/>
      <w:marRight w:val="0"/>
      <w:marTop w:val="0"/>
      <w:marBottom w:val="0"/>
      <w:divBdr>
        <w:top w:val="none" w:sz="0" w:space="0" w:color="auto"/>
        <w:left w:val="none" w:sz="0" w:space="0" w:color="auto"/>
        <w:bottom w:val="none" w:sz="0" w:space="0" w:color="auto"/>
        <w:right w:val="none" w:sz="0" w:space="0" w:color="auto"/>
      </w:divBdr>
    </w:div>
    <w:div w:id="1272934908">
      <w:bodyDiv w:val="1"/>
      <w:marLeft w:val="0"/>
      <w:marRight w:val="0"/>
      <w:marTop w:val="0"/>
      <w:marBottom w:val="0"/>
      <w:divBdr>
        <w:top w:val="none" w:sz="0" w:space="0" w:color="auto"/>
        <w:left w:val="none" w:sz="0" w:space="0" w:color="auto"/>
        <w:bottom w:val="none" w:sz="0" w:space="0" w:color="auto"/>
        <w:right w:val="none" w:sz="0" w:space="0" w:color="auto"/>
      </w:divBdr>
    </w:div>
    <w:div w:id="1274248955">
      <w:bodyDiv w:val="1"/>
      <w:marLeft w:val="0"/>
      <w:marRight w:val="0"/>
      <w:marTop w:val="0"/>
      <w:marBottom w:val="0"/>
      <w:divBdr>
        <w:top w:val="none" w:sz="0" w:space="0" w:color="auto"/>
        <w:left w:val="none" w:sz="0" w:space="0" w:color="auto"/>
        <w:bottom w:val="none" w:sz="0" w:space="0" w:color="auto"/>
        <w:right w:val="none" w:sz="0" w:space="0" w:color="auto"/>
      </w:divBdr>
    </w:div>
    <w:div w:id="1277256083">
      <w:bodyDiv w:val="1"/>
      <w:marLeft w:val="0"/>
      <w:marRight w:val="0"/>
      <w:marTop w:val="0"/>
      <w:marBottom w:val="0"/>
      <w:divBdr>
        <w:top w:val="none" w:sz="0" w:space="0" w:color="auto"/>
        <w:left w:val="none" w:sz="0" w:space="0" w:color="auto"/>
        <w:bottom w:val="none" w:sz="0" w:space="0" w:color="auto"/>
        <w:right w:val="none" w:sz="0" w:space="0" w:color="auto"/>
      </w:divBdr>
    </w:div>
    <w:div w:id="1285966689">
      <w:bodyDiv w:val="1"/>
      <w:marLeft w:val="0"/>
      <w:marRight w:val="0"/>
      <w:marTop w:val="0"/>
      <w:marBottom w:val="0"/>
      <w:divBdr>
        <w:top w:val="none" w:sz="0" w:space="0" w:color="auto"/>
        <w:left w:val="none" w:sz="0" w:space="0" w:color="auto"/>
        <w:bottom w:val="none" w:sz="0" w:space="0" w:color="auto"/>
        <w:right w:val="none" w:sz="0" w:space="0" w:color="auto"/>
      </w:divBdr>
    </w:div>
    <w:div w:id="1296058049">
      <w:bodyDiv w:val="1"/>
      <w:marLeft w:val="0"/>
      <w:marRight w:val="0"/>
      <w:marTop w:val="0"/>
      <w:marBottom w:val="0"/>
      <w:divBdr>
        <w:top w:val="none" w:sz="0" w:space="0" w:color="auto"/>
        <w:left w:val="none" w:sz="0" w:space="0" w:color="auto"/>
        <w:bottom w:val="none" w:sz="0" w:space="0" w:color="auto"/>
        <w:right w:val="none" w:sz="0" w:space="0" w:color="auto"/>
      </w:divBdr>
    </w:div>
    <w:div w:id="1297105294">
      <w:bodyDiv w:val="1"/>
      <w:marLeft w:val="0"/>
      <w:marRight w:val="0"/>
      <w:marTop w:val="0"/>
      <w:marBottom w:val="0"/>
      <w:divBdr>
        <w:top w:val="none" w:sz="0" w:space="0" w:color="auto"/>
        <w:left w:val="none" w:sz="0" w:space="0" w:color="auto"/>
        <w:bottom w:val="none" w:sz="0" w:space="0" w:color="auto"/>
        <w:right w:val="none" w:sz="0" w:space="0" w:color="auto"/>
      </w:divBdr>
    </w:div>
    <w:div w:id="1334919532">
      <w:bodyDiv w:val="1"/>
      <w:marLeft w:val="0"/>
      <w:marRight w:val="0"/>
      <w:marTop w:val="0"/>
      <w:marBottom w:val="0"/>
      <w:divBdr>
        <w:top w:val="none" w:sz="0" w:space="0" w:color="auto"/>
        <w:left w:val="none" w:sz="0" w:space="0" w:color="auto"/>
        <w:bottom w:val="none" w:sz="0" w:space="0" w:color="auto"/>
        <w:right w:val="none" w:sz="0" w:space="0" w:color="auto"/>
      </w:divBdr>
    </w:div>
    <w:div w:id="1335642285">
      <w:bodyDiv w:val="1"/>
      <w:marLeft w:val="0"/>
      <w:marRight w:val="0"/>
      <w:marTop w:val="0"/>
      <w:marBottom w:val="0"/>
      <w:divBdr>
        <w:top w:val="none" w:sz="0" w:space="0" w:color="auto"/>
        <w:left w:val="none" w:sz="0" w:space="0" w:color="auto"/>
        <w:bottom w:val="none" w:sz="0" w:space="0" w:color="auto"/>
        <w:right w:val="none" w:sz="0" w:space="0" w:color="auto"/>
      </w:divBdr>
    </w:div>
    <w:div w:id="1339699848">
      <w:bodyDiv w:val="1"/>
      <w:marLeft w:val="0"/>
      <w:marRight w:val="0"/>
      <w:marTop w:val="0"/>
      <w:marBottom w:val="0"/>
      <w:divBdr>
        <w:top w:val="none" w:sz="0" w:space="0" w:color="auto"/>
        <w:left w:val="none" w:sz="0" w:space="0" w:color="auto"/>
        <w:bottom w:val="none" w:sz="0" w:space="0" w:color="auto"/>
        <w:right w:val="none" w:sz="0" w:space="0" w:color="auto"/>
      </w:divBdr>
    </w:div>
    <w:div w:id="1345590249">
      <w:bodyDiv w:val="1"/>
      <w:marLeft w:val="0"/>
      <w:marRight w:val="0"/>
      <w:marTop w:val="0"/>
      <w:marBottom w:val="0"/>
      <w:divBdr>
        <w:top w:val="none" w:sz="0" w:space="0" w:color="auto"/>
        <w:left w:val="none" w:sz="0" w:space="0" w:color="auto"/>
        <w:bottom w:val="none" w:sz="0" w:space="0" w:color="auto"/>
        <w:right w:val="none" w:sz="0" w:space="0" w:color="auto"/>
      </w:divBdr>
    </w:div>
    <w:div w:id="1348485772">
      <w:bodyDiv w:val="1"/>
      <w:marLeft w:val="0"/>
      <w:marRight w:val="0"/>
      <w:marTop w:val="0"/>
      <w:marBottom w:val="0"/>
      <w:divBdr>
        <w:top w:val="none" w:sz="0" w:space="0" w:color="auto"/>
        <w:left w:val="none" w:sz="0" w:space="0" w:color="auto"/>
        <w:bottom w:val="none" w:sz="0" w:space="0" w:color="auto"/>
        <w:right w:val="none" w:sz="0" w:space="0" w:color="auto"/>
      </w:divBdr>
    </w:div>
    <w:div w:id="1349797929">
      <w:bodyDiv w:val="1"/>
      <w:marLeft w:val="0"/>
      <w:marRight w:val="0"/>
      <w:marTop w:val="0"/>
      <w:marBottom w:val="0"/>
      <w:divBdr>
        <w:top w:val="none" w:sz="0" w:space="0" w:color="auto"/>
        <w:left w:val="none" w:sz="0" w:space="0" w:color="auto"/>
        <w:bottom w:val="none" w:sz="0" w:space="0" w:color="auto"/>
        <w:right w:val="none" w:sz="0" w:space="0" w:color="auto"/>
      </w:divBdr>
    </w:div>
    <w:div w:id="1363432942">
      <w:bodyDiv w:val="1"/>
      <w:marLeft w:val="0"/>
      <w:marRight w:val="0"/>
      <w:marTop w:val="0"/>
      <w:marBottom w:val="0"/>
      <w:divBdr>
        <w:top w:val="none" w:sz="0" w:space="0" w:color="auto"/>
        <w:left w:val="none" w:sz="0" w:space="0" w:color="auto"/>
        <w:bottom w:val="none" w:sz="0" w:space="0" w:color="auto"/>
        <w:right w:val="none" w:sz="0" w:space="0" w:color="auto"/>
      </w:divBdr>
    </w:div>
    <w:div w:id="1371538267">
      <w:bodyDiv w:val="1"/>
      <w:marLeft w:val="0"/>
      <w:marRight w:val="0"/>
      <w:marTop w:val="0"/>
      <w:marBottom w:val="0"/>
      <w:divBdr>
        <w:top w:val="none" w:sz="0" w:space="0" w:color="auto"/>
        <w:left w:val="none" w:sz="0" w:space="0" w:color="auto"/>
        <w:bottom w:val="none" w:sz="0" w:space="0" w:color="auto"/>
        <w:right w:val="none" w:sz="0" w:space="0" w:color="auto"/>
      </w:divBdr>
      <w:divsChild>
        <w:div w:id="10885471">
          <w:marLeft w:val="0"/>
          <w:marRight w:val="0"/>
          <w:marTop w:val="0"/>
          <w:marBottom w:val="0"/>
          <w:divBdr>
            <w:top w:val="none" w:sz="0" w:space="0" w:color="auto"/>
            <w:left w:val="none" w:sz="0" w:space="0" w:color="auto"/>
            <w:bottom w:val="none" w:sz="0" w:space="0" w:color="auto"/>
            <w:right w:val="none" w:sz="0" w:space="0" w:color="auto"/>
          </w:divBdr>
          <w:divsChild>
            <w:div w:id="2074237898">
              <w:marLeft w:val="0"/>
              <w:marRight w:val="0"/>
              <w:marTop w:val="0"/>
              <w:marBottom w:val="0"/>
              <w:divBdr>
                <w:top w:val="none" w:sz="0" w:space="0" w:color="auto"/>
                <w:left w:val="none" w:sz="0" w:space="0" w:color="auto"/>
                <w:bottom w:val="none" w:sz="0" w:space="0" w:color="auto"/>
                <w:right w:val="none" w:sz="0" w:space="0" w:color="auto"/>
              </w:divBdr>
              <w:divsChild>
                <w:div w:id="1349916330">
                  <w:marLeft w:val="0"/>
                  <w:marRight w:val="0"/>
                  <w:marTop w:val="0"/>
                  <w:marBottom w:val="0"/>
                  <w:divBdr>
                    <w:top w:val="none" w:sz="0" w:space="0" w:color="auto"/>
                    <w:left w:val="none" w:sz="0" w:space="0" w:color="auto"/>
                    <w:bottom w:val="none" w:sz="0" w:space="0" w:color="auto"/>
                    <w:right w:val="none" w:sz="0" w:space="0" w:color="auto"/>
                  </w:divBdr>
                  <w:divsChild>
                    <w:div w:id="72864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946465">
      <w:bodyDiv w:val="1"/>
      <w:marLeft w:val="0"/>
      <w:marRight w:val="0"/>
      <w:marTop w:val="0"/>
      <w:marBottom w:val="0"/>
      <w:divBdr>
        <w:top w:val="none" w:sz="0" w:space="0" w:color="auto"/>
        <w:left w:val="none" w:sz="0" w:space="0" w:color="auto"/>
        <w:bottom w:val="none" w:sz="0" w:space="0" w:color="auto"/>
        <w:right w:val="none" w:sz="0" w:space="0" w:color="auto"/>
      </w:divBdr>
    </w:div>
    <w:div w:id="1387140940">
      <w:bodyDiv w:val="1"/>
      <w:marLeft w:val="0"/>
      <w:marRight w:val="0"/>
      <w:marTop w:val="0"/>
      <w:marBottom w:val="0"/>
      <w:divBdr>
        <w:top w:val="none" w:sz="0" w:space="0" w:color="auto"/>
        <w:left w:val="none" w:sz="0" w:space="0" w:color="auto"/>
        <w:bottom w:val="none" w:sz="0" w:space="0" w:color="auto"/>
        <w:right w:val="none" w:sz="0" w:space="0" w:color="auto"/>
      </w:divBdr>
    </w:div>
    <w:div w:id="1387220801">
      <w:bodyDiv w:val="1"/>
      <w:marLeft w:val="0"/>
      <w:marRight w:val="0"/>
      <w:marTop w:val="0"/>
      <w:marBottom w:val="0"/>
      <w:divBdr>
        <w:top w:val="none" w:sz="0" w:space="0" w:color="auto"/>
        <w:left w:val="none" w:sz="0" w:space="0" w:color="auto"/>
        <w:bottom w:val="none" w:sz="0" w:space="0" w:color="auto"/>
        <w:right w:val="none" w:sz="0" w:space="0" w:color="auto"/>
      </w:divBdr>
    </w:div>
    <w:div w:id="1397163183">
      <w:bodyDiv w:val="1"/>
      <w:marLeft w:val="0"/>
      <w:marRight w:val="0"/>
      <w:marTop w:val="0"/>
      <w:marBottom w:val="0"/>
      <w:divBdr>
        <w:top w:val="none" w:sz="0" w:space="0" w:color="auto"/>
        <w:left w:val="none" w:sz="0" w:space="0" w:color="auto"/>
        <w:bottom w:val="none" w:sz="0" w:space="0" w:color="auto"/>
        <w:right w:val="none" w:sz="0" w:space="0" w:color="auto"/>
      </w:divBdr>
    </w:div>
    <w:div w:id="1400522783">
      <w:bodyDiv w:val="1"/>
      <w:marLeft w:val="0"/>
      <w:marRight w:val="0"/>
      <w:marTop w:val="0"/>
      <w:marBottom w:val="0"/>
      <w:divBdr>
        <w:top w:val="none" w:sz="0" w:space="0" w:color="auto"/>
        <w:left w:val="none" w:sz="0" w:space="0" w:color="auto"/>
        <w:bottom w:val="none" w:sz="0" w:space="0" w:color="auto"/>
        <w:right w:val="none" w:sz="0" w:space="0" w:color="auto"/>
      </w:divBdr>
    </w:div>
    <w:div w:id="1419406660">
      <w:bodyDiv w:val="1"/>
      <w:marLeft w:val="0"/>
      <w:marRight w:val="0"/>
      <w:marTop w:val="0"/>
      <w:marBottom w:val="0"/>
      <w:divBdr>
        <w:top w:val="none" w:sz="0" w:space="0" w:color="auto"/>
        <w:left w:val="none" w:sz="0" w:space="0" w:color="auto"/>
        <w:bottom w:val="none" w:sz="0" w:space="0" w:color="auto"/>
        <w:right w:val="none" w:sz="0" w:space="0" w:color="auto"/>
      </w:divBdr>
    </w:div>
    <w:div w:id="1420830203">
      <w:bodyDiv w:val="1"/>
      <w:marLeft w:val="0"/>
      <w:marRight w:val="0"/>
      <w:marTop w:val="0"/>
      <w:marBottom w:val="0"/>
      <w:divBdr>
        <w:top w:val="none" w:sz="0" w:space="0" w:color="auto"/>
        <w:left w:val="none" w:sz="0" w:space="0" w:color="auto"/>
        <w:bottom w:val="none" w:sz="0" w:space="0" w:color="auto"/>
        <w:right w:val="none" w:sz="0" w:space="0" w:color="auto"/>
      </w:divBdr>
    </w:div>
    <w:div w:id="1436829672">
      <w:bodyDiv w:val="1"/>
      <w:marLeft w:val="0"/>
      <w:marRight w:val="0"/>
      <w:marTop w:val="0"/>
      <w:marBottom w:val="0"/>
      <w:divBdr>
        <w:top w:val="none" w:sz="0" w:space="0" w:color="auto"/>
        <w:left w:val="none" w:sz="0" w:space="0" w:color="auto"/>
        <w:bottom w:val="none" w:sz="0" w:space="0" w:color="auto"/>
        <w:right w:val="none" w:sz="0" w:space="0" w:color="auto"/>
      </w:divBdr>
      <w:divsChild>
        <w:div w:id="1626622016">
          <w:marLeft w:val="0"/>
          <w:marRight w:val="0"/>
          <w:marTop w:val="0"/>
          <w:marBottom w:val="0"/>
          <w:divBdr>
            <w:top w:val="none" w:sz="0" w:space="0" w:color="auto"/>
            <w:left w:val="none" w:sz="0" w:space="0" w:color="auto"/>
            <w:bottom w:val="none" w:sz="0" w:space="0" w:color="auto"/>
            <w:right w:val="none" w:sz="0" w:space="0" w:color="auto"/>
          </w:divBdr>
          <w:divsChild>
            <w:div w:id="1636329999">
              <w:marLeft w:val="0"/>
              <w:marRight w:val="0"/>
              <w:marTop w:val="0"/>
              <w:marBottom w:val="0"/>
              <w:divBdr>
                <w:top w:val="none" w:sz="0" w:space="0" w:color="auto"/>
                <w:left w:val="none" w:sz="0" w:space="0" w:color="auto"/>
                <w:bottom w:val="none" w:sz="0" w:space="0" w:color="auto"/>
                <w:right w:val="none" w:sz="0" w:space="0" w:color="auto"/>
              </w:divBdr>
              <w:divsChild>
                <w:div w:id="1365204557">
                  <w:marLeft w:val="0"/>
                  <w:marRight w:val="0"/>
                  <w:marTop w:val="0"/>
                  <w:marBottom w:val="0"/>
                  <w:divBdr>
                    <w:top w:val="none" w:sz="0" w:space="0" w:color="auto"/>
                    <w:left w:val="none" w:sz="0" w:space="0" w:color="auto"/>
                    <w:bottom w:val="none" w:sz="0" w:space="0" w:color="auto"/>
                    <w:right w:val="none" w:sz="0" w:space="0" w:color="auto"/>
                  </w:divBdr>
                  <w:divsChild>
                    <w:div w:id="153395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003260">
      <w:bodyDiv w:val="1"/>
      <w:marLeft w:val="0"/>
      <w:marRight w:val="0"/>
      <w:marTop w:val="0"/>
      <w:marBottom w:val="0"/>
      <w:divBdr>
        <w:top w:val="none" w:sz="0" w:space="0" w:color="auto"/>
        <w:left w:val="none" w:sz="0" w:space="0" w:color="auto"/>
        <w:bottom w:val="none" w:sz="0" w:space="0" w:color="auto"/>
        <w:right w:val="none" w:sz="0" w:space="0" w:color="auto"/>
      </w:divBdr>
    </w:div>
    <w:div w:id="1451391674">
      <w:bodyDiv w:val="1"/>
      <w:marLeft w:val="0"/>
      <w:marRight w:val="0"/>
      <w:marTop w:val="0"/>
      <w:marBottom w:val="0"/>
      <w:divBdr>
        <w:top w:val="none" w:sz="0" w:space="0" w:color="auto"/>
        <w:left w:val="none" w:sz="0" w:space="0" w:color="auto"/>
        <w:bottom w:val="none" w:sz="0" w:space="0" w:color="auto"/>
        <w:right w:val="none" w:sz="0" w:space="0" w:color="auto"/>
      </w:divBdr>
    </w:div>
    <w:div w:id="1471702754">
      <w:bodyDiv w:val="1"/>
      <w:marLeft w:val="0"/>
      <w:marRight w:val="0"/>
      <w:marTop w:val="0"/>
      <w:marBottom w:val="0"/>
      <w:divBdr>
        <w:top w:val="none" w:sz="0" w:space="0" w:color="auto"/>
        <w:left w:val="none" w:sz="0" w:space="0" w:color="auto"/>
        <w:bottom w:val="none" w:sz="0" w:space="0" w:color="auto"/>
        <w:right w:val="none" w:sz="0" w:space="0" w:color="auto"/>
      </w:divBdr>
    </w:div>
    <w:div w:id="1473208598">
      <w:bodyDiv w:val="1"/>
      <w:marLeft w:val="0"/>
      <w:marRight w:val="0"/>
      <w:marTop w:val="0"/>
      <w:marBottom w:val="0"/>
      <w:divBdr>
        <w:top w:val="none" w:sz="0" w:space="0" w:color="auto"/>
        <w:left w:val="none" w:sz="0" w:space="0" w:color="auto"/>
        <w:bottom w:val="none" w:sz="0" w:space="0" w:color="auto"/>
        <w:right w:val="none" w:sz="0" w:space="0" w:color="auto"/>
      </w:divBdr>
    </w:div>
    <w:div w:id="1474366361">
      <w:bodyDiv w:val="1"/>
      <w:marLeft w:val="0"/>
      <w:marRight w:val="0"/>
      <w:marTop w:val="0"/>
      <w:marBottom w:val="0"/>
      <w:divBdr>
        <w:top w:val="none" w:sz="0" w:space="0" w:color="auto"/>
        <w:left w:val="none" w:sz="0" w:space="0" w:color="auto"/>
        <w:bottom w:val="none" w:sz="0" w:space="0" w:color="auto"/>
        <w:right w:val="none" w:sz="0" w:space="0" w:color="auto"/>
      </w:divBdr>
    </w:div>
    <w:div w:id="1479876750">
      <w:bodyDiv w:val="1"/>
      <w:marLeft w:val="0"/>
      <w:marRight w:val="0"/>
      <w:marTop w:val="0"/>
      <w:marBottom w:val="0"/>
      <w:divBdr>
        <w:top w:val="none" w:sz="0" w:space="0" w:color="auto"/>
        <w:left w:val="none" w:sz="0" w:space="0" w:color="auto"/>
        <w:bottom w:val="none" w:sz="0" w:space="0" w:color="auto"/>
        <w:right w:val="none" w:sz="0" w:space="0" w:color="auto"/>
      </w:divBdr>
    </w:div>
    <w:div w:id="1481848433">
      <w:bodyDiv w:val="1"/>
      <w:marLeft w:val="0"/>
      <w:marRight w:val="0"/>
      <w:marTop w:val="0"/>
      <w:marBottom w:val="0"/>
      <w:divBdr>
        <w:top w:val="none" w:sz="0" w:space="0" w:color="auto"/>
        <w:left w:val="none" w:sz="0" w:space="0" w:color="auto"/>
        <w:bottom w:val="none" w:sz="0" w:space="0" w:color="auto"/>
        <w:right w:val="none" w:sz="0" w:space="0" w:color="auto"/>
      </w:divBdr>
    </w:div>
    <w:div w:id="1484618525">
      <w:bodyDiv w:val="1"/>
      <w:marLeft w:val="0"/>
      <w:marRight w:val="0"/>
      <w:marTop w:val="0"/>
      <w:marBottom w:val="0"/>
      <w:divBdr>
        <w:top w:val="none" w:sz="0" w:space="0" w:color="auto"/>
        <w:left w:val="none" w:sz="0" w:space="0" w:color="auto"/>
        <w:bottom w:val="none" w:sz="0" w:space="0" w:color="auto"/>
        <w:right w:val="none" w:sz="0" w:space="0" w:color="auto"/>
      </w:divBdr>
    </w:div>
    <w:div w:id="1494684210">
      <w:bodyDiv w:val="1"/>
      <w:marLeft w:val="0"/>
      <w:marRight w:val="0"/>
      <w:marTop w:val="0"/>
      <w:marBottom w:val="0"/>
      <w:divBdr>
        <w:top w:val="none" w:sz="0" w:space="0" w:color="auto"/>
        <w:left w:val="none" w:sz="0" w:space="0" w:color="auto"/>
        <w:bottom w:val="none" w:sz="0" w:space="0" w:color="auto"/>
        <w:right w:val="none" w:sz="0" w:space="0" w:color="auto"/>
      </w:divBdr>
    </w:div>
    <w:div w:id="1501191188">
      <w:bodyDiv w:val="1"/>
      <w:marLeft w:val="0"/>
      <w:marRight w:val="0"/>
      <w:marTop w:val="0"/>
      <w:marBottom w:val="0"/>
      <w:divBdr>
        <w:top w:val="none" w:sz="0" w:space="0" w:color="auto"/>
        <w:left w:val="none" w:sz="0" w:space="0" w:color="auto"/>
        <w:bottom w:val="none" w:sz="0" w:space="0" w:color="auto"/>
        <w:right w:val="none" w:sz="0" w:space="0" w:color="auto"/>
      </w:divBdr>
    </w:div>
    <w:div w:id="1510827990">
      <w:bodyDiv w:val="1"/>
      <w:marLeft w:val="0"/>
      <w:marRight w:val="0"/>
      <w:marTop w:val="0"/>
      <w:marBottom w:val="0"/>
      <w:divBdr>
        <w:top w:val="none" w:sz="0" w:space="0" w:color="auto"/>
        <w:left w:val="none" w:sz="0" w:space="0" w:color="auto"/>
        <w:bottom w:val="none" w:sz="0" w:space="0" w:color="auto"/>
        <w:right w:val="none" w:sz="0" w:space="0" w:color="auto"/>
      </w:divBdr>
    </w:div>
    <w:div w:id="1513374298">
      <w:bodyDiv w:val="1"/>
      <w:marLeft w:val="0"/>
      <w:marRight w:val="0"/>
      <w:marTop w:val="0"/>
      <w:marBottom w:val="0"/>
      <w:divBdr>
        <w:top w:val="none" w:sz="0" w:space="0" w:color="auto"/>
        <w:left w:val="none" w:sz="0" w:space="0" w:color="auto"/>
        <w:bottom w:val="none" w:sz="0" w:space="0" w:color="auto"/>
        <w:right w:val="none" w:sz="0" w:space="0" w:color="auto"/>
      </w:divBdr>
    </w:div>
    <w:div w:id="1513567050">
      <w:bodyDiv w:val="1"/>
      <w:marLeft w:val="0"/>
      <w:marRight w:val="0"/>
      <w:marTop w:val="0"/>
      <w:marBottom w:val="0"/>
      <w:divBdr>
        <w:top w:val="none" w:sz="0" w:space="0" w:color="auto"/>
        <w:left w:val="none" w:sz="0" w:space="0" w:color="auto"/>
        <w:bottom w:val="none" w:sz="0" w:space="0" w:color="auto"/>
        <w:right w:val="none" w:sz="0" w:space="0" w:color="auto"/>
      </w:divBdr>
      <w:divsChild>
        <w:div w:id="1336572168">
          <w:marLeft w:val="0"/>
          <w:marRight w:val="0"/>
          <w:marTop w:val="0"/>
          <w:marBottom w:val="0"/>
          <w:divBdr>
            <w:top w:val="none" w:sz="0" w:space="0" w:color="auto"/>
            <w:left w:val="none" w:sz="0" w:space="0" w:color="auto"/>
            <w:bottom w:val="none" w:sz="0" w:space="0" w:color="auto"/>
            <w:right w:val="none" w:sz="0" w:space="0" w:color="auto"/>
          </w:divBdr>
          <w:divsChild>
            <w:div w:id="673075077">
              <w:marLeft w:val="0"/>
              <w:marRight w:val="0"/>
              <w:marTop w:val="0"/>
              <w:marBottom w:val="0"/>
              <w:divBdr>
                <w:top w:val="none" w:sz="0" w:space="0" w:color="auto"/>
                <w:left w:val="none" w:sz="0" w:space="0" w:color="auto"/>
                <w:bottom w:val="none" w:sz="0" w:space="0" w:color="auto"/>
                <w:right w:val="none" w:sz="0" w:space="0" w:color="auto"/>
              </w:divBdr>
              <w:divsChild>
                <w:div w:id="1224952835">
                  <w:marLeft w:val="0"/>
                  <w:marRight w:val="0"/>
                  <w:marTop w:val="0"/>
                  <w:marBottom w:val="0"/>
                  <w:divBdr>
                    <w:top w:val="none" w:sz="0" w:space="0" w:color="auto"/>
                    <w:left w:val="none" w:sz="0" w:space="0" w:color="auto"/>
                    <w:bottom w:val="none" w:sz="0" w:space="0" w:color="auto"/>
                    <w:right w:val="none" w:sz="0" w:space="0" w:color="auto"/>
                  </w:divBdr>
                  <w:divsChild>
                    <w:div w:id="75474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544822">
      <w:bodyDiv w:val="1"/>
      <w:marLeft w:val="0"/>
      <w:marRight w:val="0"/>
      <w:marTop w:val="0"/>
      <w:marBottom w:val="0"/>
      <w:divBdr>
        <w:top w:val="none" w:sz="0" w:space="0" w:color="auto"/>
        <w:left w:val="none" w:sz="0" w:space="0" w:color="auto"/>
        <w:bottom w:val="none" w:sz="0" w:space="0" w:color="auto"/>
        <w:right w:val="none" w:sz="0" w:space="0" w:color="auto"/>
      </w:divBdr>
    </w:div>
    <w:div w:id="1525363517">
      <w:bodyDiv w:val="1"/>
      <w:marLeft w:val="0"/>
      <w:marRight w:val="0"/>
      <w:marTop w:val="0"/>
      <w:marBottom w:val="0"/>
      <w:divBdr>
        <w:top w:val="none" w:sz="0" w:space="0" w:color="auto"/>
        <w:left w:val="none" w:sz="0" w:space="0" w:color="auto"/>
        <w:bottom w:val="none" w:sz="0" w:space="0" w:color="auto"/>
        <w:right w:val="none" w:sz="0" w:space="0" w:color="auto"/>
      </w:divBdr>
    </w:div>
    <w:div w:id="1532188676">
      <w:bodyDiv w:val="1"/>
      <w:marLeft w:val="0"/>
      <w:marRight w:val="0"/>
      <w:marTop w:val="0"/>
      <w:marBottom w:val="0"/>
      <w:divBdr>
        <w:top w:val="none" w:sz="0" w:space="0" w:color="auto"/>
        <w:left w:val="none" w:sz="0" w:space="0" w:color="auto"/>
        <w:bottom w:val="none" w:sz="0" w:space="0" w:color="auto"/>
        <w:right w:val="none" w:sz="0" w:space="0" w:color="auto"/>
      </w:divBdr>
    </w:div>
    <w:div w:id="1533767432">
      <w:bodyDiv w:val="1"/>
      <w:marLeft w:val="0"/>
      <w:marRight w:val="0"/>
      <w:marTop w:val="0"/>
      <w:marBottom w:val="0"/>
      <w:divBdr>
        <w:top w:val="none" w:sz="0" w:space="0" w:color="auto"/>
        <w:left w:val="none" w:sz="0" w:space="0" w:color="auto"/>
        <w:bottom w:val="none" w:sz="0" w:space="0" w:color="auto"/>
        <w:right w:val="none" w:sz="0" w:space="0" w:color="auto"/>
      </w:divBdr>
    </w:div>
    <w:div w:id="1534420275">
      <w:bodyDiv w:val="1"/>
      <w:marLeft w:val="0"/>
      <w:marRight w:val="0"/>
      <w:marTop w:val="0"/>
      <w:marBottom w:val="0"/>
      <w:divBdr>
        <w:top w:val="none" w:sz="0" w:space="0" w:color="auto"/>
        <w:left w:val="none" w:sz="0" w:space="0" w:color="auto"/>
        <w:bottom w:val="none" w:sz="0" w:space="0" w:color="auto"/>
        <w:right w:val="none" w:sz="0" w:space="0" w:color="auto"/>
      </w:divBdr>
    </w:div>
    <w:div w:id="1537087080">
      <w:bodyDiv w:val="1"/>
      <w:marLeft w:val="0"/>
      <w:marRight w:val="0"/>
      <w:marTop w:val="0"/>
      <w:marBottom w:val="0"/>
      <w:divBdr>
        <w:top w:val="none" w:sz="0" w:space="0" w:color="auto"/>
        <w:left w:val="none" w:sz="0" w:space="0" w:color="auto"/>
        <w:bottom w:val="none" w:sz="0" w:space="0" w:color="auto"/>
        <w:right w:val="none" w:sz="0" w:space="0" w:color="auto"/>
      </w:divBdr>
    </w:div>
    <w:div w:id="1540776615">
      <w:bodyDiv w:val="1"/>
      <w:marLeft w:val="0"/>
      <w:marRight w:val="0"/>
      <w:marTop w:val="0"/>
      <w:marBottom w:val="0"/>
      <w:divBdr>
        <w:top w:val="none" w:sz="0" w:space="0" w:color="auto"/>
        <w:left w:val="none" w:sz="0" w:space="0" w:color="auto"/>
        <w:bottom w:val="none" w:sz="0" w:space="0" w:color="auto"/>
        <w:right w:val="none" w:sz="0" w:space="0" w:color="auto"/>
      </w:divBdr>
    </w:div>
    <w:div w:id="1549339023">
      <w:bodyDiv w:val="1"/>
      <w:marLeft w:val="0"/>
      <w:marRight w:val="0"/>
      <w:marTop w:val="0"/>
      <w:marBottom w:val="0"/>
      <w:divBdr>
        <w:top w:val="none" w:sz="0" w:space="0" w:color="auto"/>
        <w:left w:val="none" w:sz="0" w:space="0" w:color="auto"/>
        <w:bottom w:val="none" w:sz="0" w:space="0" w:color="auto"/>
        <w:right w:val="none" w:sz="0" w:space="0" w:color="auto"/>
      </w:divBdr>
    </w:div>
    <w:div w:id="1550339234">
      <w:bodyDiv w:val="1"/>
      <w:marLeft w:val="0"/>
      <w:marRight w:val="0"/>
      <w:marTop w:val="0"/>
      <w:marBottom w:val="0"/>
      <w:divBdr>
        <w:top w:val="none" w:sz="0" w:space="0" w:color="auto"/>
        <w:left w:val="none" w:sz="0" w:space="0" w:color="auto"/>
        <w:bottom w:val="none" w:sz="0" w:space="0" w:color="auto"/>
        <w:right w:val="none" w:sz="0" w:space="0" w:color="auto"/>
      </w:divBdr>
    </w:div>
    <w:div w:id="1561939307">
      <w:bodyDiv w:val="1"/>
      <w:marLeft w:val="0"/>
      <w:marRight w:val="0"/>
      <w:marTop w:val="0"/>
      <w:marBottom w:val="0"/>
      <w:divBdr>
        <w:top w:val="none" w:sz="0" w:space="0" w:color="auto"/>
        <w:left w:val="none" w:sz="0" w:space="0" w:color="auto"/>
        <w:bottom w:val="none" w:sz="0" w:space="0" w:color="auto"/>
        <w:right w:val="none" w:sz="0" w:space="0" w:color="auto"/>
      </w:divBdr>
    </w:div>
    <w:div w:id="1569460964">
      <w:bodyDiv w:val="1"/>
      <w:marLeft w:val="0"/>
      <w:marRight w:val="0"/>
      <w:marTop w:val="0"/>
      <w:marBottom w:val="0"/>
      <w:divBdr>
        <w:top w:val="none" w:sz="0" w:space="0" w:color="auto"/>
        <w:left w:val="none" w:sz="0" w:space="0" w:color="auto"/>
        <w:bottom w:val="none" w:sz="0" w:space="0" w:color="auto"/>
        <w:right w:val="none" w:sz="0" w:space="0" w:color="auto"/>
      </w:divBdr>
    </w:div>
    <w:div w:id="1580559724">
      <w:bodyDiv w:val="1"/>
      <w:marLeft w:val="0"/>
      <w:marRight w:val="0"/>
      <w:marTop w:val="0"/>
      <w:marBottom w:val="0"/>
      <w:divBdr>
        <w:top w:val="none" w:sz="0" w:space="0" w:color="auto"/>
        <w:left w:val="none" w:sz="0" w:space="0" w:color="auto"/>
        <w:bottom w:val="none" w:sz="0" w:space="0" w:color="auto"/>
        <w:right w:val="none" w:sz="0" w:space="0" w:color="auto"/>
      </w:divBdr>
    </w:div>
    <w:div w:id="1582836449">
      <w:bodyDiv w:val="1"/>
      <w:marLeft w:val="0"/>
      <w:marRight w:val="0"/>
      <w:marTop w:val="0"/>
      <w:marBottom w:val="0"/>
      <w:divBdr>
        <w:top w:val="none" w:sz="0" w:space="0" w:color="auto"/>
        <w:left w:val="none" w:sz="0" w:space="0" w:color="auto"/>
        <w:bottom w:val="none" w:sz="0" w:space="0" w:color="auto"/>
        <w:right w:val="none" w:sz="0" w:space="0" w:color="auto"/>
      </w:divBdr>
    </w:div>
    <w:div w:id="1589189409">
      <w:bodyDiv w:val="1"/>
      <w:marLeft w:val="0"/>
      <w:marRight w:val="0"/>
      <w:marTop w:val="0"/>
      <w:marBottom w:val="0"/>
      <w:divBdr>
        <w:top w:val="none" w:sz="0" w:space="0" w:color="auto"/>
        <w:left w:val="none" w:sz="0" w:space="0" w:color="auto"/>
        <w:bottom w:val="none" w:sz="0" w:space="0" w:color="auto"/>
        <w:right w:val="none" w:sz="0" w:space="0" w:color="auto"/>
      </w:divBdr>
    </w:div>
    <w:div w:id="1593318584">
      <w:bodyDiv w:val="1"/>
      <w:marLeft w:val="0"/>
      <w:marRight w:val="0"/>
      <w:marTop w:val="0"/>
      <w:marBottom w:val="0"/>
      <w:divBdr>
        <w:top w:val="none" w:sz="0" w:space="0" w:color="auto"/>
        <w:left w:val="none" w:sz="0" w:space="0" w:color="auto"/>
        <w:bottom w:val="none" w:sz="0" w:space="0" w:color="auto"/>
        <w:right w:val="none" w:sz="0" w:space="0" w:color="auto"/>
      </w:divBdr>
    </w:div>
    <w:div w:id="1595360036">
      <w:bodyDiv w:val="1"/>
      <w:marLeft w:val="0"/>
      <w:marRight w:val="0"/>
      <w:marTop w:val="0"/>
      <w:marBottom w:val="0"/>
      <w:divBdr>
        <w:top w:val="none" w:sz="0" w:space="0" w:color="auto"/>
        <w:left w:val="none" w:sz="0" w:space="0" w:color="auto"/>
        <w:bottom w:val="none" w:sz="0" w:space="0" w:color="auto"/>
        <w:right w:val="none" w:sz="0" w:space="0" w:color="auto"/>
      </w:divBdr>
    </w:div>
    <w:div w:id="1597907535">
      <w:bodyDiv w:val="1"/>
      <w:marLeft w:val="0"/>
      <w:marRight w:val="0"/>
      <w:marTop w:val="0"/>
      <w:marBottom w:val="0"/>
      <w:divBdr>
        <w:top w:val="none" w:sz="0" w:space="0" w:color="auto"/>
        <w:left w:val="none" w:sz="0" w:space="0" w:color="auto"/>
        <w:bottom w:val="none" w:sz="0" w:space="0" w:color="auto"/>
        <w:right w:val="none" w:sz="0" w:space="0" w:color="auto"/>
      </w:divBdr>
      <w:divsChild>
        <w:div w:id="760563873">
          <w:marLeft w:val="0"/>
          <w:marRight w:val="0"/>
          <w:marTop w:val="0"/>
          <w:marBottom w:val="0"/>
          <w:divBdr>
            <w:top w:val="none" w:sz="0" w:space="0" w:color="auto"/>
            <w:left w:val="none" w:sz="0" w:space="0" w:color="auto"/>
            <w:bottom w:val="none" w:sz="0" w:space="0" w:color="auto"/>
            <w:right w:val="none" w:sz="0" w:space="0" w:color="auto"/>
          </w:divBdr>
          <w:divsChild>
            <w:div w:id="25833483">
              <w:marLeft w:val="0"/>
              <w:marRight w:val="0"/>
              <w:marTop w:val="0"/>
              <w:marBottom w:val="0"/>
              <w:divBdr>
                <w:top w:val="none" w:sz="0" w:space="0" w:color="auto"/>
                <w:left w:val="none" w:sz="0" w:space="0" w:color="auto"/>
                <w:bottom w:val="none" w:sz="0" w:space="0" w:color="auto"/>
                <w:right w:val="none" w:sz="0" w:space="0" w:color="auto"/>
              </w:divBdr>
              <w:divsChild>
                <w:div w:id="1693142842">
                  <w:marLeft w:val="0"/>
                  <w:marRight w:val="0"/>
                  <w:marTop w:val="0"/>
                  <w:marBottom w:val="0"/>
                  <w:divBdr>
                    <w:top w:val="none" w:sz="0" w:space="0" w:color="auto"/>
                    <w:left w:val="none" w:sz="0" w:space="0" w:color="auto"/>
                    <w:bottom w:val="none" w:sz="0" w:space="0" w:color="auto"/>
                    <w:right w:val="none" w:sz="0" w:space="0" w:color="auto"/>
                  </w:divBdr>
                  <w:divsChild>
                    <w:div w:id="1875539982">
                      <w:marLeft w:val="0"/>
                      <w:marRight w:val="0"/>
                      <w:marTop w:val="0"/>
                      <w:marBottom w:val="0"/>
                      <w:divBdr>
                        <w:top w:val="none" w:sz="0" w:space="0" w:color="auto"/>
                        <w:left w:val="none" w:sz="0" w:space="0" w:color="auto"/>
                        <w:bottom w:val="none" w:sz="0" w:space="0" w:color="auto"/>
                        <w:right w:val="none" w:sz="0" w:space="0" w:color="auto"/>
                      </w:divBdr>
                      <w:divsChild>
                        <w:div w:id="1168860290">
                          <w:marLeft w:val="0"/>
                          <w:marRight w:val="0"/>
                          <w:marTop w:val="0"/>
                          <w:marBottom w:val="0"/>
                          <w:divBdr>
                            <w:top w:val="none" w:sz="0" w:space="0" w:color="auto"/>
                            <w:left w:val="none" w:sz="0" w:space="0" w:color="auto"/>
                            <w:bottom w:val="none" w:sz="0" w:space="0" w:color="auto"/>
                            <w:right w:val="none" w:sz="0" w:space="0" w:color="auto"/>
                          </w:divBdr>
                          <w:divsChild>
                            <w:div w:id="162017015">
                              <w:marLeft w:val="0"/>
                              <w:marRight w:val="0"/>
                              <w:marTop w:val="0"/>
                              <w:marBottom w:val="0"/>
                              <w:divBdr>
                                <w:top w:val="none" w:sz="0" w:space="0" w:color="auto"/>
                                <w:left w:val="none" w:sz="0" w:space="0" w:color="auto"/>
                                <w:bottom w:val="none" w:sz="0" w:space="0" w:color="auto"/>
                                <w:right w:val="none" w:sz="0" w:space="0" w:color="auto"/>
                              </w:divBdr>
                              <w:divsChild>
                                <w:div w:id="1169564771">
                                  <w:marLeft w:val="0"/>
                                  <w:marRight w:val="0"/>
                                  <w:marTop w:val="0"/>
                                  <w:marBottom w:val="0"/>
                                  <w:divBdr>
                                    <w:top w:val="none" w:sz="0" w:space="0" w:color="auto"/>
                                    <w:left w:val="none" w:sz="0" w:space="0" w:color="auto"/>
                                    <w:bottom w:val="none" w:sz="0" w:space="0" w:color="auto"/>
                                    <w:right w:val="none" w:sz="0" w:space="0" w:color="auto"/>
                                  </w:divBdr>
                                  <w:divsChild>
                                    <w:div w:id="432167614">
                                      <w:marLeft w:val="0"/>
                                      <w:marRight w:val="0"/>
                                      <w:marTop w:val="0"/>
                                      <w:marBottom w:val="0"/>
                                      <w:divBdr>
                                        <w:top w:val="none" w:sz="0" w:space="0" w:color="auto"/>
                                        <w:left w:val="none" w:sz="0" w:space="0" w:color="auto"/>
                                        <w:bottom w:val="none" w:sz="0" w:space="0" w:color="auto"/>
                                        <w:right w:val="none" w:sz="0" w:space="0" w:color="auto"/>
                                      </w:divBdr>
                                      <w:divsChild>
                                        <w:div w:id="1026905078">
                                          <w:marLeft w:val="0"/>
                                          <w:marRight w:val="0"/>
                                          <w:marTop w:val="0"/>
                                          <w:marBottom w:val="0"/>
                                          <w:divBdr>
                                            <w:top w:val="none" w:sz="0" w:space="0" w:color="auto"/>
                                            <w:left w:val="none" w:sz="0" w:space="0" w:color="auto"/>
                                            <w:bottom w:val="none" w:sz="0" w:space="0" w:color="auto"/>
                                            <w:right w:val="none" w:sz="0" w:space="0" w:color="auto"/>
                                          </w:divBdr>
                                          <w:divsChild>
                                            <w:div w:id="1736976722">
                                              <w:marLeft w:val="0"/>
                                              <w:marRight w:val="0"/>
                                              <w:marTop w:val="0"/>
                                              <w:marBottom w:val="0"/>
                                              <w:divBdr>
                                                <w:top w:val="none" w:sz="0" w:space="0" w:color="auto"/>
                                                <w:left w:val="none" w:sz="0" w:space="0" w:color="auto"/>
                                                <w:bottom w:val="none" w:sz="0" w:space="0" w:color="auto"/>
                                                <w:right w:val="none" w:sz="0" w:space="0" w:color="auto"/>
                                              </w:divBdr>
                                              <w:divsChild>
                                                <w:div w:id="1840848270">
                                                  <w:marLeft w:val="0"/>
                                                  <w:marRight w:val="0"/>
                                                  <w:marTop w:val="0"/>
                                                  <w:marBottom w:val="0"/>
                                                  <w:divBdr>
                                                    <w:top w:val="none" w:sz="0" w:space="0" w:color="auto"/>
                                                    <w:left w:val="none" w:sz="0" w:space="0" w:color="auto"/>
                                                    <w:bottom w:val="none" w:sz="0" w:space="0" w:color="auto"/>
                                                    <w:right w:val="none" w:sz="0" w:space="0" w:color="auto"/>
                                                  </w:divBdr>
                                                  <w:divsChild>
                                                    <w:div w:id="1851408842">
                                                      <w:marLeft w:val="0"/>
                                                      <w:marRight w:val="0"/>
                                                      <w:marTop w:val="0"/>
                                                      <w:marBottom w:val="0"/>
                                                      <w:divBdr>
                                                        <w:top w:val="none" w:sz="0" w:space="0" w:color="auto"/>
                                                        <w:left w:val="none" w:sz="0" w:space="0" w:color="auto"/>
                                                        <w:bottom w:val="none" w:sz="0" w:space="0" w:color="auto"/>
                                                        <w:right w:val="none" w:sz="0" w:space="0" w:color="auto"/>
                                                      </w:divBdr>
                                                      <w:divsChild>
                                                        <w:div w:id="196958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4577188">
      <w:bodyDiv w:val="1"/>
      <w:marLeft w:val="0"/>
      <w:marRight w:val="0"/>
      <w:marTop w:val="0"/>
      <w:marBottom w:val="0"/>
      <w:divBdr>
        <w:top w:val="none" w:sz="0" w:space="0" w:color="auto"/>
        <w:left w:val="none" w:sz="0" w:space="0" w:color="auto"/>
        <w:bottom w:val="none" w:sz="0" w:space="0" w:color="auto"/>
        <w:right w:val="none" w:sz="0" w:space="0" w:color="auto"/>
      </w:divBdr>
    </w:div>
    <w:div w:id="1628705227">
      <w:bodyDiv w:val="1"/>
      <w:marLeft w:val="0"/>
      <w:marRight w:val="0"/>
      <w:marTop w:val="0"/>
      <w:marBottom w:val="0"/>
      <w:divBdr>
        <w:top w:val="none" w:sz="0" w:space="0" w:color="auto"/>
        <w:left w:val="none" w:sz="0" w:space="0" w:color="auto"/>
        <w:bottom w:val="none" w:sz="0" w:space="0" w:color="auto"/>
        <w:right w:val="none" w:sz="0" w:space="0" w:color="auto"/>
      </w:divBdr>
      <w:divsChild>
        <w:div w:id="799693075">
          <w:marLeft w:val="0"/>
          <w:marRight w:val="0"/>
          <w:marTop w:val="0"/>
          <w:marBottom w:val="0"/>
          <w:divBdr>
            <w:top w:val="none" w:sz="0" w:space="0" w:color="auto"/>
            <w:left w:val="none" w:sz="0" w:space="0" w:color="auto"/>
            <w:bottom w:val="none" w:sz="0" w:space="0" w:color="auto"/>
            <w:right w:val="none" w:sz="0" w:space="0" w:color="auto"/>
          </w:divBdr>
        </w:div>
      </w:divsChild>
    </w:div>
    <w:div w:id="1636566321">
      <w:bodyDiv w:val="1"/>
      <w:marLeft w:val="0"/>
      <w:marRight w:val="0"/>
      <w:marTop w:val="0"/>
      <w:marBottom w:val="0"/>
      <w:divBdr>
        <w:top w:val="none" w:sz="0" w:space="0" w:color="auto"/>
        <w:left w:val="none" w:sz="0" w:space="0" w:color="auto"/>
        <w:bottom w:val="none" w:sz="0" w:space="0" w:color="auto"/>
        <w:right w:val="none" w:sz="0" w:space="0" w:color="auto"/>
      </w:divBdr>
      <w:divsChild>
        <w:div w:id="621347039">
          <w:marLeft w:val="0"/>
          <w:marRight w:val="0"/>
          <w:marTop w:val="0"/>
          <w:marBottom w:val="0"/>
          <w:divBdr>
            <w:top w:val="none" w:sz="0" w:space="0" w:color="auto"/>
            <w:left w:val="none" w:sz="0" w:space="0" w:color="auto"/>
            <w:bottom w:val="none" w:sz="0" w:space="0" w:color="auto"/>
            <w:right w:val="none" w:sz="0" w:space="0" w:color="auto"/>
          </w:divBdr>
        </w:div>
      </w:divsChild>
    </w:div>
    <w:div w:id="1639263665">
      <w:bodyDiv w:val="1"/>
      <w:marLeft w:val="0"/>
      <w:marRight w:val="0"/>
      <w:marTop w:val="0"/>
      <w:marBottom w:val="0"/>
      <w:divBdr>
        <w:top w:val="none" w:sz="0" w:space="0" w:color="auto"/>
        <w:left w:val="none" w:sz="0" w:space="0" w:color="auto"/>
        <w:bottom w:val="none" w:sz="0" w:space="0" w:color="auto"/>
        <w:right w:val="none" w:sz="0" w:space="0" w:color="auto"/>
      </w:divBdr>
    </w:div>
    <w:div w:id="1642032745">
      <w:bodyDiv w:val="1"/>
      <w:marLeft w:val="0"/>
      <w:marRight w:val="0"/>
      <w:marTop w:val="0"/>
      <w:marBottom w:val="0"/>
      <w:divBdr>
        <w:top w:val="none" w:sz="0" w:space="0" w:color="auto"/>
        <w:left w:val="none" w:sz="0" w:space="0" w:color="auto"/>
        <w:bottom w:val="none" w:sz="0" w:space="0" w:color="auto"/>
        <w:right w:val="none" w:sz="0" w:space="0" w:color="auto"/>
      </w:divBdr>
    </w:div>
    <w:div w:id="1644386677">
      <w:bodyDiv w:val="1"/>
      <w:marLeft w:val="0"/>
      <w:marRight w:val="0"/>
      <w:marTop w:val="0"/>
      <w:marBottom w:val="0"/>
      <w:divBdr>
        <w:top w:val="none" w:sz="0" w:space="0" w:color="auto"/>
        <w:left w:val="none" w:sz="0" w:space="0" w:color="auto"/>
        <w:bottom w:val="none" w:sz="0" w:space="0" w:color="auto"/>
        <w:right w:val="none" w:sz="0" w:space="0" w:color="auto"/>
      </w:divBdr>
    </w:div>
    <w:div w:id="1659310167">
      <w:bodyDiv w:val="1"/>
      <w:marLeft w:val="0"/>
      <w:marRight w:val="0"/>
      <w:marTop w:val="0"/>
      <w:marBottom w:val="0"/>
      <w:divBdr>
        <w:top w:val="none" w:sz="0" w:space="0" w:color="auto"/>
        <w:left w:val="none" w:sz="0" w:space="0" w:color="auto"/>
        <w:bottom w:val="none" w:sz="0" w:space="0" w:color="auto"/>
        <w:right w:val="none" w:sz="0" w:space="0" w:color="auto"/>
      </w:divBdr>
    </w:div>
    <w:div w:id="1663001204">
      <w:bodyDiv w:val="1"/>
      <w:marLeft w:val="0"/>
      <w:marRight w:val="0"/>
      <w:marTop w:val="0"/>
      <w:marBottom w:val="0"/>
      <w:divBdr>
        <w:top w:val="none" w:sz="0" w:space="0" w:color="auto"/>
        <w:left w:val="none" w:sz="0" w:space="0" w:color="auto"/>
        <w:bottom w:val="none" w:sz="0" w:space="0" w:color="auto"/>
        <w:right w:val="none" w:sz="0" w:space="0" w:color="auto"/>
      </w:divBdr>
    </w:div>
    <w:div w:id="1675066099">
      <w:bodyDiv w:val="1"/>
      <w:marLeft w:val="0"/>
      <w:marRight w:val="0"/>
      <w:marTop w:val="0"/>
      <w:marBottom w:val="0"/>
      <w:divBdr>
        <w:top w:val="none" w:sz="0" w:space="0" w:color="auto"/>
        <w:left w:val="none" w:sz="0" w:space="0" w:color="auto"/>
        <w:bottom w:val="none" w:sz="0" w:space="0" w:color="auto"/>
        <w:right w:val="none" w:sz="0" w:space="0" w:color="auto"/>
      </w:divBdr>
    </w:div>
    <w:div w:id="1677613054">
      <w:bodyDiv w:val="1"/>
      <w:marLeft w:val="0"/>
      <w:marRight w:val="0"/>
      <w:marTop w:val="0"/>
      <w:marBottom w:val="0"/>
      <w:divBdr>
        <w:top w:val="none" w:sz="0" w:space="0" w:color="auto"/>
        <w:left w:val="none" w:sz="0" w:space="0" w:color="auto"/>
        <w:bottom w:val="none" w:sz="0" w:space="0" w:color="auto"/>
        <w:right w:val="none" w:sz="0" w:space="0" w:color="auto"/>
      </w:divBdr>
      <w:divsChild>
        <w:div w:id="236744297">
          <w:marLeft w:val="0"/>
          <w:marRight w:val="0"/>
          <w:marTop w:val="0"/>
          <w:marBottom w:val="0"/>
          <w:divBdr>
            <w:top w:val="none" w:sz="0" w:space="0" w:color="auto"/>
            <w:left w:val="none" w:sz="0" w:space="0" w:color="auto"/>
            <w:bottom w:val="none" w:sz="0" w:space="0" w:color="auto"/>
            <w:right w:val="none" w:sz="0" w:space="0" w:color="auto"/>
          </w:divBdr>
          <w:divsChild>
            <w:div w:id="25762268">
              <w:marLeft w:val="0"/>
              <w:marRight w:val="0"/>
              <w:marTop w:val="0"/>
              <w:marBottom w:val="0"/>
              <w:divBdr>
                <w:top w:val="none" w:sz="0" w:space="0" w:color="auto"/>
                <w:left w:val="none" w:sz="0" w:space="0" w:color="auto"/>
                <w:bottom w:val="none" w:sz="0" w:space="0" w:color="auto"/>
                <w:right w:val="none" w:sz="0" w:space="0" w:color="auto"/>
              </w:divBdr>
              <w:divsChild>
                <w:div w:id="487553736">
                  <w:marLeft w:val="0"/>
                  <w:marRight w:val="0"/>
                  <w:marTop w:val="0"/>
                  <w:marBottom w:val="0"/>
                  <w:divBdr>
                    <w:top w:val="none" w:sz="0" w:space="0" w:color="auto"/>
                    <w:left w:val="none" w:sz="0" w:space="0" w:color="auto"/>
                    <w:bottom w:val="none" w:sz="0" w:space="0" w:color="auto"/>
                    <w:right w:val="none" w:sz="0" w:space="0" w:color="auto"/>
                  </w:divBdr>
                  <w:divsChild>
                    <w:div w:id="1072660073">
                      <w:marLeft w:val="0"/>
                      <w:marRight w:val="0"/>
                      <w:marTop w:val="0"/>
                      <w:marBottom w:val="0"/>
                      <w:divBdr>
                        <w:top w:val="none" w:sz="0" w:space="0" w:color="auto"/>
                        <w:left w:val="none" w:sz="0" w:space="0" w:color="auto"/>
                        <w:bottom w:val="none" w:sz="0" w:space="0" w:color="auto"/>
                        <w:right w:val="none" w:sz="0" w:space="0" w:color="auto"/>
                      </w:divBdr>
                      <w:divsChild>
                        <w:div w:id="1857426422">
                          <w:marLeft w:val="0"/>
                          <w:marRight w:val="0"/>
                          <w:marTop w:val="0"/>
                          <w:marBottom w:val="0"/>
                          <w:divBdr>
                            <w:top w:val="none" w:sz="0" w:space="0" w:color="auto"/>
                            <w:left w:val="none" w:sz="0" w:space="0" w:color="auto"/>
                            <w:bottom w:val="none" w:sz="0" w:space="0" w:color="auto"/>
                            <w:right w:val="none" w:sz="0" w:space="0" w:color="auto"/>
                          </w:divBdr>
                          <w:divsChild>
                            <w:div w:id="1736271195">
                              <w:marLeft w:val="0"/>
                              <w:marRight w:val="0"/>
                              <w:marTop w:val="0"/>
                              <w:marBottom w:val="0"/>
                              <w:divBdr>
                                <w:top w:val="none" w:sz="0" w:space="0" w:color="auto"/>
                                <w:left w:val="none" w:sz="0" w:space="0" w:color="auto"/>
                                <w:bottom w:val="none" w:sz="0" w:space="0" w:color="auto"/>
                                <w:right w:val="none" w:sz="0" w:space="0" w:color="auto"/>
                              </w:divBdr>
                              <w:divsChild>
                                <w:div w:id="1910000771">
                                  <w:marLeft w:val="0"/>
                                  <w:marRight w:val="0"/>
                                  <w:marTop w:val="0"/>
                                  <w:marBottom w:val="0"/>
                                  <w:divBdr>
                                    <w:top w:val="none" w:sz="0" w:space="0" w:color="auto"/>
                                    <w:left w:val="none" w:sz="0" w:space="0" w:color="auto"/>
                                    <w:bottom w:val="none" w:sz="0" w:space="0" w:color="auto"/>
                                    <w:right w:val="none" w:sz="0" w:space="0" w:color="auto"/>
                                  </w:divBdr>
                                  <w:divsChild>
                                    <w:div w:id="1796942694">
                                      <w:marLeft w:val="0"/>
                                      <w:marRight w:val="0"/>
                                      <w:marTop w:val="0"/>
                                      <w:marBottom w:val="0"/>
                                      <w:divBdr>
                                        <w:top w:val="none" w:sz="0" w:space="0" w:color="auto"/>
                                        <w:left w:val="none" w:sz="0" w:space="0" w:color="auto"/>
                                        <w:bottom w:val="none" w:sz="0" w:space="0" w:color="auto"/>
                                        <w:right w:val="none" w:sz="0" w:space="0" w:color="auto"/>
                                      </w:divBdr>
                                      <w:divsChild>
                                        <w:div w:id="33315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9237419">
      <w:bodyDiv w:val="1"/>
      <w:marLeft w:val="0"/>
      <w:marRight w:val="0"/>
      <w:marTop w:val="0"/>
      <w:marBottom w:val="0"/>
      <w:divBdr>
        <w:top w:val="none" w:sz="0" w:space="0" w:color="auto"/>
        <w:left w:val="none" w:sz="0" w:space="0" w:color="auto"/>
        <w:bottom w:val="none" w:sz="0" w:space="0" w:color="auto"/>
        <w:right w:val="none" w:sz="0" w:space="0" w:color="auto"/>
      </w:divBdr>
    </w:div>
    <w:div w:id="1682396053">
      <w:bodyDiv w:val="1"/>
      <w:marLeft w:val="0"/>
      <w:marRight w:val="0"/>
      <w:marTop w:val="0"/>
      <w:marBottom w:val="0"/>
      <w:divBdr>
        <w:top w:val="none" w:sz="0" w:space="0" w:color="auto"/>
        <w:left w:val="none" w:sz="0" w:space="0" w:color="auto"/>
        <w:bottom w:val="none" w:sz="0" w:space="0" w:color="auto"/>
        <w:right w:val="none" w:sz="0" w:space="0" w:color="auto"/>
      </w:divBdr>
    </w:div>
    <w:div w:id="1688555412">
      <w:bodyDiv w:val="1"/>
      <w:marLeft w:val="0"/>
      <w:marRight w:val="0"/>
      <w:marTop w:val="0"/>
      <w:marBottom w:val="0"/>
      <w:divBdr>
        <w:top w:val="none" w:sz="0" w:space="0" w:color="auto"/>
        <w:left w:val="none" w:sz="0" w:space="0" w:color="auto"/>
        <w:bottom w:val="none" w:sz="0" w:space="0" w:color="auto"/>
        <w:right w:val="none" w:sz="0" w:space="0" w:color="auto"/>
      </w:divBdr>
    </w:div>
    <w:div w:id="1696955608">
      <w:bodyDiv w:val="1"/>
      <w:marLeft w:val="0"/>
      <w:marRight w:val="0"/>
      <w:marTop w:val="0"/>
      <w:marBottom w:val="0"/>
      <w:divBdr>
        <w:top w:val="none" w:sz="0" w:space="0" w:color="auto"/>
        <w:left w:val="none" w:sz="0" w:space="0" w:color="auto"/>
        <w:bottom w:val="none" w:sz="0" w:space="0" w:color="auto"/>
        <w:right w:val="none" w:sz="0" w:space="0" w:color="auto"/>
      </w:divBdr>
    </w:div>
    <w:div w:id="1708289624">
      <w:bodyDiv w:val="1"/>
      <w:marLeft w:val="0"/>
      <w:marRight w:val="0"/>
      <w:marTop w:val="0"/>
      <w:marBottom w:val="0"/>
      <w:divBdr>
        <w:top w:val="none" w:sz="0" w:space="0" w:color="auto"/>
        <w:left w:val="none" w:sz="0" w:space="0" w:color="auto"/>
        <w:bottom w:val="none" w:sz="0" w:space="0" w:color="auto"/>
        <w:right w:val="none" w:sz="0" w:space="0" w:color="auto"/>
      </w:divBdr>
    </w:div>
    <w:div w:id="1713386065">
      <w:bodyDiv w:val="1"/>
      <w:marLeft w:val="0"/>
      <w:marRight w:val="0"/>
      <w:marTop w:val="0"/>
      <w:marBottom w:val="0"/>
      <w:divBdr>
        <w:top w:val="none" w:sz="0" w:space="0" w:color="auto"/>
        <w:left w:val="none" w:sz="0" w:space="0" w:color="auto"/>
        <w:bottom w:val="none" w:sz="0" w:space="0" w:color="auto"/>
        <w:right w:val="none" w:sz="0" w:space="0" w:color="auto"/>
      </w:divBdr>
    </w:div>
    <w:div w:id="1716079687">
      <w:bodyDiv w:val="1"/>
      <w:marLeft w:val="0"/>
      <w:marRight w:val="0"/>
      <w:marTop w:val="0"/>
      <w:marBottom w:val="0"/>
      <w:divBdr>
        <w:top w:val="none" w:sz="0" w:space="0" w:color="auto"/>
        <w:left w:val="none" w:sz="0" w:space="0" w:color="auto"/>
        <w:bottom w:val="none" w:sz="0" w:space="0" w:color="auto"/>
        <w:right w:val="none" w:sz="0" w:space="0" w:color="auto"/>
      </w:divBdr>
    </w:div>
    <w:div w:id="1722821675">
      <w:bodyDiv w:val="1"/>
      <w:marLeft w:val="0"/>
      <w:marRight w:val="0"/>
      <w:marTop w:val="0"/>
      <w:marBottom w:val="0"/>
      <w:divBdr>
        <w:top w:val="none" w:sz="0" w:space="0" w:color="auto"/>
        <w:left w:val="none" w:sz="0" w:space="0" w:color="auto"/>
        <w:bottom w:val="none" w:sz="0" w:space="0" w:color="auto"/>
        <w:right w:val="none" w:sz="0" w:space="0" w:color="auto"/>
      </w:divBdr>
    </w:div>
    <w:div w:id="1728214461">
      <w:bodyDiv w:val="1"/>
      <w:marLeft w:val="0"/>
      <w:marRight w:val="0"/>
      <w:marTop w:val="0"/>
      <w:marBottom w:val="0"/>
      <w:divBdr>
        <w:top w:val="none" w:sz="0" w:space="0" w:color="auto"/>
        <w:left w:val="none" w:sz="0" w:space="0" w:color="auto"/>
        <w:bottom w:val="none" w:sz="0" w:space="0" w:color="auto"/>
        <w:right w:val="none" w:sz="0" w:space="0" w:color="auto"/>
      </w:divBdr>
    </w:div>
    <w:div w:id="1731340149">
      <w:bodyDiv w:val="1"/>
      <w:marLeft w:val="0"/>
      <w:marRight w:val="0"/>
      <w:marTop w:val="0"/>
      <w:marBottom w:val="0"/>
      <w:divBdr>
        <w:top w:val="none" w:sz="0" w:space="0" w:color="auto"/>
        <w:left w:val="none" w:sz="0" w:space="0" w:color="auto"/>
        <w:bottom w:val="none" w:sz="0" w:space="0" w:color="auto"/>
        <w:right w:val="none" w:sz="0" w:space="0" w:color="auto"/>
      </w:divBdr>
    </w:div>
    <w:div w:id="1739665067">
      <w:bodyDiv w:val="1"/>
      <w:marLeft w:val="0"/>
      <w:marRight w:val="0"/>
      <w:marTop w:val="0"/>
      <w:marBottom w:val="0"/>
      <w:divBdr>
        <w:top w:val="none" w:sz="0" w:space="0" w:color="auto"/>
        <w:left w:val="none" w:sz="0" w:space="0" w:color="auto"/>
        <w:bottom w:val="none" w:sz="0" w:space="0" w:color="auto"/>
        <w:right w:val="none" w:sz="0" w:space="0" w:color="auto"/>
      </w:divBdr>
    </w:div>
    <w:div w:id="1743872628">
      <w:bodyDiv w:val="1"/>
      <w:marLeft w:val="0"/>
      <w:marRight w:val="0"/>
      <w:marTop w:val="0"/>
      <w:marBottom w:val="0"/>
      <w:divBdr>
        <w:top w:val="none" w:sz="0" w:space="0" w:color="auto"/>
        <w:left w:val="none" w:sz="0" w:space="0" w:color="auto"/>
        <w:bottom w:val="none" w:sz="0" w:space="0" w:color="auto"/>
        <w:right w:val="none" w:sz="0" w:space="0" w:color="auto"/>
      </w:divBdr>
    </w:div>
    <w:div w:id="1750348442">
      <w:bodyDiv w:val="1"/>
      <w:marLeft w:val="0"/>
      <w:marRight w:val="0"/>
      <w:marTop w:val="0"/>
      <w:marBottom w:val="0"/>
      <w:divBdr>
        <w:top w:val="none" w:sz="0" w:space="0" w:color="auto"/>
        <w:left w:val="none" w:sz="0" w:space="0" w:color="auto"/>
        <w:bottom w:val="none" w:sz="0" w:space="0" w:color="auto"/>
        <w:right w:val="none" w:sz="0" w:space="0" w:color="auto"/>
      </w:divBdr>
    </w:div>
    <w:div w:id="1754008789">
      <w:bodyDiv w:val="1"/>
      <w:marLeft w:val="0"/>
      <w:marRight w:val="0"/>
      <w:marTop w:val="0"/>
      <w:marBottom w:val="0"/>
      <w:divBdr>
        <w:top w:val="none" w:sz="0" w:space="0" w:color="auto"/>
        <w:left w:val="none" w:sz="0" w:space="0" w:color="auto"/>
        <w:bottom w:val="none" w:sz="0" w:space="0" w:color="auto"/>
        <w:right w:val="none" w:sz="0" w:space="0" w:color="auto"/>
      </w:divBdr>
    </w:div>
    <w:div w:id="1754818580">
      <w:bodyDiv w:val="1"/>
      <w:marLeft w:val="0"/>
      <w:marRight w:val="0"/>
      <w:marTop w:val="0"/>
      <w:marBottom w:val="0"/>
      <w:divBdr>
        <w:top w:val="none" w:sz="0" w:space="0" w:color="auto"/>
        <w:left w:val="none" w:sz="0" w:space="0" w:color="auto"/>
        <w:bottom w:val="none" w:sz="0" w:space="0" w:color="auto"/>
        <w:right w:val="none" w:sz="0" w:space="0" w:color="auto"/>
      </w:divBdr>
    </w:div>
    <w:div w:id="1765758325">
      <w:bodyDiv w:val="1"/>
      <w:marLeft w:val="0"/>
      <w:marRight w:val="0"/>
      <w:marTop w:val="0"/>
      <w:marBottom w:val="0"/>
      <w:divBdr>
        <w:top w:val="none" w:sz="0" w:space="0" w:color="auto"/>
        <w:left w:val="none" w:sz="0" w:space="0" w:color="auto"/>
        <w:bottom w:val="none" w:sz="0" w:space="0" w:color="auto"/>
        <w:right w:val="none" w:sz="0" w:space="0" w:color="auto"/>
      </w:divBdr>
    </w:div>
    <w:div w:id="1765883573">
      <w:bodyDiv w:val="1"/>
      <w:marLeft w:val="0"/>
      <w:marRight w:val="0"/>
      <w:marTop w:val="0"/>
      <w:marBottom w:val="0"/>
      <w:divBdr>
        <w:top w:val="none" w:sz="0" w:space="0" w:color="auto"/>
        <w:left w:val="none" w:sz="0" w:space="0" w:color="auto"/>
        <w:bottom w:val="none" w:sz="0" w:space="0" w:color="auto"/>
        <w:right w:val="none" w:sz="0" w:space="0" w:color="auto"/>
      </w:divBdr>
    </w:div>
    <w:div w:id="1799446403">
      <w:bodyDiv w:val="1"/>
      <w:marLeft w:val="0"/>
      <w:marRight w:val="0"/>
      <w:marTop w:val="0"/>
      <w:marBottom w:val="0"/>
      <w:divBdr>
        <w:top w:val="none" w:sz="0" w:space="0" w:color="auto"/>
        <w:left w:val="none" w:sz="0" w:space="0" w:color="auto"/>
        <w:bottom w:val="none" w:sz="0" w:space="0" w:color="auto"/>
        <w:right w:val="none" w:sz="0" w:space="0" w:color="auto"/>
      </w:divBdr>
      <w:divsChild>
        <w:div w:id="1586113071">
          <w:marLeft w:val="0"/>
          <w:marRight w:val="0"/>
          <w:marTop w:val="0"/>
          <w:marBottom w:val="0"/>
          <w:divBdr>
            <w:top w:val="none" w:sz="0" w:space="0" w:color="auto"/>
            <w:left w:val="none" w:sz="0" w:space="0" w:color="auto"/>
            <w:bottom w:val="none" w:sz="0" w:space="0" w:color="auto"/>
            <w:right w:val="none" w:sz="0" w:space="0" w:color="auto"/>
          </w:divBdr>
          <w:divsChild>
            <w:div w:id="343291847">
              <w:marLeft w:val="0"/>
              <w:marRight w:val="0"/>
              <w:marTop w:val="0"/>
              <w:marBottom w:val="0"/>
              <w:divBdr>
                <w:top w:val="none" w:sz="0" w:space="0" w:color="auto"/>
                <w:left w:val="none" w:sz="0" w:space="0" w:color="auto"/>
                <w:bottom w:val="none" w:sz="0" w:space="0" w:color="auto"/>
                <w:right w:val="none" w:sz="0" w:space="0" w:color="auto"/>
              </w:divBdr>
              <w:divsChild>
                <w:div w:id="1080564385">
                  <w:marLeft w:val="0"/>
                  <w:marRight w:val="0"/>
                  <w:marTop w:val="0"/>
                  <w:marBottom w:val="0"/>
                  <w:divBdr>
                    <w:top w:val="none" w:sz="0" w:space="0" w:color="auto"/>
                    <w:left w:val="none" w:sz="0" w:space="0" w:color="auto"/>
                    <w:bottom w:val="none" w:sz="0" w:space="0" w:color="auto"/>
                    <w:right w:val="none" w:sz="0" w:space="0" w:color="auto"/>
                  </w:divBdr>
                  <w:divsChild>
                    <w:div w:id="311257687">
                      <w:marLeft w:val="0"/>
                      <w:marRight w:val="0"/>
                      <w:marTop w:val="0"/>
                      <w:marBottom w:val="0"/>
                      <w:divBdr>
                        <w:top w:val="none" w:sz="0" w:space="0" w:color="auto"/>
                        <w:left w:val="none" w:sz="0" w:space="0" w:color="auto"/>
                        <w:bottom w:val="none" w:sz="0" w:space="0" w:color="auto"/>
                        <w:right w:val="none" w:sz="0" w:space="0" w:color="auto"/>
                      </w:divBdr>
                      <w:divsChild>
                        <w:div w:id="973561433">
                          <w:marLeft w:val="0"/>
                          <w:marRight w:val="0"/>
                          <w:marTop w:val="0"/>
                          <w:marBottom w:val="0"/>
                          <w:divBdr>
                            <w:top w:val="none" w:sz="0" w:space="0" w:color="auto"/>
                            <w:left w:val="none" w:sz="0" w:space="0" w:color="auto"/>
                            <w:bottom w:val="none" w:sz="0" w:space="0" w:color="auto"/>
                            <w:right w:val="none" w:sz="0" w:space="0" w:color="auto"/>
                          </w:divBdr>
                          <w:divsChild>
                            <w:div w:id="2085518543">
                              <w:marLeft w:val="0"/>
                              <w:marRight w:val="0"/>
                              <w:marTop w:val="0"/>
                              <w:marBottom w:val="0"/>
                              <w:divBdr>
                                <w:top w:val="none" w:sz="0" w:space="0" w:color="auto"/>
                                <w:left w:val="none" w:sz="0" w:space="0" w:color="auto"/>
                                <w:bottom w:val="none" w:sz="0" w:space="0" w:color="auto"/>
                                <w:right w:val="none" w:sz="0" w:space="0" w:color="auto"/>
                              </w:divBdr>
                              <w:divsChild>
                                <w:div w:id="273252214">
                                  <w:marLeft w:val="0"/>
                                  <w:marRight w:val="0"/>
                                  <w:marTop w:val="0"/>
                                  <w:marBottom w:val="0"/>
                                  <w:divBdr>
                                    <w:top w:val="none" w:sz="0" w:space="0" w:color="auto"/>
                                    <w:left w:val="none" w:sz="0" w:space="0" w:color="auto"/>
                                    <w:bottom w:val="none" w:sz="0" w:space="0" w:color="auto"/>
                                    <w:right w:val="none" w:sz="0" w:space="0" w:color="auto"/>
                                  </w:divBdr>
                                  <w:divsChild>
                                    <w:div w:id="876427592">
                                      <w:marLeft w:val="0"/>
                                      <w:marRight w:val="0"/>
                                      <w:marTop w:val="0"/>
                                      <w:marBottom w:val="0"/>
                                      <w:divBdr>
                                        <w:top w:val="none" w:sz="0" w:space="0" w:color="auto"/>
                                        <w:left w:val="none" w:sz="0" w:space="0" w:color="auto"/>
                                        <w:bottom w:val="none" w:sz="0" w:space="0" w:color="auto"/>
                                        <w:right w:val="none" w:sz="0" w:space="0" w:color="auto"/>
                                      </w:divBdr>
                                      <w:divsChild>
                                        <w:div w:id="332876069">
                                          <w:marLeft w:val="0"/>
                                          <w:marRight w:val="0"/>
                                          <w:marTop w:val="0"/>
                                          <w:marBottom w:val="0"/>
                                          <w:divBdr>
                                            <w:top w:val="none" w:sz="0" w:space="0" w:color="auto"/>
                                            <w:left w:val="none" w:sz="0" w:space="0" w:color="auto"/>
                                            <w:bottom w:val="none" w:sz="0" w:space="0" w:color="auto"/>
                                            <w:right w:val="none" w:sz="0" w:space="0" w:color="auto"/>
                                          </w:divBdr>
                                          <w:divsChild>
                                            <w:div w:id="1558933549">
                                              <w:marLeft w:val="0"/>
                                              <w:marRight w:val="0"/>
                                              <w:marTop w:val="0"/>
                                              <w:marBottom w:val="0"/>
                                              <w:divBdr>
                                                <w:top w:val="none" w:sz="0" w:space="0" w:color="auto"/>
                                                <w:left w:val="none" w:sz="0" w:space="0" w:color="auto"/>
                                                <w:bottom w:val="none" w:sz="0" w:space="0" w:color="auto"/>
                                                <w:right w:val="none" w:sz="0" w:space="0" w:color="auto"/>
                                              </w:divBdr>
                                              <w:divsChild>
                                                <w:div w:id="313529027">
                                                  <w:marLeft w:val="0"/>
                                                  <w:marRight w:val="0"/>
                                                  <w:marTop w:val="0"/>
                                                  <w:marBottom w:val="0"/>
                                                  <w:divBdr>
                                                    <w:top w:val="none" w:sz="0" w:space="0" w:color="auto"/>
                                                    <w:left w:val="none" w:sz="0" w:space="0" w:color="auto"/>
                                                    <w:bottom w:val="none" w:sz="0" w:space="0" w:color="auto"/>
                                                    <w:right w:val="none" w:sz="0" w:space="0" w:color="auto"/>
                                                  </w:divBdr>
                                                  <w:divsChild>
                                                    <w:div w:id="2115595138">
                                                      <w:marLeft w:val="0"/>
                                                      <w:marRight w:val="0"/>
                                                      <w:marTop w:val="0"/>
                                                      <w:marBottom w:val="0"/>
                                                      <w:divBdr>
                                                        <w:top w:val="none" w:sz="0" w:space="0" w:color="auto"/>
                                                        <w:left w:val="none" w:sz="0" w:space="0" w:color="auto"/>
                                                        <w:bottom w:val="none" w:sz="0" w:space="0" w:color="auto"/>
                                                        <w:right w:val="none" w:sz="0" w:space="0" w:color="auto"/>
                                                      </w:divBdr>
                                                      <w:divsChild>
                                                        <w:div w:id="7515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2649075">
      <w:bodyDiv w:val="1"/>
      <w:marLeft w:val="0"/>
      <w:marRight w:val="0"/>
      <w:marTop w:val="0"/>
      <w:marBottom w:val="0"/>
      <w:divBdr>
        <w:top w:val="none" w:sz="0" w:space="0" w:color="auto"/>
        <w:left w:val="none" w:sz="0" w:space="0" w:color="auto"/>
        <w:bottom w:val="none" w:sz="0" w:space="0" w:color="auto"/>
        <w:right w:val="none" w:sz="0" w:space="0" w:color="auto"/>
      </w:divBdr>
    </w:div>
    <w:div w:id="1807509547">
      <w:bodyDiv w:val="1"/>
      <w:marLeft w:val="0"/>
      <w:marRight w:val="0"/>
      <w:marTop w:val="0"/>
      <w:marBottom w:val="0"/>
      <w:divBdr>
        <w:top w:val="none" w:sz="0" w:space="0" w:color="auto"/>
        <w:left w:val="none" w:sz="0" w:space="0" w:color="auto"/>
        <w:bottom w:val="none" w:sz="0" w:space="0" w:color="auto"/>
        <w:right w:val="none" w:sz="0" w:space="0" w:color="auto"/>
      </w:divBdr>
    </w:div>
    <w:div w:id="1815877069">
      <w:bodyDiv w:val="1"/>
      <w:marLeft w:val="0"/>
      <w:marRight w:val="0"/>
      <w:marTop w:val="0"/>
      <w:marBottom w:val="0"/>
      <w:divBdr>
        <w:top w:val="none" w:sz="0" w:space="0" w:color="auto"/>
        <w:left w:val="none" w:sz="0" w:space="0" w:color="auto"/>
        <w:bottom w:val="none" w:sz="0" w:space="0" w:color="auto"/>
        <w:right w:val="none" w:sz="0" w:space="0" w:color="auto"/>
      </w:divBdr>
    </w:div>
    <w:div w:id="1816339034">
      <w:bodyDiv w:val="1"/>
      <w:marLeft w:val="0"/>
      <w:marRight w:val="0"/>
      <w:marTop w:val="0"/>
      <w:marBottom w:val="0"/>
      <w:divBdr>
        <w:top w:val="none" w:sz="0" w:space="0" w:color="auto"/>
        <w:left w:val="none" w:sz="0" w:space="0" w:color="auto"/>
        <w:bottom w:val="none" w:sz="0" w:space="0" w:color="auto"/>
        <w:right w:val="none" w:sz="0" w:space="0" w:color="auto"/>
      </w:divBdr>
    </w:div>
    <w:div w:id="1817801735">
      <w:bodyDiv w:val="1"/>
      <w:marLeft w:val="0"/>
      <w:marRight w:val="0"/>
      <w:marTop w:val="0"/>
      <w:marBottom w:val="0"/>
      <w:divBdr>
        <w:top w:val="none" w:sz="0" w:space="0" w:color="auto"/>
        <w:left w:val="none" w:sz="0" w:space="0" w:color="auto"/>
        <w:bottom w:val="none" w:sz="0" w:space="0" w:color="auto"/>
        <w:right w:val="none" w:sz="0" w:space="0" w:color="auto"/>
      </w:divBdr>
    </w:div>
    <w:div w:id="1819690297">
      <w:bodyDiv w:val="1"/>
      <w:marLeft w:val="0"/>
      <w:marRight w:val="0"/>
      <w:marTop w:val="0"/>
      <w:marBottom w:val="0"/>
      <w:divBdr>
        <w:top w:val="none" w:sz="0" w:space="0" w:color="auto"/>
        <w:left w:val="none" w:sz="0" w:space="0" w:color="auto"/>
        <w:bottom w:val="none" w:sz="0" w:space="0" w:color="auto"/>
        <w:right w:val="none" w:sz="0" w:space="0" w:color="auto"/>
      </w:divBdr>
    </w:div>
    <w:div w:id="1819766421">
      <w:bodyDiv w:val="1"/>
      <w:marLeft w:val="0"/>
      <w:marRight w:val="0"/>
      <w:marTop w:val="0"/>
      <w:marBottom w:val="0"/>
      <w:divBdr>
        <w:top w:val="none" w:sz="0" w:space="0" w:color="auto"/>
        <w:left w:val="none" w:sz="0" w:space="0" w:color="auto"/>
        <w:bottom w:val="none" w:sz="0" w:space="0" w:color="auto"/>
        <w:right w:val="none" w:sz="0" w:space="0" w:color="auto"/>
      </w:divBdr>
    </w:div>
    <w:div w:id="1820263166">
      <w:bodyDiv w:val="1"/>
      <w:marLeft w:val="0"/>
      <w:marRight w:val="0"/>
      <w:marTop w:val="0"/>
      <w:marBottom w:val="0"/>
      <w:divBdr>
        <w:top w:val="none" w:sz="0" w:space="0" w:color="auto"/>
        <w:left w:val="none" w:sz="0" w:space="0" w:color="auto"/>
        <w:bottom w:val="none" w:sz="0" w:space="0" w:color="auto"/>
        <w:right w:val="none" w:sz="0" w:space="0" w:color="auto"/>
      </w:divBdr>
    </w:div>
    <w:div w:id="1821464672">
      <w:bodyDiv w:val="1"/>
      <w:marLeft w:val="0"/>
      <w:marRight w:val="0"/>
      <w:marTop w:val="0"/>
      <w:marBottom w:val="0"/>
      <w:divBdr>
        <w:top w:val="none" w:sz="0" w:space="0" w:color="auto"/>
        <w:left w:val="none" w:sz="0" w:space="0" w:color="auto"/>
        <w:bottom w:val="none" w:sz="0" w:space="0" w:color="auto"/>
        <w:right w:val="none" w:sz="0" w:space="0" w:color="auto"/>
      </w:divBdr>
    </w:div>
    <w:div w:id="1826773025">
      <w:bodyDiv w:val="1"/>
      <w:marLeft w:val="0"/>
      <w:marRight w:val="0"/>
      <w:marTop w:val="0"/>
      <w:marBottom w:val="0"/>
      <w:divBdr>
        <w:top w:val="none" w:sz="0" w:space="0" w:color="auto"/>
        <w:left w:val="none" w:sz="0" w:space="0" w:color="auto"/>
        <w:bottom w:val="none" w:sz="0" w:space="0" w:color="auto"/>
        <w:right w:val="none" w:sz="0" w:space="0" w:color="auto"/>
      </w:divBdr>
    </w:div>
    <w:div w:id="1837333472">
      <w:bodyDiv w:val="1"/>
      <w:marLeft w:val="0"/>
      <w:marRight w:val="0"/>
      <w:marTop w:val="0"/>
      <w:marBottom w:val="0"/>
      <w:divBdr>
        <w:top w:val="none" w:sz="0" w:space="0" w:color="auto"/>
        <w:left w:val="none" w:sz="0" w:space="0" w:color="auto"/>
        <w:bottom w:val="none" w:sz="0" w:space="0" w:color="auto"/>
        <w:right w:val="none" w:sz="0" w:space="0" w:color="auto"/>
      </w:divBdr>
    </w:div>
    <w:div w:id="1841046386">
      <w:bodyDiv w:val="1"/>
      <w:marLeft w:val="0"/>
      <w:marRight w:val="0"/>
      <w:marTop w:val="0"/>
      <w:marBottom w:val="0"/>
      <w:divBdr>
        <w:top w:val="none" w:sz="0" w:space="0" w:color="auto"/>
        <w:left w:val="none" w:sz="0" w:space="0" w:color="auto"/>
        <w:bottom w:val="none" w:sz="0" w:space="0" w:color="auto"/>
        <w:right w:val="none" w:sz="0" w:space="0" w:color="auto"/>
      </w:divBdr>
    </w:div>
    <w:div w:id="1843472492">
      <w:bodyDiv w:val="1"/>
      <w:marLeft w:val="0"/>
      <w:marRight w:val="0"/>
      <w:marTop w:val="0"/>
      <w:marBottom w:val="0"/>
      <w:divBdr>
        <w:top w:val="none" w:sz="0" w:space="0" w:color="auto"/>
        <w:left w:val="none" w:sz="0" w:space="0" w:color="auto"/>
        <w:bottom w:val="none" w:sz="0" w:space="0" w:color="auto"/>
        <w:right w:val="none" w:sz="0" w:space="0" w:color="auto"/>
      </w:divBdr>
    </w:div>
    <w:div w:id="1845435781">
      <w:bodyDiv w:val="1"/>
      <w:marLeft w:val="0"/>
      <w:marRight w:val="0"/>
      <w:marTop w:val="0"/>
      <w:marBottom w:val="0"/>
      <w:divBdr>
        <w:top w:val="none" w:sz="0" w:space="0" w:color="auto"/>
        <w:left w:val="none" w:sz="0" w:space="0" w:color="auto"/>
        <w:bottom w:val="none" w:sz="0" w:space="0" w:color="auto"/>
        <w:right w:val="none" w:sz="0" w:space="0" w:color="auto"/>
      </w:divBdr>
    </w:div>
    <w:div w:id="1848056987">
      <w:bodyDiv w:val="1"/>
      <w:marLeft w:val="0"/>
      <w:marRight w:val="0"/>
      <w:marTop w:val="0"/>
      <w:marBottom w:val="0"/>
      <w:divBdr>
        <w:top w:val="none" w:sz="0" w:space="0" w:color="auto"/>
        <w:left w:val="none" w:sz="0" w:space="0" w:color="auto"/>
        <w:bottom w:val="none" w:sz="0" w:space="0" w:color="auto"/>
        <w:right w:val="none" w:sz="0" w:space="0" w:color="auto"/>
      </w:divBdr>
    </w:div>
    <w:div w:id="1848669559">
      <w:bodyDiv w:val="1"/>
      <w:marLeft w:val="0"/>
      <w:marRight w:val="0"/>
      <w:marTop w:val="0"/>
      <w:marBottom w:val="0"/>
      <w:divBdr>
        <w:top w:val="none" w:sz="0" w:space="0" w:color="auto"/>
        <w:left w:val="none" w:sz="0" w:space="0" w:color="auto"/>
        <w:bottom w:val="none" w:sz="0" w:space="0" w:color="auto"/>
        <w:right w:val="none" w:sz="0" w:space="0" w:color="auto"/>
      </w:divBdr>
    </w:div>
    <w:div w:id="1851095575">
      <w:bodyDiv w:val="1"/>
      <w:marLeft w:val="0"/>
      <w:marRight w:val="0"/>
      <w:marTop w:val="0"/>
      <w:marBottom w:val="0"/>
      <w:divBdr>
        <w:top w:val="none" w:sz="0" w:space="0" w:color="auto"/>
        <w:left w:val="none" w:sz="0" w:space="0" w:color="auto"/>
        <w:bottom w:val="none" w:sz="0" w:space="0" w:color="auto"/>
        <w:right w:val="none" w:sz="0" w:space="0" w:color="auto"/>
      </w:divBdr>
    </w:div>
    <w:div w:id="1854026192">
      <w:bodyDiv w:val="1"/>
      <w:marLeft w:val="0"/>
      <w:marRight w:val="0"/>
      <w:marTop w:val="0"/>
      <w:marBottom w:val="0"/>
      <w:divBdr>
        <w:top w:val="none" w:sz="0" w:space="0" w:color="auto"/>
        <w:left w:val="none" w:sz="0" w:space="0" w:color="auto"/>
        <w:bottom w:val="none" w:sz="0" w:space="0" w:color="auto"/>
        <w:right w:val="none" w:sz="0" w:space="0" w:color="auto"/>
      </w:divBdr>
    </w:div>
    <w:div w:id="1862011235">
      <w:bodyDiv w:val="1"/>
      <w:marLeft w:val="0"/>
      <w:marRight w:val="0"/>
      <w:marTop w:val="0"/>
      <w:marBottom w:val="0"/>
      <w:divBdr>
        <w:top w:val="none" w:sz="0" w:space="0" w:color="auto"/>
        <w:left w:val="none" w:sz="0" w:space="0" w:color="auto"/>
        <w:bottom w:val="none" w:sz="0" w:space="0" w:color="auto"/>
        <w:right w:val="none" w:sz="0" w:space="0" w:color="auto"/>
      </w:divBdr>
    </w:div>
    <w:div w:id="1878276241">
      <w:bodyDiv w:val="1"/>
      <w:marLeft w:val="0"/>
      <w:marRight w:val="0"/>
      <w:marTop w:val="0"/>
      <w:marBottom w:val="0"/>
      <w:divBdr>
        <w:top w:val="none" w:sz="0" w:space="0" w:color="auto"/>
        <w:left w:val="none" w:sz="0" w:space="0" w:color="auto"/>
        <w:bottom w:val="none" w:sz="0" w:space="0" w:color="auto"/>
        <w:right w:val="none" w:sz="0" w:space="0" w:color="auto"/>
      </w:divBdr>
    </w:div>
    <w:div w:id="1880124231">
      <w:bodyDiv w:val="1"/>
      <w:marLeft w:val="0"/>
      <w:marRight w:val="0"/>
      <w:marTop w:val="0"/>
      <w:marBottom w:val="0"/>
      <w:divBdr>
        <w:top w:val="none" w:sz="0" w:space="0" w:color="auto"/>
        <w:left w:val="none" w:sz="0" w:space="0" w:color="auto"/>
        <w:bottom w:val="none" w:sz="0" w:space="0" w:color="auto"/>
        <w:right w:val="none" w:sz="0" w:space="0" w:color="auto"/>
      </w:divBdr>
    </w:div>
    <w:div w:id="1881431352">
      <w:bodyDiv w:val="1"/>
      <w:marLeft w:val="0"/>
      <w:marRight w:val="0"/>
      <w:marTop w:val="0"/>
      <w:marBottom w:val="0"/>
      <w:divBdr>
        <w:top w:val="none" w:sz="0" w:space="0" w:color="auto"/>
        <w:left w:val="none" w:sz="0" w:space="0" w:color="auto"/>
        <w:bottom w:val="none" w:sz="0" w:space="0" w:color="auto"/>
        <w:right w:val="none" w:sz="0" w:space="0" w:color="auto"/>
      </w:divBdr>
    </w:div>
    <w:div w:id="1892230770">
      <w:bodyDiv w:val="1"/>
      <w:marLeft w:val="0"/>
      <w:marRight w:val="0"/>
      <w:marTop w:val="0"/>
      <w:marBottom w:val="0"/>
      <w:divBdr>
        <w:top w:val="none" w:sz="0" w:space="0" w:color="auto"/>
        <w:left w:val="none" w:sz="0" w:space="0" w:color="auto"/>
        <w:bottom w:val="none" w:sz="0" w:space="0" w:color="auto"/>
        <w:right w:val="none" w:sz="0" w:space="0" w:color="auto"/>
      </w:divBdr>
    </w:div>
    <w:div w:id="1903829431">
      <w:bodyDiv w:val="1"/>
      <w:marLeft w:val="0"/>
      <w:marRight w:val="0"/>
      <w:marTop w:val="0"/>
      <w:marBottom w:val="0"/>
      <w:divBdr>
        <w:top w:val="none" w:sz="0" w:space="0" w:color="auto"/>
        <w:left w:val="none" w:sz="0" w:space="0" w:color="auto"/>
        <w:bottom w:val="none" w:sz="0" w:space="0" w:color="auto"/>
        <w:right w:val="none" w:sz="0" w:space="0" w:color="auto"/>
      </w:divBdr>
    </w:div>
    <w:div w:id="1916888834">
      <w:bodyDiv w:val="1"/>
      <w:marLeft w:val="0"/>
      <w:marRight w:val="0"/>
      <w:marTop w:val="0"/>
      <w:marBottom w:val="0"/>
      <w:divBdr>
        <w:top w:val="none" w:sz="0" w:space="0" w:color="auto"/>
        <w:left w:val="none" w:sz="0" w:space="0" w:color="auto"/>
        <w:bottom w:val="none" w:sz="0" w:space="0" w:color="auto"/>
        <w:right w:val="none" w:sz="0" w:space="0" w:color="auto"/>
      </w:divBdr>
    </w:div>
    <w:div w:id="1921526323">
      <w:bodyDiv w:val="1"/>
      <w:marLeft w:val="0"/>
      <w:marRight w:val="0"/>
      <w:marTop w:val="0"/>
      <w:marBottom w:val="0"/>
      <w:divBdr>
        <w:top w:val="none" w:sz="0" w:space="0" w:color="auto"/>
        <w:left w:val="none" w:sz="0" w:space="0" w:color="auto"/>
        <w:bottom w:val="none" w:sz="0" w:space="0" w:color="auto"/>
        <w:right w:val="none" w:sz="0" w:space="0" w:color="auto"/>
      </w:divBdr>
    </w:div>
    <w:div w:id="1930263289">
      <w:bodyDiv w:val="1"/>
      <w:marLeft w:val="0"/>
      <w:marRight w:val="0"/>
      <w:marTop w:val="0"/>
      <w:marBottom w:val="0"/>
      <w:divBdr>
        <w:top w:val="none" w:sz="0" w:space="0" w:color="auto"/>
        <w:left w:val="none" w:sz="0" w:space="0" w:color="auto"/>
        <w:bottom w:val="none" w:sz="0" w:space="0" w:color="auto"/>
        <w:right w:val="none" w:sz="0" w:space="0" w:color="auto"/>
      </w:divBdr>
    </w:div>
    <w:div w:id="1934896381">
      <w:bodyDiv w:val="1"/>
      <w:marLeft w:val="0"/>
      <w:marRight w:val="0"/>
      <w:marTop w:val="0"/>
      <w:marBottom w:val="0"/>
      <w:divBdr>
        <w:top w:val="none" w:sz="0" w:space="0" w:color="auto"/>
        <w:left w:val="none" w:sz="0" w:space="0" w:color="auto"/>
        <w:bottom w:val="none" w:sz="0" w:space="0" w:color="auto"/>
        <w:right w:val="none" w:sz="0" w:space="0" w:color="auto"/>
      </w:divBdr>
    </w:div>
    <w:div w:id="1938635205">
      <w:bodyDiv w:val="1"/>
      <w:marLeft w:val="0"/>
      <w:marRight w:val="0"/>
      <w:marTop w:val="0"/>
      <w:marBottom w:val="0"/>
      <w:divBdr>
        <w:top w:val="none" w:sz="0" w:space="0" w:color="auto"/>
        <w:left w:val="none" w:sz="0" w:space="0" w:color="auto"/>
        <w:bottom w:val="none" w:sz="0" w:space="0" w:color="auto"/>
        <w:right w:val="none" w:sz="0" w:space="0" w:color="auto"/>
      </w:divBdr>
    </w:div>
    <w:div w:id="1940873116">
      <w:bodyDiv w:val="1"/>
      <w:marLeft w:val="0"/>
      <w:marRight w:val="0"/>
      <w:marTop w:val="0"/>
      <w:marBottom w:val="0"/>
      <w:divBdr>
        <w:top w:val="none" w:sz="0" w:space="0" w:color="auto"/>
        <w:left w:val="none" w:sz="0" w:space="0" w:color="auto"/>
        <w:bottom w:val="none" w:sz="0" w:space="0" w:color="auto"/>
        <w:right w:val="none" w:sz="0" w:space="0" w:color="auto"/>
      </w:divBdr>
    </w:div>
    <w:div w:id="1943567727">
      <w:bodyDiv w:val="1"/>
      <w:marLeft w:val="0"/>
      <w:marRight w:val="0"/>
      <w:marTop w:val="0"/>
      <w:marBottom w:val="0"/>
      <w:divBdr>
        <w:top w:val="none" w:sz="0" w:space="0" w:color="auto"/>
        <w:left w:val="none" w:sz="0" w:space="0" w:color="auto"/>
        <w:bottom w:val="none" w:sz="0" w:space="0" w:color="auto"/>
        <w:right w:val="none" w:sz="0" w:space="0" w:color="auto"/>
      </w:divBdr>
    </w:div>
    <w:div w:id="1961379552">
      <w:bodyDiv w:val="1"/>
      <w:marLeft w:val="0"/>
      <w:marRight w:val="0"/>
      <w:marTop w:val="0"/>
      <w:marBottom w:val="0"/>
      <w:divBdr>
        <w:top w:val="none" w:sz="0" w:space="0" w:color="auto"/>
        <w:left w:val="none" w:sz="0" w:space="0" w:color="auto"/>
        <w:bottom w:val="none" w:sz="0" w:space="0" w:color="auto"/>
        <w:right w:val="none" w:sz="0" w:space="0" w:color="auto"/>
      </w:divBdr>
    </w:div>
    <w:div w:id="1963613697">
      <w:bodyDiv w:val="1"/>
      <w:marLeft w:val="0"/>
      <w:marRight w:val="0"/>
      <w:marTop w:val="0"/>
      <w:marBottom w:val="0"/>
      <w:divBdr>
        <w:top w:val="none" w:sz="0" w:space="0" w:color="auto"/>
        <w:left w:val="none" w:sz="0" w:space="0" w:color="auto"/>
        <w:bottom w:val="none" w:sz="0" w:space="0" w:color="auto"/>
        <w:right w:val="none" w:sz="0" w:space="0" w:color="auto"/>
      </w:divBdr>
    </w:div>
    <w:div w:id="1966039062">
      <w:bodyDiv w:val="1"/>
      <w:marLeft w:val="0"/>
      <w:marRight w:val="0"/>
      <w:marTop w:val="0"/>
      <w:marBottom w:val="0"/>
      <w:divBdr>
        <w:top w:val="none" w:sz="0" w:space="0" w:color="auto"/>
        <w:left w:val="none" w:sz="0" w:space="0" w:color="auto"/>
        <w:bottom w:val="none" w:sz="0" w:space="0" w:color="auto"/>
        <w:right w:val="none" w:sz="0" w:space="0" w:color="auto"/>
      </w:divBdr>
    </w:div>
    <w:div w:id="1975984707">
      <w:bodyDiv w:val="1"/>
      <w:marLeft w:val="0"/>
      <w:marRight w:val="0"/>
      <w:marTop w:val="0"/>
      <w:marBottom w:val="0"/>
      <w:divBdr>
        <w:top w:val="none" w:sz="0" w:space="0" w:color="auto"/>
        <w:left w:val="none" w:sz="0" w:space="0" w:color="auto"/>
        <w:bottom w:val="none" w:sz="0" w:space="0" w:color="auto"/>
        <w:right w:val="none" w:sz="0" w:space="0" w:color="auto"/>
      </w:divBdr>
    </w:div>
    <w:div w:id="1979459355">
      <w:bodyDiv w:val="1"/>
      <w:marLeft w:val="0"/>
      <w:marRight w:val="0"/>
      <w:marTop w:val="0"/>
      <w:marBottom w:val="0"/>
      <w:divBdr>
        <w:top w:val="none" w:sz="0" w:space="0" w:color="auto"/>
        <w:left w:val="none" w:sz="0" w:space="0" w:color="auto"/>
        <w:bottom w:val="none" w:sz="0" w:space="0" w:color="auto"/>
        <w:right w:val="none" w:sz="0" w:space="0" w:color="auto"/>
      </w:divBdr>
    </w:div>
    <w:div w:id="1979990033">
      <w:bodyDiv w:val="1"/>
      <w:marLeft w:val="0"/>
      <w:marRight w:val="0"/>
      <w:marTop w:val="0"/>
      <w:marBottom w:val="0"/>
      <w:divBdr>
        <w:top w:val="none" w:sz="0" w:space="0" w:color="auto"/>
        <w:left w:val="none" w:sz="0" w:space="0" w:color="auto"/>
        <w:bottom w:val="none" w:sz="0" w:space="0" w:color="auto"/>
        <w:right w:val="none" w:sz="0" w:space="0" w:color="auto"/>
      </w:divBdr>
    </w:div>
    <w:div w:id="1981306859">
      <w:bodyDiv w:val="1"/>
      <w:marLeft w:val="0"/>
      <w:marRight w:val="0"/>
      <w:marTop w:val="0"/>
      <w:marBottom w:val="0"/>
      <w:divBdr>
        <w:top w:val="none" w:sz="0" w:space="0" w:color="auto"/>
        <w:left w:val="none" w:sz="0" w:space="0" w:color="auto"/>
        <w:bottom w:val="none" w:sz="0" w:space="0" w:color="auto"/>
        <w:right w:val="none" w:sz="0" w:space="0" w:color="auto"/>
      </w:divBdr>
    </w:div>
    <w:div w:id="1982033295">
      <w:bodyDiv w:val="1"/>
      <w:marLeft w:val="0"/>
      <w:marRight w:val="0"/>
      <w:marTop w:val="0"/>
      <w:marBottom w:val="0"/>
      <w:divBdr>
        <w:top w:val="none" w:sz="0" w:space="0" w:color="auto"/>
        <w:left w:val="none" w:sz="0" w:space="0" w:color="auto"/>
        <w:bottom w:val="none" w:sz="0" w:space="0" w:color="auto"/>
        <w:right w:val="none" w:sz="0" w:space="0" w:color="auto"/>
      </w:divBdr>
    </w:div>
    <w:div w:id="1982808958">
      <w:bodyDiv w:val="1"/>
      <w:marLeft w:val="0"/>
      <w:marRight w:val="0"/>
      <w:marTop w:val="0"/>
      <w:marBottom w:val="0"/>
      <w:divBdr>
        <w:top w:val="none" w:sz="0" w:space="0" w:color="auto"/>
        <w:left w:val="none" w:sz="0" w:space="0" w:color="auto"/>
        <w:bottom w:val="none" w:sz="0" w:space="0" w:color="auto"/>
        <w:right w:val="none" w:sz="0" w:space="0" w:color="auto"/>
      </w:divBdr>
    </w:div>
    <w:div w:id="1994262008">
      <w:bodyDiv w:val="1"/>
      <w:marLeft w:val="0"/>
      <w:marRight w:val="0"/>
      <w:marTop w:val="0"/>
      <w:marBottom w:val="0"/>
      <w:divBdr>
        <w:top w:val="none" w:sz="0" w:space="0" w:color="auto"/>
        <w:left w:val="none" w:sz="0" w:space="0" w:color="auto"/>
        <w:bottom w:val="none" w:sz="0" w:space="0" w:color="auto"/>
        <w:right w:val="none" w:sz="0" w:space="0" w:color="auto"/>
      </w:divBdr>
      <w:divsChild>
        <w:div w:id="1014498934">
          <w:marLeft w:val="0"/>
          <w:marRight w:val="0"/>
          <w:marTop w:val="0"/>
          <w:marBottom w:val="0"/>
          <w:divBdr>
            <w:top w:val="none" w:sz="0" w:space="0" w:color="auto"/>
            <w:left w:val="none" w:sz="0" w:space="0" w:color="auto"/>
            <w:bottom w:val="none" w:sz="0" w:space="0" w:color="auto"/>
            <w:right w:val="none" w:sz="0" w:space="0" w:color="auto"/>
          </w:divBdr>
          <w:divsChild>
            <w:div w:id="220944695">
              <w:marLeft w:val="0"/>
              <w:marRight w:val="0"/>
              <w:marTop w:val="0"/>
              <w:marBottom w:val="0"/>
              <w:divBdr>
                <w:top w:val="none" w:sz="0" w:space="0" w:color="auto"/>
                <w:left w:val="none" w:sz="0" w:space="0" w:color="auto"/>
                <w:bottom w:val="none" w:sz="0" w:space="0" w:color="auto"/>
                <w:right w:val="none" w:sz="0" w:space="0" w:color="auto"/>
              </w:divBdr>
              <w:divsChild>
                <w:div w:id="2010601151">
                  <w:marLeft w:val="0"/>
                  <w:marRight w:val="0"/>
                  <w:marTop w:val="0"/>
                  <w:marBottom w:val="0"/>
                  <w:divBdr>
                    <w:top w:val="none" w:sz="0" w:space="0" w:color="auto"/>
                    <w:left w:val="none" w:sz="0" w:space="0" w:color="auto"/>
                    <w:bottom w:val="none" w:sz="0" w:space="0" w:color="auto"/>
                    <w:right w:val="none" w:sz="0" w:space="0" w:color="auto"/>
                  </w:divBdr>
                  <w:divsChild>
                    <w:div w:id="167656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797399">
      <w:bodyDiv w:val="1"/>
      <w:marLeft w:val="0"/>
      <w:marRight w:val="0"/>
      <w:marTop w:val="0"/>
      <w:marBottom w:val="0"/>
      <w:divBdr>
        <w:top w:val="none" w:sz="0" w:space="0" w:color="auto"/>
        <w:left w:val="none" w:sz="0" w:space="0" w:color="auto"/>
        <w:bottom w:val="none" w:sz="0" w:space="0" w:color="auto"/>
        <w:right w:val="none" w:sz="0" w:space="0" w:color="auto"/>
      </w:divBdr>
    </w:div>
    <w:div w:id="2028167668">
      <w:bodyDiv w:val="1"/>
      <w:marLeft w:val="0"/>
      <w:marRight w:val="0"/>
      <w:marTop w:val="0"/>
      <w:marBottom w:val="0"/>
      <w:divBdr>
        <w:top w:val="none" w:sz="0" w:space="0" w:color="auto"/>
        <w:left w:val="none" w:sz="0" w:space="0" w:color="auto"/>
        <w:bottom w:val="none" w:sz="0" w:space="0" w:color="auto"/>
        <w:right w:val="none" w:sz="0" w:space="0" w:color="auto"/>
      </w:divBdr>
    </w:div>
    <w:div w:id="2032872713">
      <w:bodyDiv w:val="1"/>
      <w:marLeft w:val="0"/>
      <w:marRight w:val="0"/>
      <w:marTop w:val="0"/>
      <w:marBottom w:val="0"/>
      <w:divBdr>
        <w:top w:val="none" w:sz="0" w:space="0" w:color="auto"/>
        <w:left w:val="none" w:sz="0" w:space="0" w:color="auto"/>
        <w:bottom w:val="none" w:sz="0" w:space="0" w:color="auto"/>
        <w:right w:val="none" w:sz="0" w:space="0" w:color="auto"/>
      </w:divBdr>
      <w:divsChild>
        <w:div w:id="1542860039">
          <w:marLeft w:val="0"/>
          <w:marRight w:val="0"/>
          <w:marTop w:val="0"/>
          <w:marBottom w:val="0"/>
          <w:divBdr>
            <w:top w:val="single" w:sz="2" w:space="0" w:color="E5E7EB"/>
            <w:left w:val="single" w:sz="2" w:space="0" w:color="E5E7EB"/>
            <w:bottom w:val="single" w:sz="2" w:space="0" w:color="E5E7EB"/>
            <w:right w:val="single" w:sz="2" w:space="0" w:color="E5E7EB"/>
          </w:divBdr>
          <w:divsChild>
            <w:div w:id="223611784">
              <w:marLeft w:val="0"/>
              <w:marRight w:val="0"/>
              <w:marTop w:val="0"/>
              <w:marBottom w:val="0"/>
              <w:divBdr>
                <w:top w:val="single" w:sz="2" w:space="0" w:color="auto"/>
                <w:left w:val="single" w:sz="2" w:space="0" w:color="auto"/>
                <w:bottom w:val="single" w:sz="2" w:space="0" w:color="auto"/>
                <w:right w:val="single" w:sz="2" w:space="0" w:color="auto"/>
              </w:divBdr>
              <w:divsChild>
                <w:div w:id="37172711">
                  <w:marLeft w:val="0"/>
                  <w:marRight w:val="0"/>
                  <w:marTop w:val="0"/>
                  <w:marBottom w:val="0"/>
                  <w:divBdr>
                    <w:top w:val="single" w:sz="2" w:space="0" w:color="auto"/>
                    <w:left w:val="single" w:sz="2" w:space="0" w:color="auto"/>
                    <w:bottom w:val="single" w:sz="2" w:space="0" w:color="auto"/>
                    <w:right w:val="single" w:sz="2" w:space="0" w:color="auto"/>
                  </w:divBdr>
                  <w:divsChild>
                    <w:div w:id="255794088">
                      <w:marLeft w:val="0"/>
                      <w:marRight w:val="0"/>
                      <w:marTop w:val="0"/>
                      <w:marBottom w:val="0"/>
                      <w:divBdr>
                        <w:top w:val="single" w:sz="2" w:space="0" w:color="E5E7EB"/>
                        <w:left w:val="single" w:sz="2" w:space="0" w:color="E5E7EB"/>
                        <w:bottom w:val="single" w:sz="2" w:space="0" w:color="E5E7EB"/>
                        <w:right w:val="single" w:sz="2" w:space="0" w:color="E5E7EB"/>
                      </w:divBdr>
                      <w:divsChild>
                        <w:div w:id="990712003">
                          <w:marLeft w:val="0"/>
                          <w:marRight w:val="0"/>
                          <w:marTop w:val="0"/>
                          <w:marBottom w:val="0"/>
                          <w:divBdr>
                            <w:top w:val="single" w:sz="2" w:space="0" w:color="E5E7EB"/>
                            <w:left w:val="single" w:sz="2" w:space="0" w:color="E5E7EB"/>
                            <w:bottom w:val="single" w:sz="2" w:space="0" w:color="E5E7EB"/>
                            <w:right w:val="single" w:sz="2" w:space="0" w:color="E5E7EB"/>
                          </w:divBdr>
                          <w:divsChild>
                            <w:div w:id="210918838">
                              <w:marLeft w:val="0"/>
                              <w:marRight w:val="0"/>
                              <w:marTop w:val="0"/>
                              <w:marBottom w:val="0"/>
                              <w:divBdr>
                                <w:top w:val="single" w:sz="2" w:space="0" w:color="E5E7EB"/>
                                <w:left w:val="single" w:sz="2" w:space="0" w:color="E5E7EB"/>
                                <w:bottom w:val="single" w:sz="2" w:space="0" w:color="E5E7EB"/>
                                <w:right w:val="single" w:sz="2" w:space="0" w:color="E5E7EB"/>
                              </w:divBdr>
                              <w:divsChild>
                                <w:div w:id="12167019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957447578">
                  <w:marLeft w:val="0"/>
                  <w:marRight w:val="0"/>
                  <w:marTop w:val="0"/>
                  <w:marBottom w:val="0"/>
                  <w:divBdr>
                    <w:top w:val="single" w:sz="2" w:space="0" w:color="auto"/>
                    <w:left w:val="single" w:sz="2" w:space="0" w:color="auto"/>
                    <w:bottom w:val="single" w:sz="2" w:space="0" w:color="auto"/>
                    <w:right w:val="single" w:sz="2" w:space="0" w:color="auto"/>
                  </w:divBdr>
                  <w:divsChild>
                    <w:div w:id="508519534">
                      <w:marLeft w:val="0"/>
                      <w:marRight w:val="0"/>
                      <w:marTop w:val="0"/>
                      <w:marBottom w:val="0"/>
                      <w:divBdr>
                        <w:top w:val="single" w:sz="2" w:space="0" w:color="E5E7EB"/>
                        <w:left w:val="single" w:sz="2" w:space="0" w:color="E5E7EB"/>
                        <w:bottom w:val="single" w:sz="2" w:space="0" w:color="E5E7EB"/>
                        <w:right w:val="single" w:sz="2" w:space="0" w:color="E5E7EB"/>
                      </w:divBdr>
                      <w:divsChild>
                        <w:div w:id="728236660">
                          <w:marLeft w:val="0"/>
                          <w:marRight w:val="0"/>
                          <w:marTop w:val="0"/>
                          <w:marBottom w:val="0"/>
                          <w:divBdr>
                            <w:top w:val="single" w:sz="2" w:space="0" w:color="E5E7EB"/>
                            <w:left w:val="single" w:sz="2" w:space="0" w:color="E5E7EB"/>
                            <w:bottom w:val="single" w:sz="2" w:space="0" w:color="E5E7EB"/>
                            <w:right w:val="single" w:sz="2" w:space="0" w:color="E5E7EB"/>
                          </w:divBdr>
                          <w:divsChild>
                            <w:div w:id="989167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9365212">
                          <w:marLeft w:val="0"/>
                          <w:marRight w:val="0"/>
                          <w:marTop w:val="0"/>
                          <w:marBottom w:val="0"/>
                          <w:divBdr>
                            <w:top w:val="single" w:sz="2" w:space="0" w:color="E5E7EB"/>
                            <w:left w:val="single" w:sz="2" w:space="0" w:color="E5E7EB"/>
                            <w:bottom w:val="single" w:sz="2" w:space="0" w:color="E5E7EB"/>
                            <w:right w:val="single" w:sz="2" w:space="0" w:color="E5E7EB"/>
                          </w:divBdr>
                          <w:divsChild>
                            <w:div w:id="4890551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2038196756">
      <w:bodyDiv w:val="1"/>
      <w:marLeft w:val="0"/>
      <w:marRight w:val="0"/>
      <w:marTop w:val="0"/>
      <w:marBottom w:val="0"/>
      <w:divBdr>
        <w:top w:val="none" w:sz="0" w:space="0" w:color="auto"/>
        <w:left w:val="none" w:sz="0" w:space="0" w:color="auto"/>
        <w:bottom w:val="none" w:sz="0" w:space="0" w:color="auto"/>
        <w:right w:val="none" w:sz="0" w:space="0" w:color="auto"/>
      </w:divBdr>
    </w:div>
    <w:div w:id="2040621729">
      <w:bodyDiv w:val="1"/>
      <w:marLeft w:val="0"/>
      <w:marRight w:val="0"/>
      <w:marTop w:val="0"/>
      <w:marBottom w:val="0"/>
      <w:divBdr>
        <w:top w:val="none" w:sz="0" w:space="0" w:color="auto"/>
        <w:left w:val="none" w:sz="0" w:space="0" w:color="auto"/>
        <w:bottom w:val="none" w:sz="0" w:space="0" w:color="auto"/>
        <w:right w:val="none" w:sz="0" w:space="0" w:color="auto"/>
      </w:divBdr>
    </w:div>
    <w:div w:id="2041010978">
      <w:bodyDiv w:val="1"/>
      <w:marLeft w:val="0"/>
      <w:marRight w:val="0"/>
      <w:marTop w:val="0"/>
      <w:marBottom w:val="0"/>
      <w:divBdr>
        <w:top w:val="none" w:sz="0" w:space="0" w:color="auto"/>
        <w:left w:val="none" w:sz="0" w:space="0" w:color="auto"/>
        <w:bottom w:val="none" w:sz="0" w:space="0" w:color="auto"/>
        <w:right w:val="none" w:sz="0" w:space="0" w:color="auto"/>
      </w:divBdr>
    </w:div>
    <w:div w:id="2044670459">
      <w:bodyDiv w:val="1"/>
      <w:marLeft w:val="0"/>
      <w:marRight w:val="0"/>
      <w:marTop w:val="0"/>
      <w:marBottom w:val="0"/>
      <w:divBdr>
        <w:top w:val="none" w:sz="0" w:space="0" w:color="auto"/>
        <w:left w:val="none" w:sz="0" w:space="0" w:color="auto"/>
        <w:bottom w:val="none" w:sz="0" w:space="0" w:color="auto"/>
        <w:right w:val="none" w:sz="0" w:space="0" w:color="auto"/>
      </w:divBdr>
      <w:divsChild>
        <w:div w:id="1041326173">
          <w:marLeft w:val="0"/>
          <w:marRight w:val="0"/>
          <w:marTop w:val="0"/>
          <w:marBottom w:val="0"/>
          <w:divBdr>
            <w:top w:val="none" w:sz="0" w:space="0" w:color="auto"/>
            <w:left w:val="none" w:sz="0" w:space="0" w:color="auto"/>
            <w:bottom w:val="none" w:sz="0" w:space="0" w:color="auto"/>
            <w:right w:val="none" w:sz="0" w:space="0" w:color="auto"/>
          </w:divBdr>
          <w:divsChild>
            <w:div w:id="101611667">
              <w:marLeft w:val="0"/>
              <w:marRight w:val="0"/>
              <w:marTop w:val="0"/>
              <w:marBottom w:val="0"/>
              <w:divBdr>
                <w:top w:val="none" w:sz="0" w:space="0" w:color="auto"/>
                <w:left w:val="none" w:sz="0" w:space="0" w:color="auto"/>
                <w:bottom w:val="none" w:sz="0" w:space="0" w:color="auto"/>
                <w:right w:val="none" w:sz="0" w:space="0" w:color="auto"/>
              </w:divBdr>
              <w:divsChild>
                <w:div w:id="1751075642">
                  <w:marLeft w:val="0"/>
                  <w:marRight w:val="0"/>
                  <w:marTop w:val="0"/>
                  <w:marBottom w:val="0"/>
                  <w:divBdr>
                    <w:top w:val="none" w:sz="0" w:space="0" w:color="auto"/>
                    <w:left w:val="none" w:sz="0" w:space="0" w:color="auto"/>
                    <w:bottom w:val="none" w:sz="0" w:space="0" w:color="auto"/>
                    <w:right w:val="none" w:sz="0" w:space="0" w:color="auto"/>
                  </w:divBdr>
                  <w:divsChild>
                    <w:div w:id="677511281">
                      <w:marLeft w:val="0"/>
                      <w:marRight w:val="0"/>
                      <w:marTop w:val="0"/>
                      <w:marBottom w:val="0"/>
                      <w:divBdr>
                        <w:top w:val="none" w:sz="0" w:space="0" w:color="auto"/>
                        <w:left w:val="none" w:sz="0" w:space="0" w:color="auto"/>
                        <w:bottom w:val="none" w:sz="0" w:space="0" w:color="auto"/>
                        <w:right w:val="none" w:sz="0" w:space="0" w:color="auto"/>
                      </w:divBdr>
                      <w:divsChild>
                        <w:div w:id="2019580518">
                          <w:marLeft w:val="0"/>
                          <w:marRight w:val="0"/>
                          <w:marTop w:val="0"/>
                          <w:marBottom w:val="0"/>
                          <w:divBdr>
                            <w:top w:val="none" w:sz="0" w:space="0" w:color="auto"/>
                            <w:left w:val="none" w:sz="0" w:space="0" w:color="auto"/>
                            <w:bottom w:val="none" w:sz="0" w:space="0" w:color="auto"/>
                            <w:right w:val="none" w:sz="0" w:space="0" w:color="auto"/>
                          </w:divBdr>
                          <w:divsChild>
                            <w:div w:id="1877616295">
                              <w:marLeft w:val="0"/>
                              <w:marRight w:val="0"/>
                              <w:marTop w:val="0"/>
                              <w:marBottom w:val="0"/>
                              <w:divBdr>
                                <w:top w:val="none" w:sz="0" w:space="0" w:color="auto"/>
                                <w:left w:val="none" w:sz="0" w:space="0" w:color="auto"/>
                                <w:bottom w:val="none" w:sz="0" w:space="0" w:color="auto"/>
                                <w:right w:val="none" w:sz="0" w:space="0" w:color="auto"/>
                              </w:divBdr>
                              <w:divsChild>
                                <w:div w:id="929968821">
                                  <w:marLeft w:val="0"/>
                                  <w:marRight w:val="0"/>
                                  <w:marTop w:val="0"/>
                                  <w:marBottom w:val="0"/>
                                  <w:divBdr>
                                    <w:top w:val="none" w:sz="0" w:space="0" w:color="auto"/>
                                    <w:left w:val="none" w:sz="0" w:space="0" w:color="auto"/>
                                    <w:bottom w:val="none" w:sz="0" w:space="0" w:color="auto"/>
                                    <w:right w:val="none" w:sz="0" w:space="0" w:color="auto"/>
                                  </w:divBdr>
                                  <w:divsChild>
                                    <w:div w:id="310183514">
                                      <w:marLeft w:val="0"/>
                                      <w:marRight w:val="0"/>
                                      <w:marTop w:val="0"/>
                                      <w:marBottom w:val="0"/>
                                      <w:divBdr>
                                        <w:top w:val="none" w:sz="0" w:space="0" w:color="auto"/>
                                        <w:left w:val="none" w:sz="0" w:space="0" w:color="auto"/>
                                        <w:bottom w:val="none" w:sz="0" w:space="0" w:color="auto"/>
                                        <w:right w:val="none" w:sz="0" w:space="0" w:color="auto"/>
                                      </w:divBdr>
                                      <w:divsChild>
                                        <w:div w:id="108857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7637837">
      <w:bodyDiv w:val="1"/>
      <w:marLeft w:val="0"/>
      <w:marRight w:val="0"/>
      <w:marTop w:val="0"/>
      <w:marBottom w:val="0"/>
      <w:divBdr>
        <w:top w:val="none" w:sz="0" w:space="0" w:color="auto"/>
        <w:left w:val="none" w:sz="0" w:space="0" w:color="auto"/>
        <w:bottom w:val="none" w:sz="0" w:space="0" w:color="auto"/>
        <w:right w:val="none" w:sz="0" w:space="0" w:color="auto"/>
      </w:divBdr>
    </w:div>
    <w:div w:id="2068524667">
      <w:bodyDiv w:val="1"/>
      <w:marLeft w:val="0"/>
      <w:marRight w:val="0"/>
      <w:marTop w:val="0"/>
      <w:marBottom w:val="0"/>
      <w:divBdr>
        <w:top w:val="none" w:sz="0" w:space="0" w:color="auto"/>
        <w:left w:val="none" w:sz="0" w:space="0" w:color="auto"/>
        <w:bottom w:val="none" w:sz="0" w:space="0" w:color="auto"/>
        <w:right w:val="none" w:sz="0" w:space="0" w:color="auto"/>
      </w:divBdr>
    </w:div>
    <w:div w:id="2069181509">
      <w:bodyDiv w:val="1"/>
      <w:marLeft w:val="0"/>
      <w:marRight w:val="0"/>
      <w:marTop w:val="0"/>
      <w:marBottom w:val="0"/>
      <w:divBdr>
        <w:top w:val="none" w:sz="0" w:space="0" w:color="auto"/>
        <w:left w:val="none" w:sz="0" w:space="0" w:color="auto"/>
        <w:bottom w:val="none" w:sz="0" w:space="0" w:color="auto"/>
        <w:right w:val="none" w:sz="0" w:space="0" w:color="auto"/>
      </w:divBdr>
    </w:div>
    <w:div w:id="2069986438">
      <w:bodyDiv w:val="1"/>
      <w:marLeft w:val="0"/>
      <w:marRight w:val="0"/>
      <w:marTop w:val="0"/>
      <w:marBottom w:val="0"/>
      <w:divBdr>
        <w:top w:val="none" w:sz="0" w:space="0" w:color="auto"/>
        <w:left w:val="none" w:sz="0" w:space="0" w:color="auto"/>
        <w:bottom w:val="none" w:sz="0" w:space="0" w:color="auto"/>
        <w:right w:val="none" w:sz="0" w:space="0" w:color="auto"/>
      </w:divBdr>
    </w:div>
    <w:div w:id="2073112616">
      <w:bodyDiv w:val="1"/>
      <w:marLeft w:val="0"/>
      <w:marRight w:val="0"/>
      <w:marTop w:val="0"/>
      <w:marBottom w:val="0"/>
      <w:divBdr>
        <w:top w:val="none" w:sz="0" w:space="0" w:color="auto"/>
        <w:left w:val="none" w:sz="0" w:space="0" w:color="auto"/>
        <w:bottom w:val="none" w:sz="0" w:space="0" w:color="auto"/>
        <w:right w:val="none" w:sz="0" w:space="0" w:color="auto"/>
      </w:divBdr>
    </w:div>
    <w:div w:id="2085955459">
      <w:bodyDiv w:val="1"/>
      <w:marLeft w:val="0"/>
      <w:marRight w:val="0"/>
      <w:marTop w:val="0"/>
      <w:marBottom w:val="0"/>
      <w:divBdr>
        <w:top w:val="none" w:sz="0" w:space="0" w:color="auto"/>
        <w:left w:val="none" w:sz="0" w:space="0" w:color="auto"/>
        <w:bottom w:val="none" w:sz="0" w:space="0" w:color="auto"/>
        <w:right w:val="none" w:sz="0" w:space="0" w:color="auto"/>
      </w:divBdr>
    </w:div>
    <w:div w:id="2096323842">
      <w:bodyDiv w:val="1"/>
      <w:marLeft w:val="0"/>
      <w:marRight w:val="0"/>
      <w:marTop w:val="0"/>
      <w:marBottom w:val="0"/>
      <w:divBdr>
        <w:top w:val="none" w:sz="0" w:space="0" w:color="auto"/>
        <w:left w:val="none" w:sz="0" w:space="0" w:color="auto"/>
        <w:bottom w:val="none" w:sz="0" w:space="0" w:color="auto"/>
        <w:right w:val="none" w:sz="0" w:space="0" w:color="auto"/>
      </w:divBdr>
    </w:div>
    <w:div w:id="2108696016">
      <w:bodyDiv w:val="1"/>
      <w:marLeft w:val="0"/>
      <w:marRight w:val="0"/>
      <w:marTop w:val="0"/>
      <w:marBottom w:val="0"/>
      <w:divBdr>
        <w:top w:val="none" w:sz="0" w:space="0" w:color="auto"/>
        <w:left w:val="none" w:sz="0" w:space="0" w:color="auto"/>
        <w:bottom w:val="none" w:sz="0" w:space="0" w:color="auto"/>
        <w:right w:val="none" w:sz="0" w:space="0" w:color="auto"/>
      </w:divBdr>
    </w:div>
    <w:div w:id="2110268011">
      <w:bodyDiv w:val="1"/>
      <w:marLeft w:val="0"/>
      <w:marRight w:val="0"/>
      <w:marTop w:val="0"/>
      <w:marBottom w:val="0"/>
      <w:divBdr>
        <w:top w:val="none" w:sz="0" w:space="0" w:color="auto"/>
        <w:left w:val="none" w:sz="0" w:space="0" w:color="auto"/>
        <w:bottom w:val="none" w:sz="0" w:space="0" w:color="auto"/>
        <w:right w:val="none" w:sz="0" w:space="0" w:color="auto"/>
      </w:divBdr>
    </w:div>
    <w:div w:id="2110662864">
      <w:bodyDiv w:val="1"/>
      <w:marLeft w:val="0"/>
      <w:marRight w:val="0"/>
      <w:marTop w:val="0"/>
      <w:marBottom w:val="0"/>
      <w:divBdr>
        <w:top w:val="none" w:sz="0" w:space="0" w:color="auto"/>
        <w:left w:val="none" w:sz="0" w:space="0" w:color="auto"/>
        <w:bottom w:val="none" w:sz="0" w:space="0" w:color="auto"/>
        <w:right w:val="none" w:sz="0" w:space="0" w:color="auto"/>
      </w:divBdr>
    </w:div>
    <w:div w:id="2118407869">
      <w:bodyDiv w:val="1"/>
      <w:marLeft w:val="0"/>
      <w:marRight w:val="0"/>
      <w:marTop w:val="0"/>
      <w:marBottom w:val="0"/>
      <w:divBdr>
        <w:top w:val="none" w:sz="0" w:space="0" w:color="auto"/>
        <w:left w:val="none" w:sz="0" w:space="0" w:color="auto"/>
        <w:bottom w:val="none" w:sz="0" w:space="0" w:color="auto"/>
        <w:right w:val="none" w:sz="0" w:space="0" w:color="auto"/>
      </w:divBdr>
    </w:div>
    <w:div w:id="2131128390">
      <w:bodyDiv w:val="1"/>
      <w:marLeft w:val="0"/>
      <w:marRight w:val="0"/>
      <w:marTop w:val="0"/>
      <w:marBottom w:val="0"/>
      <w:divBdr>
        <w:top w:val="none" w:sz="0" w:space="0" w:color="auto"/>
        <w:left w:val="none" w:sz="0" w:space="0" w:color="auto"/>
        <w:bottom w:val="none" w:sz="0" w:space="0" w:color="auto"/>
        <w:right w:val="none" w:sz="0" w:space="0" w:color="auto"/>
      </w:divBdr>
    </w:div>
    <w:div w:id="2142531499">
      <w:bodyDiv w:val="1"/>
      <w:marLeft w:val="0"/>
      <w:marRight w:val="0"/>
      <w:marTop w:val="0"/>
      <w:marBottom w:val="0"/>
      <w:divBdr>
        <w:top w:val="none" w:sz="0" w:space="0" w:color="auto"/>
        <w:left w:val="none" w:sz="0" w:space="0" w:color="auto"/>
        <w:bottom w:val="none" w:sz="0" w:space="0" w:color="auto"/>
        <w:right w:val="none" w:sz="0" w:space="0" w:color="auto"/>
      </w:divBdr>
    </w:div>
    <w:div w:id="2146042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hart" Target="charts/chart1.xml"/><Relationship Id="rId26" Type="http://schemas.openxmlformats.org/officeDocument/2006/relationships/chart" Target="charts/chart3.xml"/><Relationship Id="rId39" Type="http://schemas.openxmlformats.org/officeDocument/2006/relationships/customXml" Target="../customXml/item5.xml"/><Relationship Id="rId21" Type="http://schemas.openxmlformats.org/officeDocument/2006/relationships/image" Target="media/image13.png"/><Relationship Id="rId34" Type="http://schemas.openxmlformats.org/officeDocument/2006/relationships/image" Target="media/image24.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19.undefined"/><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chart" Target="charts/chart2.xml"/><Relationship Id="rId32" Type="http://schemas.openxmlformats.org/officeDocument/2006/relationships/image" Target="media/image22.png"/><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15.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4.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3" Type="http://schemas.openxmlformats.org/officeDocument/2006/relationships/image" Target="media/image70.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ACS\OneDrive%20-%20Africa%20Climate%20Solutions\Desktop\Book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CS\Downloads\NDC%20MALI%20FOR&#234;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7"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Résidentiel</c:v>
          </c:tx>
          <c:spPr>
            <a:ln w="28575" cap="rnd">
              <a:solidFill>
                <a:schemeClr val="accent1"/>
              </a:solidFill>
              <a:round/>
            </a:ln>
            <a:effectLst/>
          </c:spPr>
          <c:marker>
            <c:symbol val="none"/>
          </c:marker>
          <c:cat>
            <c:numRef>
              <c:f>Sheet1!$B$3:$AA$3</c:f>
              <c:numCache>
                <c:formatCode>General</c:formatCode>
                <c:ptCount val="2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numCache>
            </c:numRef>
          </c:cat>
          <c:val>
            <c:numRef>
              <c:f>Sheet1!$B$4:$AA$4</c:f>
              <c:numCache>
                <c:formatCode>_ * #,##0.0_ ;_ * \-#,##0.0_ ;_ * ""\-""??_ ;_ @_ </c:formatCode>
                <c:ptCount val="26"/>
                <c:pt idx="0">
                  <c:v>747.20999944272455</c:v>
                </c:pt>
                <c:pt idx="1">
                  <c:v>742.66000228860037</c:v>
                </c:pt>
                <c:pt idx="2">
                  <c:v>753.44000133907127</c:v>
                </c:pt>
                <c:pt idx="3">
                  <c:v>817.89000088212777</c:v>
                </c:pt>
                <c:pt idx="4">
                  <c:v>810.97999997581076</c:v>
                </c:pt>
                <c:pt idx="5">
                  <c:v>882.78000193836499</c:v>
                </c:pt>
                <c:pt idx="6">
                  <c:v>836.26000093836831</c:v>
                </c:pt>
                <c:pt idx="7">
                  <c:v>858.93999986139409</c:v>
                </c:pt>
                <c:pt idx="8">
                  <c:v>939.54999747659986</c:v>
                </c:pt>
                <c:pt idx="9">
                  <c:v>1723.4900023192804</c:v>
                </c:pt>
                <c:pt idx="10">
                  <c:v>1790.1899997732648</c:v>
                </c:pt>
                <c:pt idx="11">
                  <c:v>989.76000302718558</c:v>
                </c:pt>
                <c:pt idx="12">
                  <c:v>1740.2600001357459</c:v>
                </c:pt>
                <c:pt idx="13">
                  <c:v>1789.7000332496855</c:v>
                </c:pt>
                <c:pt idx="14">
                  <c:v>2202.4023567191534</c:v>
                </c:pt>
                <c:pt idx="15">
                  <c:v>2195.323746272486</c:v>
                </c:pt>
                <c:pt idx="16">
                  <c:v>2350.4837405156309</c:v>
                </c:pt>
                <c:pt idx="17">
                  <c:v>2516.595119735457</c:v>
                </c:pt>
                <c:pt idx="18">
                  <c:v>2694.4314649247713</c:v>
                </c:pt>
                <c:pt idx="19">
                  <c:v>2884.8193885222381</c:v>
                </c:pt>
                <c:pt idx="20">
                  <c:v>3088.6408718004259</c:v>
                </c:pt>
                <c:pt idx="21">
                  <c:v>3306.8457082704322</c:v>
                </c:pt>
                <c:pt idx="22">
                  <c:v>3540.4471472490695</c:v>
                </c:pt>
                <c:pt idx="23">
                  <c:v>3790.5289280238067</c:v>
                </c:pt>
                <c:pt idx="24">
                  <c:v>4058.2543036291681</c:v>
                </c:pt>
                <c:pt idx="25">
                  <c:v>4344.8634811131396</c:v>
                </c:pt>
              </c:numCache>
            </c:numRef>
          </c:val>
          <c:smooth val="0"/>
          <c:extLst>
            <c:ext xmlns:c16="http://schemas.microsoft.com/office/drawing/2014/chart" uri="{C3380CC4-5D6E-409C-BE32-E72D297353CC}">
              <c16:uniqueId val="{00000000-57BC-422C-AB01-13D7F5EA269A}"/>
            </c:ext>
          </c:extLst>
        </c:ser>
        <c:ser>
          <c:idx val="1"/>
          <c:order val="1"/>
          <c:tx>
            <c:v>Transport</c:v>
          </c:tx>
          <c:spPr>
            <a:ln w="28575" cap="rnd">
              <a:solidFill>
                <a:schemeClr val="accent2">
                  <a:lumMod val="50000"/>
                </a:schemeClr>
              </a:solidFill>
              <a:round/>
            </a:ln>
            <a:effectLst/>
          </c:spPr>
          <c:marker>
            <c:symbol val="none"/>
          </c:marker>
          <c:cat>
            <c:numRef>
              <c:f>Sheet1!$B$3:$AA$3</c:f>
              <c:numCache>
                <c:formatCode>General</c:formatCode>
                <c:ptCount val="2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numCache>
            </c:numRef>
          </c:cat>
          <c:val>
            <c:numRef>
              <c:f>Sheet1!$B$5:$AA$5</c:f>
              <c:numCache>
                <c:formatCode>_ * #,##0.0_ ;_ * \-#,##0.0_ ;_ * ""\-""??_ ;_ @_ </c:formatCode>
                <c:ptCount val="26"/>
                <c:pt idx="0">
                  <c:v>3537.1449624163415</c:v>
                </c:pt>
                <c:pt idx="1">
                  <c:v>3743.024612009237</c:v>
                </c:pt>
                <c:pt idx="2">
                  <c:v>3832.7519599674433</c:v>
                </c:pt>
                <c:pt idx="3">
                  <c:v>4007.7901757029817</c:v>
                </c:pt>
                <c:pt idx="4">
                  <c:v>4209.6643572815228</c:v>
                </c:pt>
                <c:pt idx="5">
                  <c:v>4348.8648584452521</c:v>
                </c:pt>
                <c:pt idx="6">
                  <c:v>4530.9365320457564</c:v>
                </c:pt>
                <c:pt idx="7">
                  <c:v>4739.8471364315337</c:v>
                </c:pt>
                <c:pt idx="8">
                  <c:v>4936.2140600272978</c:v>
                </c:pt>
                <c:pt idx="9">
                  <c:v>5132.4441207424143</c:v>
                </c:pt>
                <c:pt idx="10">
                  <c:v>5121.5519889167463</c:v>
                </c:pt>
                <c:pt idx="11">
                  <c:v>5440.4960803462245</c:v>
                </c:pt>
                <c:pt idx="12">
                  <c:v>5724.7631158018021</c:v>
                </c:pt>
                <c:pt idx="13">
                  <c:v>5814.8445722668066</c:v>
                </c:pt>
                <c:pt idx="14">
                  <c:v>5967.3891480481843</c:v>
                </c:pt>
                <c:pt idx="15">
                  <c:v>6147.1680101138054</c:v>
                </c:pt>
                <c:pt idx="16">
                  <c:v>6486.1948477531396</c:v>
                </c:pt>
                <c:pt idx="17">
                  <c:v>6809.327718901799</c:v>
                </c:pt>
                <c:pt idx="18">
                  <c:v>7152.2596364470692</c:v>
                </c:pt>
                <c:pt idx="19">
                  <c:v>7518.0873344929905</c:v>
                </c:pt>
                <c:pt idx="20">
                  <c:v>7907.9360585596914</c:v>
                </c:pt>
                <c:pt idx="21">
                  <c:v>8323.8091731171644</c:v>
                </c:pt>
                <c:pt idx="22">
                  <c:v>8767.9027039240864</c:v>
                </c:pt>
                <c:pt idx="23">
                  <c:v>9241.771930814708</c:v>
                </c:pt>
                <c:pt idx="24">
                  <c:v>9749.2236882731559</c:v>
                </c:pt>
                <c:pt idx="25">
                  <c:v>10293.310655508212</c:v>
                </c:pt>
              </c:numCache>
            </c:numRef>
          </c:val>
          <c:smooth val="0"/>
          <c:extLst>
            <c:ext xmlns:c16="http://schemas.microsoft.com/office/drawing/2014/chart" uri="{C3380CC4-5D6E-409C-BE32-E72D297353CC}">
              <c16:uniqueId val="{00000001-57BC-422C-AB01-13D7F5EA269A}"/>
            </c:ext>
          </c:extLst>
        </c:ser>
        <c:ser>
          <c:idx val="2"/>
          <c:order val="2"/>
          <c:tx>
            <c:v>Tertiaire/commercial</c:v>
          </c:tx>
          <c:spPr>
            <a:ln w="28575" cap="rnd">
              <a:solidFill>
                <a:schemeClr val="accent3"/>
              </a:solidFill>
              <a:round/>
            </a:ln>
            <a:effectLst/>
          </c:spPr>
          <c:marker>
            <c:symbol val="none"/>
          </c:marker>
          <c:cat>
            <c:numRef>
              <c:f>Sheet1!$B$3:$AA$3</c:f>
              <c:numCache>
                <c:formatCode>General</c:formatCode>
                <c:ptCount val="2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numCache>
            </c:numRef>
          </c:cat>
          <c:val>
            <c:numRef>
              <c:f>Sheet1!$B$6:$AA$6</c:f>
              <c:numCache>
                <c:formatCode>_ * #,##0.0_ ;_ * \-#,##0.0_ ;_ * ""\-""??_ ;_ @_ </c:formatCode>
                <c:ptCount val="26"/>
                <c:pt idx="0">
                  <c:v>162.27737717958541</c:v>
                </c:pt>
                <c:pt idx="1">
                  <c:v>170.19334679810177</c:v>
                </c:pt>
                <c:pt idx="2">
                  <c:v>174.15133160735996</c:v>
                </c:pt>
                <c:pt idx="3">
                  <c:v>182.06730122587632</c:v>
                </c:pt>
                <c:pt idx="4">
                  <c:v>193.94125565365087</c:v>
                </c:pt>
                <c:pt idx="5">
                  <c:v>193.94125565365087</c:v>
                </c:pt>
                <c:pt idx="6">
                  <c:v>200.97554870161127</c:v>
                </c:pt>
                <c:pt idx="7">
                  <c:v>219.0021196067903</c:v>
                </c:pt>
                <c:pt idx="8">
                  <c:v>229.99439746400893</c:v>
                </c:pt>
                <c:pt idx="9">
                  <c:v>234.83405884382304</c:v>
                </c:pt>
                <c:pt idx="10">
                  <c:v>279.66572732676627</c:v>
                </c:pt>
                <c:pt idx="11">
                  <c:v>253.742306319558</c:v>
                </c:pt>
                <c:pt idx="12">
                  <c:v>258.58196769937211</c:v>
                </c:pt>
                <c:pt idx="13">
                  <c:v>266.49793731788844</c:v>
                </c:pt>
                <c:pt idx="14">
                  <c:v>274.84518546343929</c:v>
                </c:pt>
                <c:pt idx="15">
                  <c:v>278.8031702726974</c:v>
                </c:pt>
                <c:pt idx="16">
                  <c:v>293.38019285113307</c:v>
                </c:pt>
                <c:pt idx="17">
                  <c:v>308.61572164915293</c:v>
                </c:pt>
                <c:pt idx="18">
                  <c:v>324.53730569963614</c:v>
                </c:pt>
                <c:pt idx="19">
                  <c:v>341.17361848578327</c:v>
                </c:pt>
                <c:pt idx="20">
                  <c:v>358.55449308018933</c:v>
                </c:pt>
                <c:pt idx="21">
                  <c:v>376.71099242298811</c:v>
                </c:pt>
                <c:pt idx="22">
                  <c:v>395.67533904370833</c:v>
                </c:pt>
                <c:pt idx="23">
                  <c:v>415.4810907566345</c:v>
                </c:pt>
                <c:pt idx="24">
                  <c:v>436.16314066080878</c:v>
                </c:pt>
                <c:pt idx="25">
                  <c:v>457.75775227910304</c:v>
                </c:pt>
              </c:numCache>
            </c:numRef>
          </c:val>
          <c:smooth val="0"/>
          <c:extLst>
            <c:ext xmlns:c16="http://schemas.microsoft.com/office/drawing/2014/chart" uri="{C3380CC4-5D6E-409C-BE32-E72D297353CC}">
              <c16:uniqueId val="{00000002-57BC-422C-AB01-13D7F5EA269A}"/>
            </c:ext>
          </c:extLst>
        </c:ser>
        <c:ser>
          <c:idx val="3"/>
          <c:order val="3"/>
          <c:tx>
            <c:v>Industrie</c:v>
          </c:tx>
          <c:spPr>
            <a:ln w="28575" cap="rnd">
              <a:solidFill>
                <a:schemeClr val="accent4"/>
              </a:solidFill>
              <a:round/>
            </a:ln>
            <a:effectLst/>
          </c:spPr>
          <c:marker>
            <c:symbol val="none"/>
          </c:marker>
          <c:cat>
            <c:numRef>
              <c:f>Sheet1!$B$3:$AA$3</c:f>
              <c:numCache>
                <c:formatCode>General</c:formatCode>
                <c:ptCount val="2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numCache>
            </c:numRef>
          </c:cat>
          <c:val>
            <c:numRef>
              <c:f>Sheet1!$B$7:$AA$7</c:f>
              <c:numCache>
                <c:formatCode>_ * #,##0.0_ ;_ * \-#,##0.0_ ;_ * ""\-""??_ ;_ @_ </c:formatCode>
                <c:ptCount val="26"/>
                <c:pt idx="0">
                  <c:v>3.046717437438236</c:v>
                </c:pt>
                <c:pt idx="1">
                  <c:v>54.840913902720857</c:v>
                </c:pt>
                <c:pt idx="2">
                  <c:v>54.840913896807493</c:v>
                </c:pt>
                <c:pt idx="3">
                  <c:v>106.63511034825009</c:v>
                </c:pt>
                <c:pt idx="4">
                  <c:v>295.53159154988577</c:v>
                </c:pt>
                <c:pt idx="5">
                  <c:v>399.11998439017003</c:v>
                </c:pt>
                <c:pt idx="6">
                  <c:v>149.28915450498158</c:v>
                </c:pt>
                <c:pt idx="7">
                  <c:v>0</c:v>
                </c:pt>
                <c:pt idx="8">
                  <c:v>0</c:v>
                </c:pt>
                <c:pt idx="9">
                  <c:v>15.233587191897444</c:v>
                </c:pt>
                <c:pt idx="10">
                  <c:v>12.186869754620012</c:v>
                </c:pt>
                <c:pt idx="11">
                  <c:v>24.373739508343807</c:v>
                </c:pt>
                <c:pt idx="12">
                  <c:v>164.5227416914035</c:v>
                </c:pt>
                <c:pt idx="13">
                  <c:v>51.794196443941587</c:v>
                </c:pt>
                <c:pt idx="14">
                  <c:v>70.074501095908346</c:v>
                </c:pt>
                <c:pt idx="15">
                  <c:v>73.121218519013496</c:v>
                </c:pt>
                <c:pt idx="16">
                  <c:v>73.619661491920453</c:v>
                </c:pt>
                <c:pt idx="17">
                  <c:v>74.123493803304115</c:v>
                </c:pt>
                <c:pt idx="18">
                  <c:v>74.632823651612597</c:v>
                </c:pt>
                <c:pt idx="19">
                  <c:v>75.147762235111486</c:v>
                </c:pt>
                <c:pt idx="20">
                  <c:v>75.66842384288303</c:v>
                </c:pt>
                <c:pt idx="21">
                  <c:v>76.19492594864424</c:v>
                </c:pt>
                <c:pt idx="22">
                  <c:v>76.727389307471441</c:v>
                </c:pt>
                <c:pt idx="23">
                  <c:v>77.265938055522184</c:v>
                </c:pt>
                <c:pt idx="24">
                  <c:v>77.810699812847673</c:v>
                </c:pt>
                <c:pt idx="25">
                  <c:v>78.361805789391653</c:v>
                </c:pt>
              </c:numCache>
            </c:numRef>
          </c:val>
          <c:smooth val="0"/>
          <c:extLst>
            <c:ext xmlns:c16="http://schemas.microsoft.com/office/drawing/2014/chart" uri="{C3380CC4-5D6E-409C-BE32-E72D297353CC}">
              <c16:uniqueId val="{00000003-57BC-422C-AB01-13D7F5EA269A}"/>
            </c:ext>
          </c:extLst>
        </c:ser>
        <c:ser>
          <c:idx val="4"/>
          <c:order val="4"/>
          <c:tx>
            <c:v>Agriculture et pêche</c:v>
          </c:tx>
          <c:spPr>
            <a:ln w="28575" cap="rnd">
              <a:solidFill>
                <a:schemeClr val="accent5"/>
              </a:solidFill>
              <a:round/>
            </a:ln>
            <a:effectLst/>
          </c:spPr>
          <c:marker>
            <c:symbol val="none"/>
          </c:marker>
          <c:cat>
            <c:numRef>
              <c:f>Sheet1!$B$3:$AA$3</c:f>
              <c:numCache>
                <c:formatCode>General</c:formatCode>
                <c:ptCount val="2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numCache>
            </c:numRef>
          </c:cat>
          <c:val>
            <c:numRef>
              <c:f>Sheet1!$B$8:$AA$8</c:f>
              <c:numCache>
                <c:formatCode>_ * #,##0.0_ ;_ * \-#,##0.0_ ;_ * ""\-""??_ ;_ @_ </c:formatCode>
                <c:ptCount val="26"/>
                <c:pt idx="0">
                  <c:v>0</c:v>
                </c:pt>
                <c:pt idx="1">
                  <c:v>12.224249504593395</c:v>
                </c:pt>
                <c:pt idx="2">
                  <c:v>12.224249504530137</c:v>
                </c:pt>
                <c:pt idx="3">
                  <c:v>125.29855740345982</c:v>
                </c:pt>
                <c:pt idx="4">
                  <c:v>103.90612079443093</c:v>
                </c:pt>
                <c:pt idx="5">
                  <c:v>103.9061208160312</c:v>
                </c:pt>
                <c:pt idx="6">
                  <c:v>168.0834306572001</c:v>
                </c:pt>
                <c:pt idx="7">
                  <c:v>168.08343067942383</c:v>
                </c:pt>
                <c:pt idx="8">
                  <c:v>168.08343068562158</c:v>
                </c:pt>
                <c:pt idx="9">
                  <c:v>195.58799205748059</c:v>
                </c:pt>
                <c:pt idx="10">
                  <c:v>223.09255348031476</c:v>
                </c:pt>
                <c:pt idx="11">
                  <c:v>299.49411282961455</c:v>
                </c:pt>
                <c:pt idx="12">
                  <c:v>226.14861583936559</c:v>
                </c:pt>
                <c:pt idx="13">
                  <c:v>250.59711486132062</c:v>
                </c:pt>
                <c:pt idx="14">
                  <c:v>302.55017524374171</c:v>
                </c:pt>
                <c:pt idx="15">
                  <c:v>323.94261186801731</c:v>
                </c:pt>
                <c:pt idx="16">
                  <c:v>330.58343541131165</c:v>
                </c:pt>
                <c:pt idx="17">
                  <c:v>337.36039583724346</c:v>
                </c:pt>
                <c:pt idx="18">
                  <c:v>344.27628395190692</c:v>
                </c:pt>
                <c:pt idx="19">
                  <c:v>351.33394777292102</c:v>
                </c:pt>
                <c:pt idx="20">
                  <c:v>358.53629370226588</c:v>
                </c:pt>
                <c:pt idx="21">
                  <c:v>365.8862877231623</c:v>
                </c:pt>
                <c:pt idx="22">
                  <c:v>373.38695662148717</c:v>
                </c:pt>
                <c:pt idx="23">
                  <c:v>381.04138923222763</c:v>
                </c:pt>
                <c:pt idx="24">
                  <c:v>388.85273771148826</c:v>
                </c:pt>
                <c:pt idx="25">
                  <c:v>396.8242188345738</c:v>
                </c:pt>
              </c:numCache>
            </c:numRef>
          </c:val>
          <c:smooth val="0"/>
          <c:extLst>
            <c:ext xmlns:c16="http://schemas.microsoft.com/office/drawing/2014/chart" uri="{C3380CC4-5D6E-409C-BE32-E72D297353CC}">
              <c16:uniqueId val="{00000004-57BC-422C-AB01-13D7F5EA269A}"/>
            </c:ext>
          </c:extLst>
        </c:ser>
        <c:ser>
          <c:idx val="5"/>
          <c:order val="5"/>
          <c:tx>
            <c:v>Industries énergétiques</c:v>
          </c:tx>
          <c:spPr>
            <a:ln w="28575" cap="rnd">
              <a:solidFill>
                <a:schemeClr val="accent6"/>
              </a:solidFill>
              <a:round/>
            </a:ln>
            <a:effectLst/>
          </c:spPr>
          <c:marker>
            <c:symbol val="none"/>
          </c:marker>
          <c:cat>
            <c:numRef>
              <c:f>Sheet1!$B$3:$AA$3</c:f>
              <c:numCache>
                <c:formatCode>General</c:formatCode>
                <c:ptCount val="26"/>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pt idx="21">
                  <c:v>2031</c:v>
                </c:pt>
                <c:pt idx="22">
                  <c:v>2032</c:v>
                </c:pt>
                <c:pt idx="23">
                  <c:v>2033</c:v>
                </c:pt>
                <c:pt idx="24">
                  <c:v>2034</c:v>
                </c:pt>
                <c:pt idx="25">
                  <c:v>2035</c:v>
                </c:pt>
              </c:numCache>
            </c:numRef>
          </c:cat>
          <c:val>
            <c:numRef>
              <c:f>Sheet1!$B$11:$AA$11</c:f>
              <c:numCache>
                <c:formatCode>_ * #,##0.0_ ;_ * \-#,##0.0_ ;_ * ""\-""??_ ;_ @_ </c:formatCode>
                <c:ptCount val="26"/>
                <c:pt idx="0">
                  <c:v>552.22844650742104</c:v>
                </c:pt>
                <c:pt idx="1">
                  <c:v>452.90420623842692</c:v>
                </c:pt>
                <c:pt idx="2">
                  <c:v>534.13827552772568</c:v>
                </c:pt>
                <c:pt idx="3">
                  <c:v>720.74440215672678</c:v>
                </c:pt>
                <c:pt idx="4">
                  <c:v>707.06956669704607</c:v>
                </c:pt>
                <c:pt idx="5">
                  <c:v>645.93273783057805</c:v>
                </c:pt>
                <c:pt idx="6">
                  <c:v>759.61587731950749</c:v>
                </c:pt>
                <c:pt idx="7">
                  <c:v>935.36976298071988</c:v>
                </c:pt>
                <c:pt idx="8">
                  <c:v>1031.6830435766692</c:v>
                </c:pt>
                <c:pt idx="9">
                  <c:v>1912.2763360815663</c:v>
                </c:pt>
                <c:pt idx="10">
                  <c:v>2424.3986179165231</c:v>
                </c:pt>
                <c:pt idx="11">
                  <c:v>1796.7992192056959</c:v>
                </c:pt>
                <c:pt idx="12">
                  <c:v>2247.3050688059907</c:v>
                </c:pt>
                <c:pt idx="13">
                  <c:v>3442.5419158449813</c:v>
                </c:pt>
                <c:pt idx="14">
                  <c:v>3237.6461924464616</c:v>
                </c:pt>
                <c:pt idx="15">
                  <c:v>3500.985428131271</c:v>
                </c:pt>
                <c:pt idx="16">
                  <c:v>3712.1300733126482</c:v>
                </c:pt>
                <c:pt idx="17">
                  <c:v>3937.535730273888</c:v>
                </c:pt>
                <c:pt idx="18">
                  <c:v>4177.0474103660499</c:v>
                </c:pt>
                <c:pt idx="19">
                  <c:v>4430.3939263431967</c:v>
                </c:pt>
                <c:pt idx="20">
                  <c:v>4964.3914455716449</c:v>
                </c:pt>
                <c:pt idx="21">
                  <c:v>5273.3803593865423</c:v>
                </c:pt>
                <c:pt idx="22">
                  <c:v>5603.8252986640673</c:v>
                </c:pt>
                <c:pt idx="23">
                  <c:v>5954.5710768093913</c:v>
                </c:pt>
                <c:pt idx="24">
                  <c:v>6325.7944682024536</c:v>
                </c:pt>
                <c:pt idx="25">
                  <c:v>6916.7983527620381</c:v>
                </c:pt>
              </c:numCache>
            </c:numRef>
          </c:val>
          <c:smooth val="0"/>
          <c:extLst>
            <c:ext xmlns:c16="http://schemas.microsoft.com/office/drawing/2014/chart" uri="{C3380CC4-5D6E-409C-BE32-E72D297353CC}">
              <c16:uniqueId val="{00000005-57BC-422C-AB01-13D7F5EA269A}"/>
            </c:ext>
          </c:extLst>
        </c:ser>
        <c:dLbls>
          <c:showLegendKey val="0"/>
          <c:showVal val="0"/>
          <c:showCatName val="0"/>
          <c:showSerName val="0"/>
          <c:showPercent val="0"/>
          <c:showBubbleSize val="0"/>
        </c:dLbls>
        <c:smooth val="0"/>
        <c:axId val="364016800"/>
        <c:axId val="1390422767"/>
      </c:lineChart>
      <c:catAx>
        <c:axId val="364016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390422767"/>
        <c:crosses val="autoZero"/>
        <c:auto val="1"/>
        <c:lblAlgn val="ctr"/>
        <c:lblOffset val="100"/>
        <c:noMultiLvlLbl val="0"/>
      </c:catAx>
      <c:valAx>
        <c:axId val="1390422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Emissions en kTCO</a:t>
                </a:r>
                <a:r>
                  <a:rPr lang="en-US" baseline="-25000"/>
                  <a:t>2</a:t>
                </a:r>
                <a:r>
                  <a:rPr lang="en-US"/>
                  <a:t>éq</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_ * #,##0.0_ ;_ * \-#,##0.0_ ;_ * &quot;&quot;\-&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64016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none" spc="0" normalizeH="0" baseline="0">
                <a:solidFill>
                  <a:schemeClr val="dk1">
                    <a:lumMod val="50000"/>
                    <a:lumOff val="50000"/>
                  </a:schemeClr>
                </a:solidFill>
                <a:latin typeface="+mj-lt"/>
                <a:ea typeface="+mj-ea"/>
                <a:cs typeface="+mj-cs"/>
              </a:defRPr>
            </a:pPr>
            <a:r>
              <a:rPr lang="fr-FR" sz="1100"/>
              <a:t>Ligne de base du secteur forêt</a:t>
            </a:r>
          </a:p>
        </c:rich>
      </c:tx>
      <c:overlay val="0"/>
      <c:spPr>
        <a:noFill/>
        <a:ln>
          <a:noFill/>
        </a:ln>
        <a:effectLst/>
      </c:spPr>
      <c:txPr>
        <a:bodyPr rot="0" spcFirstLastPara="1" vertOverflow="ellipsis" vert="horz" wrap="square" anchor="ctr" anchorCtr="1"/>
        <a:lstStyle/>
        <a:p>
          <a:pPr>
            <a:defRPr sz="1100" b="1" i="0" u="none" strike="noStrike" kern="1200" cap="none" spc="0" normalizeH="0" baseline="0">
              <a:solidFill>
                <a:schemeClr val="dk1">
                  <a:lumMod val="50000"/>
                  <a:lumOff val="50000"/>
                </a:schemeClr>
              </a:solidFill>
              <a:latin typeface="+mj-lt"/>
              <a:ea typeface="+mj-ea"/>
              <a:cs typeface="+mj-cs"/>
            </a:defRPr>
          </a:pPr>
          <a:endParaRPr lang="fr-FR"/>
        </a:p>
      </c:txPr>
    </c:title>
    <c:autoTitleDeleted val="0"/>
    <c:plotArea>
      <c:layout/>
      <c:lineChart>
        <c:grouping val="standard"/>
        <c:varyColors val="0"/>
        <c:ser>
          <c:idx val="0"/>
          <c:order val="0"/>
          <c:tx>
            <c:strRef>
              <c:f>'FINALE 1 (2)'!$C$14</c:f>
              <c:strCache>
                <c:ptCount val="1"/>
                <c:pt idx="0">
                  <c:v>Ligne de base (ktCO2eq)</c:v>
                </c:pt>
              </c:strCache>
            </c:strRef>
          </c:tx>
          <c:spPr>
            <a:ln w="22225" cap="rnd">
              <a:solidFill>
                <a:schemeClr val="accent2"/>
              </a:solidFill>
              <a:round/>
            </a:ln>
            <a:effectLst/>
          </c:spPr>
          <c:marker>
            <c:symbol val="none"/>
          </c:marker>
          <c:trendline>
            <c:spPr>
              <a:ln w="19050" cap="rnd">
                <a:solidFill>
                  <a:schemeClr val="accent2"/>
                </a:solidFill>
              </a:ln>
              <a:effectLst/>
            </c:spPr>
            <c:trendlineType val="linear"/>
            <c:dispRSqr val="0"/>
            <c:dispEq val="0"/>
          </c:trendline>
          <c:cat>
            <c:numRef>
              <c:f>'FINALE 1 (2)'!$D$13:$M$13</c:f>
              <c:numCache>
                <c:formatCode>General</c:formatCode>
                <c:ptCount val="10"/>
                <c:pt idx="0">
                  <c:v>2026</c:v>
                </c:pt>
                <c:pt idx="1">
                  <c:v>2027</c:v>
                </c:pt>
                <c:pt idx="2">
                  <c:v>2028</c:v>
                </c:pt>
                <c:pt idx="3">
                  <c:v>2029</c:v>
                </c:pt>
                <c:pt idx="4">
                  <c:v>2030</c:v>
                </c:pt>
                <c:pt idx="5">
                  <c:v>2031</c:v>
                </c:pt>
                <c:pt idx="6">
                  <c:v>2032</c:v>
                </c:pt>
                <c:pt idx="7">
                  <c:v>2033</c:v>
                </c:pt>
                <c:pt idx="8">
                  <c:v>2034</c:v>
                </c:pt>
                <c:pt idx="9">
                  <c:v>2035</c:v>
                </c:pt>
              </c:numCache>
            </c:numRef>
          </c:cat>
          <c:val>
            <c:numRef>
              <c:f>'FINALE 1 (2)'!$D$14:$M$14</c:f>
              <c:numCache>
                <c:formatCode>_-* #,##0_-;\-* #,##0_-;_-* "-"??_-;_-@_-</c:formatCode>
                <c:ptCount val="10"/>
                <c:pt idx="0">
                  <c:v>-258086</c:v>
                </c:pt>
                <c:pt idx="1">
                  <c:v>-258422</c:v>
                </c:pt>
                <c:pt idx="2">
                  <c:v>-258758</c:v>
                </c:pt>
                <c:pt idx="3">
                  <c:v>-259094</c:v>
                </c:pt>
                <c:pt idx="4">
                  <c:v>-259430</c:v>
                </c:pt>
                <c:pt idx="5">
                  <c:v>-259766</c:v>
                </c:pt>
                <c:pt idx="6">
                  <c:v>-260102</c:v>
                </c:pt>
                <c:pt idx="7">
                  <c:v>-260438</c:v>
                </c:pt>
                <c:pt idx="8">
                  <c:v>-260774</c:v>
                </c:pt>
                <c:pt idx="9">
                  <c:v>-261110</c:v>
                </c:pt>
              </c:numCache>
            </c:numRef>
          </c:val>
          <c:smooth val="0"/>
          <c:extLst>
            <c:ext xmlns:c16="http://schemas.microsoft.com/office/drawing/2014/chart" uri="{C3380CC4-5D6E-409C-BE32-E72D297353CC}">
              <c16:uniqueId val="{00000001-3042-4FE8-B961-92002055D6DE}"/>
            </c:ext>
          </c:extLst>
        </c:ser>
        <c:dLbls>
          <c:showLegendKey val="0"/>
          <c:showVal val="0"/>
          <c:showCatName val="0"/>
          <c:showSerName val="0"/>
          <c:showPercent val="0"/>
          <c:showBubbleSize val="0"/>
        </c:dLbls>
        <c:smooth val="0"/>
        <c:axId val="785476216"/>
        <c:axId val="785473696"/>
      </c:lineChart>
      <c:catAx>
        <c:axId val="785476216"/>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fr-FR"/>
          </a:p>
        </c:txPr>
        <c:crossAx val="785473696"/>
        <c:crosses val="autoZero"/>
        <c:auto val="1"/>
        <c:lblAlgn val="ctr"/>
        <c:lblOffset val="100"/>
        <c:noMultiLvlLbl val="0"/>
      </c:catAx>
      <c:valAx>
        <c:axId val="785473696"/>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fr-FR"/>
                  <a:t>kTCO</a:t>
                </a:r>
                <a:r>
                  <a:rPr lang="fr-FR" baseline="-25000"/>
                  <a:t>2</a:t>
                </a:r>
                <a:r>
                  <a:rPr lang="fr-FR"/>
                  <a:t>eq</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fr-FR"/>
            </a:p>
          </c:txPr>
        </c:title>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crossAx val="785476216"/>
        <c:crosses val="autoZero"/>
        <c:crossBetween val="between"/>
      </c:valAx>
      <c:spPr>
        <a:pattFill prst="ltDnDiag">
          <a:fgClr>
            <a:schemeClr val="dk1">
              <a:lumMod val="15000"/>
              <a:lumOff val="85000"/>
            </a:schemeClr>
          </a:fgClr>
          <a:bgClr>
            <a:schemeClr val="lt1"/>
          </a:bgClr>
        </a:pattFill>
        <a:ln>
          <a:noFill/>
        </a:ln>
        <a:effectLst/>
      </c:spPr>
    </c:plotArea>
    <c:legend>
      <c:legendPos val="b"/>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cap="none" spc="0" normalizeH="0" baseline="0">
                <a:solidFill>
                  <a:schemeClr val="dk1">
                    <a:lumMod val="50000"/>
                    <a:lumOff val="50000"/>
                  </a:schemeClr>
                </a:solidFill>
                <a:latin typeface="+mj-lt"/>
                <a:ea typeface="+mj-ea"/>
                <a:cs typeface="+mj-cs"/>
              </a:defRPr>
            </a:pPr>
            <a:r>
              <a:rPr lang="fr-FR" sz="1100"/>
              <a:t>Ligne</a:t>
            </a:r>
            <a:r>
              <a:rPr lang="fr-FR" sz="1100" baseline="0"/>
              <a:t> de base du secteur déchet</a:t>
            </a:r>
            <a:endParaRPr lang="fr-FR" sz="1100"/>
          </a:p>
        </c:rich>
      </c:tx>
      <c:overlay val="0"/>
      <c:spPr>
        <a:noFill/>
        <a:ln>
          <a:noFill/>
        </a:ln>
        <a:effectLst/>
      </c:spPr>
      <c:txPr>
        <a:bodyPr rot="0" spcFirstLastPara="1" vertOverflow="ellipsis" vert="horz" wrap="square" anchor="ctr" anchorCtr="1"/>
        <a:lstStyle/>
        <a:p>
          <a:pPr>
            <a:defRPr sz="1100" b="1" i="0" u="none" strike="noStrike" kern="1200" cap="none" spc="0" normalizeH="0" baseline="0">
              <a:solidFill>
                <a:schemeClr val="dk1">
                  <a:lumMod val="50000"/>
                  <a:lumOff val="50000"/>
                </a:schemeClr>
              </a:solidFill>
              <a:latin typeface="+mj-lt"/>
              <a:ea typeface="+mj-ea"/>
              <a:cs typeface="+mj-cs"/>
            </a:defRPr>
          </a:pPr>
          <a:endParaRPr lang="fr-FR"/>
        </a:p>
      </c:txPr>
    </c:title>
    <c:autoTitleDeleted val="0"/>
    <c:plotArea>
      <c:layout>
        <c:manualLayout>
          <c:layoutTarget val="inner"/>
          <c:xMode val="edge"/>
          <c:yMode val="edge"/>
          <c:x val="0.17628696077339409"/>
          <c:y val="0.16374231540180495"/>
          <c:w val="0.77305527028647048"/>
          <c:h val="0.66596452441285026"/>
        </c:manualLayout>
      </c:layout>
      <c:lineChart>
        <c:grouping val="standard"/>
        <c:varyColors val="0"/>
        <c:ser>
          <c:idx val="0"/>
          <c:order val="0"/>
          <c:spPr>
            <a:ln w="22225" cap="rnd">
              <a:solidFill>
                <a:srgbClr val="EE0000"/>
              </a:solidFill>
              <a:round/>
            </a:ln>
            <a:effectLst/>
          </c:spPr>
          <c:marker>
            <c:symbol val="none"/>
          </c:marker>
          <c:cat>
            <c:numRef>
              <c:f>Sheet4!$N$6:$AA$6</c:f>
              <c:numCache>
                <c:formatCode>General</c:formatCode>
                <c:ptCount val="14"/>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numCache>
            </c:numRef>
          </c:cat>
          <c:val>
            <c:numRef>
              <c:f>Sheet4!$N$10:$AA$10</c:f>
              <c:numCache>
                <c:formatCode>_ * #,##0.0_ ;_ * \-#,##0.0_ ;_ * ""\-""??_ ;_ @_ </c:formatCode>
                <c:ptCount val="14"/>
                <c:pt idx="0">
                  <c:v>2135.5599403866522</c:v>
                </c:pt>
                <c:pt idx="1">
                  <c:v>2193.7985053861494</c:v>
                </c:pt>
                <c:pt idx="2">
                  <c:v>2271.3759767875499</c:v>
                </c:pt>
                <c:pt idx="3">
                  <c:v>2351.1459794023431</c:v>
                </c:pt>
                <c:pt idx="4">
                  <c:v>2404.37339843982</c:v>
                </c:pt>
                <c:pt idx="5">
                  <c:v>2487.2434616368428</c:v>
                </c:pt>
                <c:pt idx="6">
                  <c:v>2572.5267573949345</c:v>
                </c:pt>
                <c:pt idx="7">
                  <c:v>2660.3018962533074</c:v>
                </c:pt>
                <c:pt idx="8">
                  <c:v>2750.6543072989734</c:v>
                </c:pt>
                <c:pt idx="9">
                  <c:v>2843.6414221836071</c:v>
                </c:pt>
                <c:pt idx="10">
                  <c:v>2939.4488048634375</c:v>
                </c:pt>
                <c:pt idx="11">
                  <c:v>3037.7277222093521</c:v>
                </c:pt>
                <c:pt idx="12">
                  <c:v>3139.2526103035348</c:v>
                </c:pt>
                <c:pt idx="13">
                  <c:v>3243.8081344563225</c:v>
                </c:pt>
              </c:numCache>
            </c:numRef>
          </c:val>
          <c:smooth val="0"/>
          <c:extLst>
            <c:ext xmlns:c16="http://schemas.microsoft.com/office/drawing/2014/chart" uri="{C3380CC4-5D6E-409C-BE32-E72D297353CC}">
              <c16:uniqueId val="{00000000-5D7D-4E10-9A28-D2BCECCDAE6E}"/>
            </c:ext>
          </c:extLst>
        </c:ser>
        <c:dLbls>
          <c:showLegendKey val="0"/>
          <c:showVal val="0"/>
          <c:showCatName val="0"/>
          <c:showSerName val="0"/>
          <c:showPercent val="0"/>
          <c:showBubbleSize val="0"/>
        </c:dLbls>
        <c:smooth val="0"/>
        <c:axId val="1185791295"/>
        <c:axId val="1185798015"/>
      </c:lineChart>
      <c:catAx>
        <c:axId val="1185791295"/>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Année</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fr-FR"/>
          </a:p>
        </c:txPr>
        <c:crossAx val="1185798015"/>
        <c:crosses val="autoZero"/>
        <c:auto val="1"/>
        <c:lblAlgn val="ctr"/>
        <c:lblOffset val="100"/>
        <c:noMultiLvlLbl val="0"/>
      </c:catAx>
      <c:valAx>
        <c:axId val="1185798015"/>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Emissions  de  KTCO2éq</a:t>
                </a:r>
              </a:p>
            </c:rich>
          </c:tx>
          <c:layout>
            <c:manualLayout>
              <c:xMode val="edge"/>
              <c:yMode val="edge"/>
              <c:x val="4.0568511922935417E-2"/>
              <c:y val="0.17606110250233736"/>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fr-FR"/>
            </a:p>
          </c:txPr>
        </c:title>
        <c:numFmt formatCode="_ * #,##0.0_ ;_ * \-#,##0.0_ ;_ * &quot;&quot;\-&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crossAx val="1185791295"/>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89C9BB-8CDB-4ACA-91EF-FDFCDAD03016}">
  <we:reference id="d51ccb01-85e7-42ab-885b-de05c07799f3" version="1.0.0.1" store="EXCatalog" storeType="EXCatalog"/>
  <we:alternateReferences>
    <we:reference id="WA200010453" version="1.0.0.1" store="en-US" storeType="OMEX"/>
  </we:alternateReferences>
  <we:properties>
    <we:property name="claude.fileId" value="&quot;d840cc6d-8cd2-4aac-a82c-f0ee34d53a8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zEWSIDo7E1VezcKzI1Ij2DUcp2Q==">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</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B0352 - Mali - Bamako</OfficeCountry>
    <DocumentStatus xmlns="d9cf0e28-81d2-4dc7-8b10-820d80ed680d">Deleted</DocumentStatus>
    <DocCoverageEndDate xmlns="d9cf0e28-81d2-4dc7-8b10-820d80ed680d">2026-07-31T04:00:00+00:00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Rapport de Revue Sectorielle </FileNameDescription>
    <ProjectNumber xmlns="d9cf0e28-81d2-4dc7-8b10-820d80ed680d">00147128</ProjectNumber>
    <DocumentType xmlns="d9cf0e28-81d2-4dc7-8b10-820d80ed680d">Evaluation Report</DocumentType>
    <Language xmlns="d9cf0e28-81d2-4dc7-8b10-820d80ed680d">French</Language>
    <AuthorName xmlns="d9cf0e28-81d2-4dc7-8b10-820d80ed680d">UNDP</AuthorName>
    <DocumentCategory xmlns="d9cf0e28-81d2-4dc7-8b10-820d80ed680d">Project</DocumentCategory>
    <OperatingUnit xmlns="d9cf0e28-81d2-4dc7-8b10-820d80ed680d">UNDP-MLI</OperatingUnit>
    <FocusArea xmlns="d9cf0e28-81d2-4dc7-8b10-820d80ed680d">Capacity Development</FocusArea>
    <DocCoverageStartDate xmlns="d9cf0e28-81d2-4dc7-8b10-820d80ed680d">2026-01-01T00:00:00+00:00</DocCoverageStartDate>
    <FileClassificationMode xmlns="d9cf0e28-81d2-4dc7-8b10-820d80ed680d">Public</FileClassificationMode>
    <OutputNumber xmlns="d9cf0e28-81d2-4dc7-8b10-820d80ed680d">00133848</OutputNumber>
  </documentManagement>
</p:properties>
</file>

<file path=customXml/itemProps1.xml><?xml version="1.0" encoding="utf-8"?>
<ds:datastoreItem xmlns:ds="http://schemas.openxmlformats.org/officeDocument/2006/customXml" ds:itemID="{90248946-5677-4D2E-8E80-EF123D63429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155C729-C033-4AB2-B902-41775B30D88E}"/>
</file>

<file path=customXml/itemProps4.xml><?xml version="1.0" encoding="utf-8"?>
<ds:datastoreItem xmlns:ds="http://schemas.openxmlformats.org/officeDocument/2006/customXml" ds:itemID="{D9F25E76-E8E4-4B91-86A6-DA4363A1669F}"/>
</file>

<file path=customXml/itemProps5.xml><?xml version="1.0" encoding="utf-8"?>
<ds:datastoreItem xmlns:ds="http://schemas.openxmlformats.org/officeDocument/2006/customXml" ds:itemID="{D4985B2D-5617-466D-AD11-D77644F0E05D}"/>
</file>

<file path=docProps/app.xml><?xml version="1.0" encoding="utf-8"?>
<Properties xmlns="http://schemas.openxmlformats.org/officeDocument/2006/extended-properties" xmlns:vt="http://schemas.openxmlformats.org/officeDocument/2006/docPropsVTypes">
  <Template>Normal</Template>
  <TotalTime>0</TotalTime>
  <Pages>124</Pages>
  <Words>46000</Words>
  <Characters>264963</Characters>
  <Application>Microsoft Office Word</Application>
  <DocSecurity>0</DocSecurity>
  <Lines>5520</Lines>
  <Paragraphs>2591</Paragraphs>
  <ScaleCrop>false</ScaleCrop>
  <HeadingPairs>
    <vt:vector size="2" baseType="variant">
      <vt:variant>
        <vt:lpstr>Titre</vt:lpstr>
      </vt:variant>
      <vt:variant>
        <vt:i4>1</vt:i4>
      </vt:variant>
    </vt:vector>
  </HeadingPairs>
  <TitlesOfParts>
    <vt:vector size="1" baseType="lpstr">
      <vt:lpstr>Rapport de collecte des données</vt:lpstr>
    </vt:vector>
  </TitlesOfParts>
  <Company/>
  <LinksUpToDate>false</LinksUpToDate>
  <CharactersWithSpaces>308372</CharactersWithSpaces>
  <SharedDoc>false</SharedDoc>
  <HLinks>
    <vt:vector size="762" baseType="variant">
      <vt:variant>
        <vt:i4>1638453</vt:i4>
      </vt:variant>
      <vt:variant>
        <vt:i4>728</vt:i4>
      </vt:variant>
      <vt:variant>
        <vt:i4>0</vt:i4>
      </vt:variant>
      <vt:variant>
        <vt:i4>5</vt:i4>
      </vt:variant>
      <vt:variant>
        <vt:lpwstr/>
      </vt:variant>
      <vt:variant>
        <vt:lpwstr>_Toc230648337</vt:lpwstr>
      </vt:variant>
      <vt:variant>
        <vt:i4>1638453</vt:i4>
      </vt:variant>
      <vt:variant>
        <vt:i4>722</vt:i4>
      </vt:variant>
      <vt:variant>
        <vt:i4>0</vt:i4>
      </vt:variant>
      <vt:variant>
        <vt:i4>5</vt:i4>
      </vt:variant>
      <vt:variant>
        <vt:lpwstr/>
      </vt:variant>
      <vt:variant>
        <vt:lpwstr>_Toc230648336</vt:lpwstr>
      </vt:variant>
      <vt:variant>
        <vt:i4>1638453</vt:i4>
      </vt:variant>
      <vt:variant>
        <vt:i4>716</vt:i4>
      </vt:variant>
      <vt:variant>
        <vt:i4>0</vt:i4>
      </vt:variant>
      <vt:variant>
        <vt:i4>5</vt:i4>
      </vt:variant>
      <vt:variant>
        <vt:lpwstr/>
      </vt:variant>
      <vt:variant>
        <vt:lpwstr>_Toc230648335</vt:lpwstr>
      </vt:variant>
      <vt:variant>
        <vt:i4>1638453</vt:i4>
      </vt:variant>
      <vt:variant>
        <vt:i4>710</vt:i4>
      </vt:variant>
      <vt:variant>
        <vt:i4>0</vt:i4>
      </vt:variant>
      <vt:variant>
        <vt:i4>5</vt:i4>
      </vt:variant>
      <vt:variant>
        <vt:lpwstr/>
      </vt:variant>
      <vt:variant>
        <vt:lpwstr>_Toc230648334</vt:lpwstr>
      </vt:variant>
      <vt:variant>
        <vt:i4>1638453</vt:i4>
      </vt:variant>
      <vt:variant>
        <vt:i4>704</vt:i4>
      </vt:variant>
      <vt:variant>
        <vt:i4>0</vt:i4>
      </vt:variant>
      <vt:variant>
        <vt:i4>5</vt:i4>
      </vt:variant>
      <vt:variant>
        <vt:lpwstr/>
      </vt:variant>
      <vt:variant>
        <vt:lpwstr>_Toc230648333</vt:lpwstr>
      </vt:variant>
      <vt:variant>
        <vt:i4>1638453</vt:i4>
      </vt:variant>
      <vt:variant>
        <vt:i4>698</vt:i4>
      </vt:variant>
      <vt:variant>
        <vt:i4>0</vt:i4>
      </vt:variant>
      <vt:variant>
        <vt:i4>5</vt:i4>
      </vt:variant>
      <vt:variant>
        <vt:lpwstr/>
      </vt:variant>
      <vt:variant>
        <vt:lpwstr>_Toc230648332</vt:lpwstr>
      </vt:variant>
      <vt:variant>
        <vt:i4>1638453</vt:i4>
      </vt:variant>
      <vt:variant>
        <vt:i4>692</vt:i4>
      </vt:variant>
      <vt:variant>
        <vt:i4>0</vt:i4>
      </vt:variant>
      <vt:variant>
        <vt:i4>5</vt:i4>
      </vt:variant>
      <vt:variant>
        <vt:lpwstr/>
      </vt:variant>
      <vt:variant>
        <vt:lpwstr>_Toc230648331</vt:lpwstr>
      </vt:variant>
      <vt:variant>
        <vt:i4>1638453</vt:i4>
      </vt:variant>
      <vt:variant>
        <vt:i4>686</vt:i4>
      </vt:variant>
      <vt:variant>
        <vt:i4>0</vt:i4>
      </vt:variant>
      <vt:variant>
        <vt:i4>5</vt:i4>
      </vt:variant>
      <vt:variant>
        <vt:lpwstr/>
      </vt:variant>
      <vt:variant>
        <vt:lpwstr>_Toc230648330</vt:lpwstr>
      </vt:variant>
      <vt:variant>
        <vt:i4>1572917</vt:i4>
      </vt:variant>
      <vt:variant>
        <vt:i4>680</vt:i4>
      </vt:variant>
      <vt:variant>
        <vt:i4>0</vt:i4>
      </vt:variant>
      <vt:variant>
        <vt:i4>5</vt:i4>
      </vt:variant>
      <vt:variant>
        <vt:lpwstr/>
      </vt:variant>
      <vt:variant>
        <vt:lpwstr>_Toc230648329</vt:lpwstr>
      </vt:variant>
      <vt:variant>
        <vt:i4>1572917</vt:i4>
      </vt:variant>
      <vt:variant>
        <vt:i4>674</vt:i4>
      </vt:variant>
      <vt:variant>
        <vt:i4>0</vt:i4>
      </vt:variant>
      <vt:variant>
        <vt:i4>5</vt:i4>
      </vt:variant>
      <vt:variant>
        <vt:lpwstr/>
      </vt:variant>
      <vt:variant>
        <vt:lpwstr>_Toc230648328</vt:lpwstr>
      </vt:variant>
      <vt:variant>
        <vt:i4>1572917</vt:i4>
      </vt:variant>
      <vt:variant>
        <vt:i4>668</vt:i4>
      </vt:variant>
      <vt:variant>
        <vt:i4>0</vt:i4>
      </vt:variant>
      <vt:variant>
        <vt:i4>5</vt:i4>
      </vt:variant>
      <vt:variant>
        <vt:lpwstr/>
      </vt:variant>
      <vt:variant>
        <vt:lpwstr>_Toc230648327</vt:lpwstr>
      </vt:variant>
      <vt:variant>
        <vt:i4>1572917</vt:i4>
      </vt:variant>
      <vt:variant>
        <vt:i4>662</vt:i4>
      </vt:variant>
      <vt:variant>
        <vt:i4>0</vt:i4>
      </vt:variant>
      <vt:variant>
        <vt:i4>5</vt:i4>
      </vt:variant>
      <vt:variant>
        <vt:lpwstr/>
      </vt:variant>
      <vt:variant>
        <vt:lpwstr>_Toc230648326</vt:lpwstr>
      </vt:variant>
      <vt:variant>
        <vt:i4>1572917</vt:i4>
      </vt:variant>
      <vt:variant>
        <vt:i4>656</vt:i4>
      </vt:variant>
      <vt:variant>
        <vt:i4>0</vt:i4>
      </vt:variant>
      <vt:variant>
        <vt:i4>5</vt:i4>
      </vt:variant>
      <vt:variant>
        <vt:lpwstr/>
      </vt:variant>
      <vt:variant>
        <vt:lpwstr>_Toc230648325</vt:lpwstr>
      </vt:variant>
      <vt:variant>
        <vt:i4>1572917</vt:i4>
      </vt:variant>
      <vt:variant>
        <vt:i4>650</vt:i4>
      </vt:variant>
      <vt:variant>
        <vt:i4>0</vt:i4>
      </vt:variant>
      <vt:variant>
        <vt:i4>5</vt:i4>
      </vt:variant>
      <vt:variant>
        <vt:lpwstr/>
      </vt:variant>
      <vt:variant>
        <vt:lpwstr>_Toc230648324</vt:lpwstr>
      </vt:variant>
      <vt:variant>
        <vt:i4>1572917</vt:i4>
      </vt:variant>
      <vt:variant>
        <vt:i4>644</vt:i4>
      </vt:variant>
      <vt:variant>
        <vt:i4>0</vt:i4>
      </vt:variant>
      <vt:variant>
        <vt:i4>5</vt:i4>
      </vt:variant>
      <vt:variant>
        <vt:lpwstr/>
      </vt:variant>
      <vt:variant>
        <vt:lpwstr>_Toc230648323</vt:lpwstr>
      </vt:variant>
      <vt:variant>
        <vt:i4>1572917</vt:i4>
      </vt:variant>
      <vt:variant>
        <vt:i4>638</vt:i4>
      </vt:variant>
      <vt:variant>
        <vt:i4>0</vt:i4>
      </vt:variant>
      <vt:variant>
        <vt:i4>5</vt:i4>
      </vt:variant>
      <vt:variant>
        <vt:lpwstr/>
      </vt:variant>
      <vt:variant>
        <vt:lpwstr>_Toc230648322</vt:lpwstr>
      </vt:variant>
      <vt:variant>
        <vt:i4>1572917</vt:i4>
      </vt:variant>
      <vt:variant>
        <vt:i4>632</vt:i4>
      </vt:variant>
      <vt:variant>
        <vt:i4>0</vt:i4>
      </vt:variant>
      <vt:variant>
        <vt:i4>5</vt:i4>
      </vt:variant>
      <vt:variant>
        <vt:lpwstr/>
      </vt:variant>
      <vt:variant>
        <vt:lpwstr>_Toc230648321</vt:lpwstr>
      </vt:variant>
      <vt:variant>
        <vt:i4>1572917</vt:i4>
      </vt:variant>
      <vt:variant>
        <vt:i4>626</vt:i4>
      </vt:variant>
      <vt:variant>
        <vt:i4>0</vt:i4>
      </vt:variant>
      <vt:variant>
        <vt:i4>5</vt:i4>
      </vt:variant>
      <vt:variant>
        <vt:lpwstr/>
      </vt:variant>
      <vt:variant>
        <vt:lpwstr>_Toc230648320</vt:lpwstr>
      </vt:variant>
      <vt:variant>
        <vt:i4>1769525</vt:i4>
      </vt:variant>
      <vt:variant>
        <vt:i4>620</vt:i4>
      </vt:variant>
      <vt:variant>
        <vt:i4>0</vt:i4>
      </vt:variant>
      <vt:variant>
        <vt:i4>5</vt:i4>
      </vt:variant>
      <vt:variant>
        <vt:lpwstr/>
      </vt:variant>
      <vt:variant>
        <vt:lpwstr>_Toc230648319</vt:lpwstr>
      </vt:variant>
      <vt:variant>
        <vt:i4>1769525</vt:i4>
      </vt:variant>
      <vt:variant>
        <vt:i4>614</vt:i4>
      </vt:variant>
      <vt:variant>
        <vt:i4>0</vt:i4>
      </vt:variant>
      <vt:variant>
        <vt:i4>5</vt:i4>
      </vt:variant>
      <vt:variant>
        <vt:lpwstr/>
      </vt:variant>
      <vt:variant>
        <vt:lpwstr>_Toc230648318</vt:lpwstr>
      </vt:variant>
      <vt:variant>
        <vt:i4>1769525</vt:i4>
      </vt:variant>
      <vt:variant>
        <vt:i4>608</vt:i4>
      </vt:variant>
      <vt:variant>
        <vt:i4>0</vt:i4>
      </vt:variant>
      <vt:variant>
        <vt:i4>5</vt:i4>
      </vt:variant>
      <vt:variant>
        <vt:lpwstr/>
      </vt:variant>
      <vt:variant>
        <vt:lpwstr>_Toc230648317</vt:lpwstr>
      </vt:variant>
      <vt:variant>
        <vt:i4>1769525</vt:i4>
      </vt:variant>
      <vt:variant>
        <vt:i4>602</vt:i4>
      </vt:variant>
      <vt:variant>
        <vt:i4>0</vt:i4>
      </vt:variant>
      <vt:variant>
        <vt:i4>5</vt:i4>
      </vt:variant>
      <vt:variant>
        <vt:lpwstr/>
      </vt:variant>
      <vt:variant>
        <vt:lpwstr>_Toc230648316</vt:lpwstr>
      </vt:variant>
      <vt:variant>
        <vt:i4>1769525</vt:i4>
      </vt:variant>
      <vt:variant>
        <vt:i4>596</vt:i4>
      </vt:variant>
      <vt:variant>
        <vt:i4>0</vt:i4>
      </vt:variant>
      <vt:variant>
        <vt:i4>5</vt:i4>
      </vt:variant>
      <vt:variant>
        <vt:lpwstr/>
      </vt:variant>
      <vt:variant>
        <vt:lpwstr>_Toc230648315</vt:lpwstr>
      </vt:variant>
      <vt:variant>
        <vt:i4>1769525</vt:i4>
      </vt:variant>
      <vt:variant>
        <vt:i4>590</vt:i4>
      </vt:variant>
      <vt:variant>
        <vt:i4>0</vt:i4>
      </vt:variant>
      <vt:variant>
        <vt:i4>5</vt:i4>
      </vt:variant>
      <vt:variant>
        <vt:lpwstr/>
      </vt:variant>
      <vt:variant>
        <vt:lpwstr>_Toc230648314</vt:lpwstr>
      </vt:variant>
      <vt:variant>
        <vt:i4>1769525</vt:i4>
      </vt:variant>
      <vt:variant>
        <vt:i4>584</vt:i4>
      </vt:variant>
      <vt:variant>
        <vt:i4>0</vt:i4>
      </vt:variant>
      <vt:variant>
        <vt:i4>5</vt:i4>
      </vt:variant>
      <vt:variant>
        <vt:lpwstr/>
      </vt:variant>
      <vt:variant>
        <vt:lpwstr>_Toc230648313</vt:lpwstr>
      </vt:variant>
      <vt:variant>
        <vt:i4>1769525</vt:i4>
      </vt:variant>
      <vt:variant>
        <vt:i4>578</vt:i4>
      </vt:variant>
      <vt:variant>
        <vt:i4>0</vt:i4>
      </vt:variant>
      <vt:variant>
        <vt:i4>5</vt:i4>
      </vt:variant>
      <vt:variant>
        <vt:lpwstr/>
      </vt:variant>
      <vt:variant>
        <vt:lpwstr>_Toc230648312</vt:lpwstr>
      </vt:variant>
      <vt:variant>
        <vt:i4>1769525</vt:i4>
      </vt:variant>
      <vt:variant>
        <vt:i4>572</vt:i4>
      </vt:variant>
      <vt:variant>
        <vt:i4>0</vt:i4>
      </vt:variant>
      <vt:variant>
        <vt:i4>5</vt:i4>
      </vt:variant>
      <vt:variant>
        <vt:lpwstr/>
      </vt:variant>
      <vt:variant>
        <vt:lpwstr>_Toc230648311</vt:lpwstr>
      </vt:variant>
      <vt:variant>
        <vt:i4>1769525</vt:i4>
      </vt:variant>
      <vt:variant>
        <vt:i4>566</vt:i4>
      </vt:variant>
      <vt:variant>
        <vt:i4>0</vt:i4>
      </vt:variant>
      <vt:variant>
        <vt:i4>5</vt:i4>
      </vt:variant>
      <vt:variant>
        <vt:lpwstr/>
      </vt:variant>
      <vt:variant>
        <vt:lpwstr>_Toc230648310</vt:lpwstr>
      </vt:variant>
      <vt:variant>
        <vt:i4>1703989</vt:i4>
      </vt:variant>
      <vt:variant>
        <vt:i4>560</vt:i4>
      </vt:variant>
      <vt:variant>
        <vt:i4>0</vt:i4>
      </vt:variant>
      <vt:variant>
        <vt:i4>5</vt:i4>
      </vt:variant>
      <vt:variant>
        <vt:lpwstr/>
      </vt:variant>
      <vt:variant>
        <vt:lpwstr>_Toc230648309</vt:lpwstr>
      </vt:variant>
      <vt:variant>
        <vt:i4>1703989</vt:i4>
      </vt:variant>
      <vt:variant>
        <vt:i4>554</vt:i4>
      </vt:variant>
      <vt:variant>
        <vt:i4>0</vt:i4>
      </vt:variant>
      <vt:variant>
        <vt:i4>5</vt:i4>
      </vt:variant>
      <vt:variant>
        <vt:lpwstr/>
      </vt:variant>
      <vt:variant>
        <vt:lpwstr>_Toc230648308</vt:lpwstr>
      </vt:variant>
      <vt:variant>
        <vt:i4>1703989</vt:i4>
      </vt:variant>
      <vt:variant>
        <vt:i4>548</vt:i4>
      </vt:variant>
      <vt:variant>
        <vt:i4>0</vt:i4>
      </vt:variant>
      <vt:variant>
        <vt:i4>5</vt:i4>
      </vt:variant>
      <vt:variant>
        <vt:lpwstr/>
      </vt:variant>
      <vt:variant>
        <vt:lpwstr>_Toc230648307</vt:lpwstr>
      </vt:variant>
      <vt:variant>
        <vt:i4>1703989</vt:i4>
      </vt:variant>
      <vt:variant>
        <vt:i4>542</vt:i4>
      </vt:variant>
      <vt:variant>
        <vt:i4>0</vt:i4>
      </vt:variant>
      <vt:variant>
        <vt:i4>5</vt:i4>
      </vt:variant>
      <vt:variant>
        <vt:lpwstr/>
      </vt:variant>
      <vt:variant>
        <vt:lpwstr>_Toc230648306</vt:lpwstr>
      </vt:variant>
      <vt:variant>
        <vt:i4>1703989</vt:i4>
      </vt:variant>
      <vt:variant>
        <vt:i4>536</vt:i4>
      </vt:variant>
      <vt:variant>
        <vt:i4>0</vt:i4>
      </vt:variant>
      <vt:variant>
        <vt:i4>5</vt:i4>
      </vt:variant>
      <vt:variant>
        <vt:lpwstr/>
      </vt:variant>
      <vt:variant>
        <vt:lpwstr>_Toc230648305</vt:lpwstr>
      </vt:variant>
      <vt:variant>
        <vt:i4>1703989</vt:i4>
      </vt:variant>
      <vt:variant>
        <vt:i4>530</vt:i4>
      </vt:variant>
      <vt:variant>
        <vt:i4>0</vt:i4>
      </vt:variant>
      <vt:variant>
        <vt:i4>5</vt:i4>
      </vt:variant>
      <vt:variant>
        <vt:lpwstr/>
      </vt:variant>
      <vt:variant>
        <vt:lpwstr>_Toc230648304</vt:lpwstr>
      </vt:variant>
      <vt:variant>
        <vt:i4>1703989</vt:i4>
      </vt:variant>
      <vt:variant>
        <vt:i4>524</vt:i4>
      </vt:variant>
      <vt:variant>
        <vt:i4>0</vt:i4>
      </vt:variant>
      <vt:variant>
        <vt:i4>5</vt:i4>
      </vt:variant>
      <vt:variant>
        <vt:lpwstr/>
      </vt:variant>
      <vt:variant>
        <vt:lpwstr>_Toc230648303</vt:lpwstr>
      </vt:variant>
      <vt:variant>
        <vt:i4>1703989</vt:i4>
      </vt:variant>
      <vt:variant>
        <vt:i4>518</vt:i4>
      </vt:variant>
      <vt:variant>
        <vt:i4>0</vt:i4>
      </vt:variant>
      <vt:variant>
        <vt:i4>5</vt:i4>
      </vt:variant>
      <vt:variant>
        <vt:lpwstr/>
      </vt:variant>
      <vt:variant>
        <vt:lpwstr>_Toc230648302</vt:lpwstr>
      </vt:variant>
      <vt:variant>
        <vt:i4>1703989</vt:i4>
      </vt:variant>
      <vt:variant>
        <vt:i4>512</vt:i4>
      </vt:variant>
      <vt:variant>
        <vt:i4>0</vt:i4>
      </vt:variant>
      <vt:variant>
        <vt:i4>5</vt:i4>
      </vt:variant>
      <vt:variant>
        <vt:lpwstr/>
      </vt:variant>
      <vt:variant>
        <vt:lpwstr>_Toc230648301</vt:lpwstr>
      </vt:variant>
      <vt:variant>
        <vt:i4>1703989</vt:i4>
      </vt:variant>
      <vt:variant>
        <vt:i4>506</vt:i4>
      </vt:variant>
      <vt:variant>
        <vt:i4>0</vt:i4>
      </vt:variant>
      <vt:variant>
        <vt:i4>5</vt:i4>
      </vt:variant>
      <vt:variant>
        <vt:lpwstr/>
      </vt:variant>
      <vt:variant>
        <vt:lpwstr>_Toc230648300</vt:lpwstr>
      </vt:variant>
      <vt:variant>
        <vt:i4>1245236</vt:i4>
      </vt:variant>
      <vt:variant>
        <vt:i4>500</vt:i4>
      </vt:variant>
      <vt:variant>
        <vt:i4>0</vt:i4>
      </vt:variant>
      <vt:variant>
        <vt:i4>5</vt:i4>
      </vt:variant>
      <vt:variant>
        <vt:lpwstr/>
      </vt:variant>
      <vt:variant>
        <vt:lpwstr>_Toc230648299</vt:lpwstr>
      </vt:variant>
      <vt:variant>
        <vt:i4>1245236</vt:i4>
      </vt:variant>
      <vt:variant>
        <vt:i4>494</vt:i4>
      </vt:variant>
      <vt:variant>
        <vt:i4>0</vt:i4>
      </vt:variant>
      <vt:variant>
        <vt:i4>5</vt:i4>
      </vt:variant>
      <vt:variant>
        <vt:lpwstr/>
      </vt:variant>
      <vt:variant>
        <vt:lpwstr>_Toc230648298</vt:lpwstr>
      </vt:variant>
      <vt:variant>
        <vt:i4>1245236</vt:i4>
      </vt:variant>
      <vt:variant>
        <vt:i4>488</vt:i4>
      </vt:variant>
      <vt:variant>
        <vt:i4>0</vt:i4>
      </vt:variant>
      <vt:variant>
        <vt:i4>5</vt:i4>
      </vt:variant>
      <vt:variant>
        <vt:lpwstr/>
      </vt:variant>
      <vt:variant>
        <vt:lpwstr>_Toc230648297</vt:lpwstr>
      </vt:variant>
      <vt:variant>
        <vt:i4>1245236</vt:i4>
      </vt:variant>
      <vt:variant>
        <vt:i4>482</vt:i4>
      </vt:variant>
      <vt:variant>
        <vt:i4>0</vt:i4>
      </vt:variant>
      <vt:variant>
        <vt:i4>5</vt:i4>
      </vt:variant>
      <vt:variant>
        <vt:lpwstr/>
      </vt:variant>
      <vt:variant>
        <vt:lpwstr>_Toc230648296</vt:lpwstr>
      </vt:variant>
      <vt:variant>
        <vt:i4>1245236</vt:i4>
      </vt:variant>
      <vt:variant>
        <vt:i4>476</vt:i4>
      </vt:variant>
      <vt:variant>
        <vt:i4>0</vt:i4>
      </vt:variant>
      <vt:variant>
        <vt:i4>5</vt:i4>
      </vt:variant>
      <vt:variant>
        <vt:lpwstr/>
      </vt:variant>
      <vt:variant>
        <vt:lpwstr>_Toc230648295</vt:lpwstr>
      </vt:variant>
      <vt:variant>
        <vt:i4>1245236</vt:i4>
      </vt:variant>
      <vt:variant>
        <vt:i4>470</vt:i4>
      </vt:variant>
      <vt:variant>
        <vt:i4>0</vt:i4>
      </vt:variant>
      <vt:variant>
        <vt:i4>5</vt:i4>
      </vt:variant>
      <vt:variant>
        <vt:lpwstr/>
      </vt:variant>
      <vt:variant>
        <vt:lpwstr>_Toc230648294</vt:lpwstr>
      </vt:variant>
      <vt:variant>
        <vt:i4>1638455</vt:i4>
      </vt:variant>
      <vt:variant>
        <vt:i4>461</vt:i4>
      </vt:variant>
      <vt:variant>
        <vt:i4>0</vt:i4>
      </vt:variant>
      <vt:variant>
        <vt:i4>5</vt:i4>
      </vt:variant>
      <vt:variant>
        <vt:lpwstr/>
      </vt:variant>
      <vt:variant>
        <vt:lpwstr>_Toc230648138</vt:lpwstr>
      </vt:variant>
      <vt:variant>
        <vt:i4>1638455</vt:i4>
      </vt:variant>
      <vt:variant>
        <vt:i4>455</vt:i4>
      </vt:variant>
      <vt:variant>
        <vt:i4>0</vt:i4>
      </vt:variant>
      <vt:variant>
        <vt:i4>5</vt:i4>
      </vt:variant>
      <vt:variant>
        <vt:lpwstr/>
      </vt:variant>
      <vt:variant>
        <vt:lpwstr>_Toc230648137</vt:lpwstr>
      </vt:variant>
      <vt:variant>
        <vt:i4>1638455</vt:i4>
      </vt:variant>
      <vt:variant>
        <vt:i4>449</vt:i4>
      </vt:variant>
      <vt:variant>
        <vt:i4>0</vt:i4>
      </vt:variant>
      <vt:variant>
        <vt:i4>5</vt:i4>
      </vt:variant>
      <vt:variant>
        <vt:lpwstr/>
      </vt:variant>
      <vt:variant>
        <vt:lpwstr>_Toc230648136</vt:lpwstr>
      </vt:variant>
      <vt:variant>
        <vt:i4>1638455</vt:i4>
      </vt:variant>
      <vt:variant>
        <vt:i4>443</vt:i4>
      </vt:variant>
      <vt:variant>
        <vt:i4>0</vt:i4>
      </vt:variant>
      <vt:variant>
        <vt:i4>5</vt:i4>
      </vt:variant>
      <vt:variant>
        <vt:lpwstr/>
      </vt:variant>
      <vt:variant>
        <vt:lpwstr>_Toc230648135</vt:lpwstr>
      </vt:variant>
      <vt:variant>
        <vt:i4>1638455</vt:i4>
      </vt:variant>
      <vt:variant>
        <vt:i4>437</vt:i4>
      </vt:variant>
      <vt:variant>
        <vt:i4>0</vt:i4>
      </vt:variant>
      <vt:variant>
        <vt:i4>5</vt:i4>
      </vt:variant>
      <vt:variant>
        <vt:lpwstr/>
      </vt:variant>
      <vt:variant>
        <vt:lpwstr>_Toc230648134</vt:lpwstr>
      </vt:variant>
      <vt:variant>
        <vt:i4>1638455</vt:i4>
      </vt:variant>
      <vt:variant>
        <vt:i4>431</vt:i4>
      </vt:variant>
      <vt:variant>
        <vt:i4>0</vt:i4>
      </vt:variant>
      <vt:variant>
        <vt:i4>5</vt:i4>
      </vt:variant>
      <vt:variant>
        <vt:lpwstr/>
      </vt:variant>
      <vt:variant>
        <vt:lpwstr>_Toc230648133</vt:lpwstr>
      </vt:variant>
      <vt:variant>
        <vt:i4>1638455</vt:i4>
      </vt:variant>
      <vt:variant>
        <vt:i4>425</vt:i4>
      </vt:variant>
      <vt:variant>
        <vt:i4>0</vt:i4>
      </vt:variant>
      <vt:variant>
        <vt:i4>5</vt:i4>
      </vt:variant>
      <vt:variant>
        <vt:lpwstr/>
      </vt:variant>
      <vt:variant>
        <vt:lpwstr>_Toc230648132</vt:lpwstr>
      </vt:variant>
      <vt:variant>
        <vt:i4>1638455</vt:i4>
      </vt:variant>
      <vt:variant>
        <vt:i4>419</vt:i4>
      </vt:variant>
      <vt:variant>
        <vt:i4>0</vt:i4>
      </vt:variant>
      <vt:variant>
        <vt:i4>5</vt:i4>
      </vt:variant>
      <vt:variant>
        <vt:lpwstr/>
      </vt:variant>
      <vt:variant>
        <vt:lpwstr>_Toc230648131</vt:lpwstr>
      </vt:variant>
      <vt:variant>
        <vt:i4>1638455</vt:i4>
      </vt:variant>
      <vt:variant>
        <vt:i4>413</vt:i4>
      </vt:variant>
      <vt:variant>
        <vt:i4>0</vt:i4>
      </vt:variant>
      <vt:variant>
        <vt:i4>5</vt:i4>
      </vt:variant>
      <vt:variant>
        <vt:lpwstr/>
      </vt:variant>
      <vt:variant>
        <vt:lpwstr>_Toc230648130</vt:lpwstr>
      </vt:variant>
      <vt:variant>
        <vt:i4>1572919</vt:i4>
      </vt:variant>
      <vt:variant>
        <vt:i4>407</vt:i4>
      </vt:variant>
      <vt:variant>
        <vt:i4>0</vt:i4>
      </vt:variant>
      <vt:variant>
        <vt:i4>5</vt:i4>
      </vt:variant>
      <vt:variant>
        <vt:lpwstr/>
      </vt:variant>
      <vt:variant>
        <vt:lpwstr>_Toc230648129</vt:lpwstr>
      </vt:variant>
      <vt:variant>
        <vt:i4>1572919</vt:i4>
      </vt:variant>
      <vt:variant>
        <vt:i4>401</vt:i4>
      </vt:variant>
      <vt:variant>
        <vt:i4>0</vt:i4>
      </vt:variant>
      <vt:variant>
        <vt:i4>5</vt:i4>
      </vt:variant>
      <vt:variant>
        <vt:lpwstr/>
      </vt:variant>
      <vt:variant>
        <vt:lpwstr>_Toc230648128</vt:lpwstr>
      </vt:variant>
      <vt:variant>
        <vt:i4>1572919</vt:i4>
      </vt:variant>
      <vt:variant>
        <vt:i4>395</vt:i4>
      </vt:variant>
      <vt:variant>
        <vt:i4>0</vt:i4>
      </vt:variant>
      <vt:variant>
        <vt:i4>5</vt:i4>
      </vt:variant>
      <vt:variant>
        <vt:lpwstr/>
      </vt:variant>
      <vt:variant>
        <vt:lpwstr>_Toc230648127</vt:lpwstr>
      </vt:variant>
      <vt:variant>
        <vt:i4>1572919</vt:i4>
      </vt:variant>
      <vt:variant>
        <vt:i4>389</vt:i4>
      </vt:variant>
      <vt:variant>
        <vt:i4>0</vt:i4>
      </vt:variant>
      <vt:variant>
        <vt:i4>5</vt:i4>
      </vt:variant>
      <vt:variant>
        <vt:lpwstr/>
      </vt:variant>
      <vt:variant>
        <vt:lpwstr>_Toc230648126</vt:lpwstr>
      </vt:variant>
      <vt:variant>
        <vt:i4>1572919</vt:i4>
      </vt:variant>
      <vt:variant>
        <vt:i4>383</vt:i4>
      </vt:variant>
      <vt:variant>
        <vt:i4>0</vt:i4>
      </vt:variant>
      <vt:variant>
        <vt:i4>5</vt:i4>
      </vt:variant>
      <vt:variant>
        <vt:lpwstr/>
      </vt:variant>
      <vt:variant>
        <vt:lpwstr>_Toc230648125</vt:lpwstr>
      </vt:variant>
      <vt:variant>
        <vt:i4>1835068</vt:i4>
      </vt:variant>
      <vt:variant>
        <vt:i4>374</vt:i4>
      </vt:variant>
      <vt:variant>
        <vt:i4>0</vt:i4>
      </vt:variant>
      <vt:variant>
        <vt:i4>5</vt:i4>
      </vt:variant>
      <vt:variant>
        <vt:lpwstr/>
      </vt:variant>
      <vt:variant>
        <vt:lpwstr>_Toc230677998</vt:lpwstr>
      </vt:variant>
      <vt:variant>
        <vt:i4>1835068</vt:i4>
      </vt:variant>
      <vt:variant>
        <vt:i4>368</vt:i4>
      </vt:variant>
      <vt:variant>
        <vt:i4>0</vt:i4>
      </vt:variant>
      <vt:variant>
        <vt:i4>5</vt:i4>
      </vt:variant>
      <vt:variant>
        <vt:lpwstr/>
      </vt:variant>
      <vt:variant>
        <vt:lpwstr>_Toc230677997</vt:lpwstr>
      </vt:variant>
      <vt:variant>
        <vt:i4>1835068</vt:i4>
      </vt:variant>
      <vt:variant>
        <vt:i4>362</vt:i4>
      </vt:variant>
      <vt:variant>
        <vt:i4>0</vt:i4>
      </vt:variant>
      <vt:variant>
        <vt:i4>5</vt:i4>
      </vt:variant>
      <vt:variant>
        <vt:lpwstr/>
      </vt:variant>
      <vt:variant>
        <vt:lpwstr>_Toc230677996</vt:lpwstr>
      </vt:variant>
      <vt:variant>
        <vt:i4>1835068</vt:i4>
      </vt:variant>
      <vt:variant>
        <vt:i4>356</vt:i4>
      </vt:variant>
      <vt:variant>
        <vt:i4>0</vt:i4>
      </vt:variant>
      <vt:variant>
        <vt:i4>5</vt:i4>
      </vt:variant>
      <vt:variant>
        <vt:lpwstr/>
      </vt:variant>
      <vt:variant>
        <vt:lpwstr>_Toc230677995</vt:lpwstr>
      </vt:variant>
      <vt:variant>
        <vt:i4>1835068</vt:i4>
      </vt:variant>
      <vt:variant>
        <vt:i4>350</vt:i4>
      </vt:variant>
      <vt:variant>
        <vt:i4>0</vt:i4>
      </vt:variant>
      <vt:variant>
        <vt:i4>5</vt:i4>
      </vt:variant>
      <vt:variant>
        <vt:lpwstr/>
      </vt:variant>
      <vt:variant>
        <vt:lpwstr>_Toc230677994</vt:lpwstr>
      </vt:variant>
      <vt:variant>
        <vt:i4>1835068</vt:i4>
      </vt:variant>
      <vt:variant>
        <vt:i4>344</vt:i4>
      </vt:variant>
      <vt:variant>
        <vt:i4>0</vt:i4>
      </vt:variant>
      <vt:variant>
        <vt:i4>5</vt:i4>
      </vt:variant>
      <vt:variant>
        <vt:lpwstr/>
      </vt:variant>
      <vt:variant>
        <vt:lpwstr>_Toc230677993</vt:lpwstr>
      </vt:variant>
      <vt:variant>
        <vt:i4>1835068</vt:i4>
      </vt:variant>
      <vt:variant>
        <vt:i4>338</vt:i4>
      </vt:variant>
      <vt:variant>
        <vt:i4>0</vt:i4>
      </vt:variant>
      <vt:variant>
        <vt:i4>5</vt:i4>
      </vt:variant>
      <vt:variant>
        <vt:lpwstr/>
      </vt:variant>
      <vt:variant>
        <vt:lpwstr>_Toc230677992</vt:lpwstr>
      </vt:variant>
      <vt:variant>
        <vt:i4>1835068</vt:i4>
      </vt:variant>
      <vt:variant>
        <vt:i4>332</vt:i4>
      </vt:variant>
      <vt:variant>
        <vt:i4>0</vt:i4>
      </vt:variant>
      <vt:variant>
        <vt:i4>5</vt:i4>
      </vt:variant>
      <vt:variant>
        <vt:lpwstr/>
      </vt:variant>
      <vt:variant>
        <vt:lpwstr>_Toc230677991</vt:lpwstr>
      </vt:variant>
      <vt:variant>
        <vt:i4>1835068</vt:i4>
      </vt:variant>
      <vt:variant>
        <vt:i4>326</vt:i4>
      </vt:variant>
      <vt:variant>
        <vt:i4>0</vt:i4>
      </vt:variant>
      <vt:variant>
        <vt:i4>5</vt:i4>
      </vt:variant>
      <vt:variant>
        <vt:lpwstr/>
      </vt:variant>
      <vt:variant>
        <vt:lpwstr>_Toc230677990</vt:lpwstr>
      </vt:variant>
      <vt:variant>
        <vt:i4>1900604</vt:i4>
      </vt:variant>
      <vt:variant>
        <vt:i4>320</vt:i4>
      </vt:variant>
      <vt:variant>
        <vt:i4>0</vt:i4>
      </vt:variant>
      <vt:variant>
        <vt:i4>5</vt:i4>
      </vt:variant>
      <vt:variant>
        <vt:lpwstr/>
      </vt:variant>
      <vt:variant>
        <vt:lpwstr>_Toc230677989</vt:lpwstr>
      </vt:variant>
      <vt:variant>
        <vt:i4>1900604</vt:i4>
      </vt:variant>
      <vt:variant>
        <vt:i4>314</vt:i4>
      </vt:variant>
      <vt:variant>
        <vt:i4>0</vt:i4>
      </vt:variant>
      <vt:variant>
        <vt:i4>5</vt:i4>
      </vt:variant>
      <vt:variant>
        <vt:lpwstr/>
      </vt:variant>
      <vt:variant>
        <vt:lpwstr>_Toc230677988</vt:lpwstr>
      </vt:variant>
      <vt:variant>
        <vt:i4>1900604</vt:i4>
      </vt:variant>
      <vt:variant>
        <vt:i4>308</vt:i4>
      </vt:variant>
      <vt:variant>
        <vt:i4>0</vt:i4>
      </vt:variant>
      <vt:variant>
        <vt:i4>5</vt:i4>
      </vt:variant>
      <vt:variant>
        <vt:lpwstr/>
      </vt:variant>
      <vt:variant>
        <vt:lpwstr>_Toc230677987</vt:lpwstr>
      </vt:variant>
      <vt:variant>
        <vt:i4>1900604</vt:i4>
      </vt:variant>
      <vt:variant>
        <vt:i4>302</vt:i4>
      </vt:variant>
      <vt:variant>
        <vt:i4>0</vt:i4>
      </vt:variant>
      <vt:variant>
        <vt:i4>5</vt:i4>
      </vt:variant>
      <vt:variant>
        <vt:lpwstr/>
      </vt:variant>
      <vt:variant>
        <vt:lpwstr>_Toc230677986</vt:lpwstr>
      </vt:variant>
      <vt:variant>
        <vt:i4>1900604</vt:i4>
      </vt:variant>
      <vt:variant>
        <vt:i4>296</vt:i4>
      </vt:variant>
      <vt:variant>
        <vt:i4>0</vt:i4>
      </vt:variant>
      <vt:variant>
        <vt:i4>5</vt:i4>
      </vt:variant>
      <vt:variant>
        <vt:lpwstr/>
      </vt:variant>
      <vt:variant>
        <vt:lpwstr>_Toc230677985</vt:lpwstr>
      </vt:variant>
      <vt:variant>
        <vt:i4>1900604</vt:i4>
      </vt:variant>
      <vt:variant>
        <vt:i4>290</vt:i4>
      </vt:variant>
      <vt:variant>
        <vt:i4>0</vt:i4>
      </vt:variant>
      <vt:variant>
        <vt:i4>5</vt:i4>
      </vt:variant>
      <vt:variant>
        <vt:lpwstr/>
      </vt:variant>
      <vt:variant>
        <vt:lpwstr>_Toc230677984</vt:lpwstr>
      </vt:variant>
      <vt:variant>
        <vt:i4>1900604</vt:i4>
      </vt:variant>
      <vt:variant>
        <vt:i4>284</vt:i4>
      </vt:variant>
      <vt:variant>
        <vt:i4>0</vt:i4>
      </vt:variant>
      <vt:variant>
        <vt:i4>5</vt:i4>
      </vt:variant>
      <vt:variant>
        <vt:lpwstr/>
      </vt:variant>
      <vt:variant>
        <vt:lpwstr>_Toc230677983</vt:lpwstr>
      </vt:variant>
      <vt:variant>
        <vt:i4>1900604</vt:i4>
      </vt:variant>
      <vt:variant>
        <vt:i4>278</vt:i4>
      </vt:variant>
      <vt:variant>
        <vt:i4>0</vt:i4>
      </vt:variant>
      <vt:variant>
        <vt:i4>5</vt:i4>
      </vt:variant>
      <vt:variant>
        <vt:lpwstr/>
      </vt:variant>
      <vt:variant>
        <vt:lpwstr>_Toc230677982</vt:lpwstr>
      </vt:variant>
      <vt:variant>
        <vt:i4>1900604</vt:i4>
      </vt:variant>
      <vt:variant>
        <vt:i4>272</vt:i4>
      </vt:variant>
      <vt:variant>
        <vt:i4>0</vt:i4>
      </vt:variant>
      <vt:variant>
        <vt:i4>5</vt:i4>
      </vt:variant>
      <vt:variant>
        <vt:lpwstr/>
      </vt:variant>
      <vt:variant>
        <vt:lpwstr>_Toc230677981</vt:lpwstr>
      </vt:variant>
      <vt:variant>
        <vt:i4>1900604</vt:i4>
      </vt:variant>
      <vt:variant>
        <vt:i4>266</vt:i4>
      </vt:variant>
      <vt:variant>
        <vt:i4>0</vt:i4>
      </vt:variant>
      <vt:variant>
        <vt:i4>5</vt:i4>
      </vt:variant>
      <vt:variant>
        <vt:lpwstr/>
      </vt:variant>
      <vt:variant>
        <vt:lpwstr>_Toc230677980</vt:lpwstr>
      </vt:variant>
      <vt:variant>
        <vt:i4>1179708</vt:i4>
      </vt:variant>
      <vt:variant>
        <vt:i4>260</vt:i4>
      </vt:variant>
      <vt:variant>
        <vt:i4>0</vt:i4>
      </vt:variant>
      <vt:variant>
        <vt:i4>5</vt:i4>
      </vt:variant>
      <vt:variant>
        <vt:lpwstr/>
      </vt:variant>
      <vt:variant>
        <vt:lpwstr>_Toc230677979</vt:lpwstr>
      </vt:variant>
      <vt:variant>
        <vt:i4>1179708</vt:i4>
      </vt:variant>
      <vt:variant>
        <vt:i4>254</vt:i4>
      </vt:variant>
      <vt:variant>
        <vt:i4>0</vt:i4>
      </vt:variant>
      <vt:variant>
        <vt:i4>5</vt:i4>
      </vt:variant>
      <vt:variant>
        <vt:lpwstr/>
      </vt:variant>
      <vt:variant>
        <vt:lpwstr>_Toc230677978</vt:lpwstr>
      </vt:variant>
      <vt:variant>
        <vt:i4>1179708</vt:i4>
      </vt:variant>
      <vt:variant>
        <vt:i4>248</vt:i4>
      </vt:variant>
      <vt:variant>
        <vt:i4>0</vt:i4>
      </vt:variant>
      <vt:variant>
        <vt:i4>5</vt:i4>
      </vt:variant>
      <vt:variant>
        <vt:lpwstr/>
      </vt:variant>
      <vt:variant>
        <vt:lpwstr>_Toc230677977</vt:lpwstr>
      </vt:variant>
      <vt:variant>
        <vt:i4>1179708</vt:i4>
      </vt:variant>
      <vt:variant>
        <vt:i4>242</vt:i4>
      </vt:variant>
      <vt:variant>
        <vt:i4>0</vt:i4>
      </vt:variant>
      <vt:variant>
        <vt:i4>5</vt:i4>
      </vt:variant>
      <vt:variant>
        <vt:lpwstr/>
      </vt:variant>
      <vt:variant>
        <vt:lpwstr>_Toc230677976</vt:lpwstr>
      </vt:variant>
      <vt:variant>
        <vt:i4>1179708</vt:i4>
      </vt:variant>
      <vt:variant>
        <vt:i4>236</vt:i4>
      </vt:variant>
      <vt:variant>
        <vt:i4>0</vt:i4>
      </vt:variant>
      <vt:variant>
        <vt:i4>5</vt:i4>
      </vt:variant>
      <vt:variant>
        <vt:lpwstr/>
      </vt:variant>
      <vt:variant>
        <vt:lpwstr>_Toc230677975</vt:lpwstr>
      </vt:variant>
      <vt:variant>
        <vt:i4>1179708</vt:i4>
      </vt:variant>
      <vt:variant>
        <vt:i4>230</vt:i4>
      </vt:variant>
      <vt:variant>
        <vt:i4>0</vt:i4>
      </vt:variant>
      <vt:variant>
        <vt:i4>5</vt:i4>
      </vt:variant>
      <vt:variant>
        <vt:lpwstr/>
      </vt:variant>
      <vt:variant>
        <vt:lpwstr>_Toc230677974</vt:lpwstr>
      </vt:variant>
      <vt:variant>
        <vt:i4>1179708</vt:i4>
      </vt:variant>
      <vt:variant>
        <vt:i4>224</vt:i4>
      </vt:variant>
      <vt:variant>
        <vt:i4>0</vt:i4>
      </vt:variant>
      <vt:variant>
        <vt:i4>5</vt:i4>
      </vt:variant>
      <vt:variant>
        <vt:lpwstr/>
      </vt:variant>
      <vt:variant>
        <vt:lpwstr>_Toc230677973</vt:lpwstr>
      </vt:variant>
      <vt:variant>
        <vt:i4>1179708</vt:i4>
      </vt:variant>
      <vt:variant>
        <vt:i4>218</vt:i4>
      </vt:variant>
      <vt:variant>
        <vt:i4>0</vt:i4>
      </vt:variant>
      <vt:variant>
        <vt:i4>5</vt:i4>
      </vt:variant>
      <vt:variant>
        <vt:lpwstr/>
      </vt:variant>
      <vt:variant>
        <vt:lpwstr>_Toc230677972</vt:lpwstr>
      </vt:variant>
      <vt:variant>
        <vt:i4>1179708</vt:i4>
      </vt:variant>
      <vt:variant>
        <vt:i4>212</vt:i4>
      </vt:variant>
      <vt:variant>
        <vt:i4>0</vt:i4>
      </vt:variant>
      <vt:variant>
        <vt:i4>5</vt:i4>
      </vt:variant>
      <vt:variant>
        <vt:lpwstr/>
      </vt:variant>
      <vt:variant>
        <vt:lpwstr>_Toc230677971</vt:lpwstr>
      </vt:variant>
      <vt:variant>
        <vt:i4>1179708</vt:i4>
      </vt:variant>
      <vt:variant>
        <vt:i4>206</vt:i4>
      </vt:variant>
      <vt:variant>
        <vt:i4>0</vt:i4>
      </vt:variant>
      <vt:variant>
        <vt:i4>5</vt:i4>
      </vt:variant>
      <vt:variant>
        <vt:lpwstr/>
      </vt:variant>
      <vt:variant>
        <vt:lpwstr>_Toc230677970</vt:lpwstr>
      </vt:variant>
      <vt:variant>
        <vt:i4>1245244</vt:i4>
      </vt:variant>
      <vt:variant>
        <vt:i4>200</vt:i4>
      </vt:variant>
      <vt:variant>
        <vt:i4>0</vt:i4>
      </vt:variant>
      <vt:variant>
        <vt:i4>5</vt:i4>
      </vt:variant>
      <vt:variant>
        <vt:lpwstr/>
      </vt:variant>
      <vt:variant>
        <vt:lpwstr>_Toc230677969</vt:lpwstr>
      </vt:variant>
      <vt:variant>
        <vt:i4>1245244</vt:i4>
      </vt:variant>
      <vt:variant>
        <vt:i4>194</vt:i4>
      </vt:variant>
      <vt:variant>
        <vt:i4>0</vt:i4>
      </vt:variant>
      <vt:variant>
        <vt:i4>5</vt:i4>
      </vt:variant>
      <vt:variant>
        <vt:lpwstr/>
      </vt:variant>
      <vt:variant>
        <vt:lpwstr>_Toc230677968</vt:lpwstr>
      </vt:variant>
      <vt:variant>
        <vt:i4>1245244</vt:i4>
      </vt:variant>
      <vt:variant>
        <vt:i4>188</vt:i4>
      </vt:variant>
      <vt:variant>
        <vt:i4>0</vt:i4>
      </vt:variant>
      <vt:variant>
        <vt:i4>5</vt:i4>
      </vt:variant>
      <vt:variant>
        <vt:lpwstr/>
      </vt:variant>
      <vt:variant>
        <vt:lpwstr>_Toc230677967</vt:lpwstr>
      </vt:variant>
      <vt:variant>
        <vt:i4>1245244</vt:i4>
      </vt:variant>
      <vt:variant>
        <vt:i4>182</vt:i4>
      </vt:variant>
      <vt:variant>
        <vt:i4>0</vt:i4>
      </vt:variant>
      <vt:variant>
        <vt:i4>5</vt:i4>
      </vt:variant>
      <vt:variant>
        <vt:lpwstr/>
      </vt:variant>
      <vt:variant>
        <vt:lpwstr>_Toc230677966</vt:lpwstr>
      </vt:variant>
      <vt:variant>
        <vt:i4>1245244</vt:i4>
      </vt:variant>
      <vt:variant>
        <vt:i4>176</vt:i4>
      </vt:variant>
      <vt:variant>
        <vt:i4>0</vt:i4>
      </vt:variant>
      <vt:variant>
        <vt:i4>5</vt:i4>
      </vt:variant>
      <vt:variant>
        <vt:lpwstr/>
      </vt:variant>
      <vt:variant>
        <vt:lpwstr>_Toc230677965</vt:lpwstr>
      </vt:variant>
      <vt:variant>
        <vt:i4>1245244</vt:i4>
      </vt:variant>
      <vt:variant>
        <vt:i4>170</vt:i4>
      </vt:variant>
      <vt:variant>
        <vt:i4>0</vt:i4>
      </vt:variant>
      <vt:variant>
        <vt:i4>5</vt:i4>
      </vt:variant>
      <vt:variant>
        <vt:lpwstr/>
      </vt:variant>
      <vt:variant>
        <vt:lpwstr>_Toc230677964</vt:lpwstr>
      </vt:variant>
      <vt:variant>
        <vt:i4>1245244</vt:i4>
      </vt:variant>
      <vt:variant>
        <vt:i4>164</vt:i4>
      </vt:variant>
      <vt:variant>
        <vt:i4>0</vt:i4>
      </vt:variant>
      <vt:variant>
        <vt:i4>5</vt:i4>
      </vt:variant>
      <vt:variant>
        <vt:lpwstr/>
      </vt:variant>
      <vt:variant>
        <vt:lpwstr>_Toc230677963</vt:lpwstr>
      </vt:variant>
      <vt:variant>
        <vt:i4>1245244</vt:i4>
      </vt:variant>
      <vt:variant>
        <vt:i4>158</vt:i4>
      </vt:variant>
      <vt:variant>
        <vt:i4>0</vt:i4>
      </vt:variant>
      <vt:variant>
        <vt:i4>5</vt:i4>
      </vt:variant>
      <vt:variant>
        <vt:lpwstr/>
      </vt:variant>
      <vt:variant>
        <vt:lpwstr>_Toc230677962</vt:lpwstr>
      </vt:variant>
      <vt:variant>
        <vt:i4>1245244</vt:i4>
      </vt:variant>
      <vt:variant>
        <vt:i4>152</vt:i4>
      </vt:variant>
      <vt:variant>
        <vt:i4>0</vt:i4>
      </vt:variant>
      <vt:variant>
        <vt:i4>5</vt:i4>
      </vt:variant>
      <vt:variant>
        <vt:lpwstr/>
      </vt:variant>
      <vt:variant>
        <vt:lpwstr>_Toc230677961</vt:lpwstr>
      </vt:variant>
      <vt:variant>
        <vt:i4>1245244</vt:i4>
      </vt:variant>
      <vt:variant>
        <vt:i4>146</vt:i4>
      </vt:variant>
      <vt:variant>
        <vt:i4>0</vt:i4>
      </vt:variant>
      <vt:variant>
        <vt:i4>5</vt:i4>
      </vt:variant>
      <vt:variant>
        <vt:lpwstr/>
      </vt:variant>
      <vt:variant>
        <vt:lpwstr>_Toc230677960</vt:lpwstr>
      </vt:variant>
      <vt:variant>
        <vt:i4>1048636</vt:i4>
      </vt:variant>
      <vt:variant>
        <vt:i4>140</vt:i4>
      </vt:variant>
      <vt:variant>
        <vt:i4>0</vt:i4>
      </vt:variant>
      <vt:variant>
        <vt:i4>5</vt:i4>
      </vt:variant>
      <vt:variant>
        <vt:lpwstr/>
      </vt:variant>
      <vt:variant>
        <vt:lpwstr>_Toc230677959</vt:lpwstr>
      </vt:variant>
      <vt:variant>
        <vt:i4>1048636</vt:i4>
      </vt:variant>
      <vt:variant>
        <vt:i4>134</vt:i4>
      </vt:variant>
      <vt:variant>
        <vt:i4>0</vt:i4>
      </vt:variant>
      <vt:variant>
        <vt:i4>5</vt:i4>
      </vt:variant>
      <vt:variant>
        <vt:lpwstr/>
      </vt:variant>
      <vt:variant>
        <vt:lpwstr>_Toc230677958</vt:lpwstr>
      </vt:variant>
      <vt:variant>
        <vt:i4>1048636</vt:i4>
      </vt:variant>
      <vt:variant>
        <vt:i4>128</vt:i4>
      </vt:variant>
      <vt:variant>
        <vt:i4>0</vt:i4>
      </vt:variant>
      <vt:variant>
        <vt:i4>5</vt:i4>
      </vt:variant>
      <vt:variant>
        <vt:lpwstr/>
      </vt:variant>
      <vt:variant>
        <vt:lpwstr>_Toc230677957</vt:lpwstr>
      </vt:variant>
      <vt:variant>
        <vt:i4>1048636</vt:i4>
      </vt:variant>
      <vt:variant>
        <vt:i4>122</vt:i4>
      </vt:variant>
      <vt:variant>
        <vt:i4>0</vt:i4>
      </vt:variant>
      <vt:variant>
        <vt:i4>5</vt:i4>
      </vt:variant>
      <vt:variant>
        <vt:lpwstr/>
      </vt:variant>
      <vt:variant>
        <vt:lpwstr>_Toc230677956</vt:lpwstr>
      </vt:variant>
      <vt:variant>
        <vt:i4>1048636</vt:i4>
      </vt:variant>
      <vt:variant>
        <vt:i4>116</vt:i4>
      </vt:variant>
      <vt:variant>
        <vt:i4>0</vt:i4>
      </vt:variant>
      <vt:variant>
        <vt:i4>5</vt:i4>
      </vt:variant>
      <vt:variant>
        <vt:lpwstr/>
      </vt:variant>
      <vt:variant>
        <vt:lpwstr>_Toc230677955</vt:lpwstr>
      </vt:variant>
      <vt:variant>
        <vt:i4>1048636</vt:i4>
      </vt:variant>
      <vt:variant>
        <vt:i4>110</vt:i4>
      </vt:variant>
      <vt:variant>
        <vt:i4>0</vt:i4>
      </vt:variant>
      <vt:variant>
        <vt:i4>5</vt:i4>
      </vt:variant>
      <vt:variant>
        <vt:lpwstr/>
      </vt:variant>
      <vt:variant>
        <vt:lpwstr>_Toc230677954</vt:lpwstr>
      </vt:variant>
      <vt:variant>
        <vt:i4>1048636</vt:i4>
      </vt:variant>
      <vt:variant>
        <vt:i4>104</vt:i4>
      </vt:variant>
      <vt:variant>
        <vt:i4>0</vt:i4>
      </vt:variant>
      <vt:variant>
        <vt:i4>5</vt:i4>
      </vt:variant>
      <vt:variant>
        <vt:lpwstr/>
      </vt:variant>
      <vt:variant>
        <vt:lpwstr>_Toc230677953</vt:lpwstr>
      </vt:variant>
      <vt:variant>
        <vt:i4>1048636</vt:i4>
      </vt:variant>
      <vt:variant>
        <vt:i4>98</vt:i4>
      </vt:variant>
      <vt:variant>
        <vt:i4>0</vt:i4>
      </vt:variant>
      <vt:variant>
        <vt:i4>5</vt:i4>
      </vt:variant>
      <vt:variant>
        <vt:lpwstr/>
      </vt:variant>
      <vt:variant>
        <vt:lpwstr>_Toc230677952</vt:lpwstr>
      </vt:variant>
      <vt:variant>
        <vt:i4>1048636</vt:i4>
      </vt:variant>
      <vt:variant>
        <vt:i4>92</vt:i4>
      </vt:variant>
      <vt:variant>
        <vt:i4>0</vt:i4>
      </vt:variant>
      <vt:variant>
        <vt:i4>5</vt:i4>
      </vt:variant>
      <vt:variant>
        <vt:lpwstr/>
      </vt:variant>
      <vt:variant>
        <vt:lpwstr>_Toc230677951</vt:lpwstr>
      </vt:variant>
      <vt:variant>
        <vt:i4>1048636</vt:i4>
      </vt:variant>
      <vt:variant>
        <vt:i4>86</vt:i4>
      </vt:variant>
      <vt:variant>
        <vt:i4>0</vt:i4>
      </vt:variant>
      <vt:variant>
        <vt:i4>5</vt:i4>
      </vt:variant>
      <vt:variant>
        <vt:lpwstr/>
      </vt:variant>
      <vt:variant>
        <vt:lpwstr>_Toc230677950</vt:lpwstr>
      </vt:variant>
      <vt:variant>
        <vt:i4>1114172</vt:i4>
      </vt:variant>
      <vt:variant>
        <vt:i4>80</vt:i4>
      </vt:variant>
      <vt:variant>
        <vt:i4>0</vt:i4>
      </vt:variant>
      <vt:variant>
        <vt:i4>5</vt:i4>
      </vt:variant>
      <vt:variant>
        <vt:lpwstr/>
      </vt:variant>
      <vt:variant>
        <vt:lpwstr>_Toc230677949</vt:lpwstr>
      </vt:variant>
      <vt:variant>
        <vt:i4>1114172</vt:i4>
      </vt:variant>
      <vt:variant>
        <vt:i4>74</vt:i4>
      </vt:variant>
      <vt:variant>
        <vt:i4>0</vt:i4>
      </vt:variant>
      <vt:variant>
        <vt:i4>5</vt:i4>
      </vt:variant>
      <vt:variant>
        <vt:lpwstr/>
      </vt:variant>
      <vt:variant>
        <vt:lpwstr>_Toc230677948</vt:lpwstr>
      </vt:variant>
      <vt:variant>
        <vt:i4>1114172</vt:i4>
      </vt:variant>
      <vt:variant>
        <vt:i4>68</vt:i4>
      </vt:variant>
      <vt:variant>
        <vt:i4>0</vt:i4>
      </vt:variant>
      <vt:variant>
        <vt:i4>5</vt:i4>
      </vt:variant>
      <vt:variant>
        <vt:lpwstr/>
      </vt:variant>
      <vt:variant>
        <vt:lpwstr>_Toc230677947</vt:lpwstr>
      </vt:variant>
      <vt:variant>
        <vt:i4>1114172</vt:i4>
      </vt:variant>
      <vt:variant>
        <vt:i4>62</vt:i4>
      </vt:variant>
      <vt:variant>
        <vt:i4>0</vt:i4>
      </vt:variant>
      <vt:variant>
        <vt:i4>5</vt:i4>
      </vt:variant>
      <vt:variant>
        <vt:lpwstr/>
      </vt:variant>
      <vt:variant>
        <vt:lpwstr>_Toc230677946</vt:lpwstr>
      </vt:variant>
      <vt:variant>
        <vt:i4>1114172</vt:i4>
      </vt:variant>
      <vt:variant>
        <vt:i4>56</vt:i4>
      </vt:variant>
      <vt:variant>
        <vt:i4>0</vt:i4>
      </vt:variant>
      <vt:variant>
        <vt:i4>5</vt:i4>
      </vt:variant>
      <vt:variant>
        <vt:lpwstr/>
      </vt:variant>
      <vt:variant>
        <vt:lpwstr>_Toc230677945</vt:lpwstr>
      </vt:variant>
      <vt:variant>
        <vt:i4>1114172</vt:i4>
      </vt:variant>
      <vt:variant>
        <vt:i4>50</vt:i4>
      </vt:variant>
      <vt:variant>
        <vt:i4>0</vt:i4>
      </vt:variant>
      <vt:variant>
        <vt:i4>5</vt:i4>
      </vt:variant>
      <vt:variant>
        <vt:lpwstr/>
      </vt:variant>
      <vt:variant>
        <vt:lpwstr>_Toc230677944</vt:lpwstr>
      </vt:variant>
      <vt:variant>
        <vt:i4>1114172</vt:i4>
      </vt:variant>
      <vt:variant>
        <vt:i4>44</vt:i4>
      </vt:variant>
      <vt:variant>
        <vt:i4>0</vt:i4>
      </vt:variant>
      <vt:variant>
        <vt:i4>5</vt:i4>
      </vt:variant>
      <vt:variant>
        <vt:lpwstr/>
      </vt:variant>
      <vt:variant>
        <vt:lpwstr>_Toc230677943</vt:lpwstr>
      </vt:variant>
      <vt:variant>
        <vt:i4>1114172</vt:i4>
      </vt:variant>
      <vt:variant>
        <vt:i4>38</vt:i4>
      </vt:variant>
      <vt:variant>
        <vt:i4>0</vt:i4>
      </vt:variant>
      <vt:variant>
        <vt:i4>5</vt:i4>
      </vt:variant>
      <vt:variant>
        <vt:lpwstr/>
      </vt:variant>
      <vt:variant>
        <vt:lpwstr>_Toc230677942</vt:lpwstr>
      </vt:variant>
      <vt:variant>
        <vt:i4>1114172</vt:i4>
      </vt:variant>
      <vt:variant>
        <vt:i4>32</vt:i4>
      </vt:variant>
      <vt:variant>
        <vt:i4>0</vt:i4>
      </vt:variant>
      <vt:variant>
        <vt:i4>5</vt:i4>
      </vt:variant>
      <vt:variant>
        <vt:lpwstr/>
      </vt:variant>
      <vt:variant>
        <vt:lpwstr>_Toc230677941</vt:lpwstr>
      </vt:variant>
      <vt:variant>
        <vt:i4>1114172</vt:i4>
      </vt:variant>
      <vt:variant>
        <vt:i4>26</vt:i4>
      </vt:variant>
      <vt:variant>
        <vt:i4>0</vt:i4>
      </vt:variant>
      <vt:variant>
        <vt:i4>5</vt:i4>
      </vt:variant>
      <vt:variant>
        <vt:lpwstr/>
      </vt:variant>
      <vt:variant>
        <vt:lpwstr>_Toc230677940</vt:lpwstr>
      </vt:variant>
      <vt:variant>
        <vt:i4>1441852</vt:i4>
      </vt:variant>
      <vt:variant>
        <vt:i4>20</vt:i4>
      </vt:variant>
      <vt:variant>
        <vt:i4>0</vt:i4>
      </vt:variant>
      <vt:variant>
        <vt:i4>5</vt:i4>
      </vt:variant>
      <vt:variant>
        <vt:lpwstr/>
      </vt:variant>
      <vt:variant>
        <vt:lpwstr>_Toc230677939</vt:lpwstr>
      </vt:variant>
      <vt:variant>
        <vt:i4>1441852</vt:i4>
      </vt:variant>
      <vt:variant>
        <vt:i4>14</vt:i4>
      </vt:variant>
      <vt:variant>
        <vt:i4>0</vt:i4>
      </vt:variant>
      <vt:variant>
        <vt:i4>5</vt:i4>
      </vt:variant>
      <vt:variant>
        <vt:lpwstr/>
      </vt:variant>
      <vt:variant>
        <vt:lpwstr>_Toc230677938</vt:lpwstr>
      </vt:variant>
      <vt:variant>
        <vt:i4>1441852</vt:i4>
      </vt:variant>
      <vt:variant>
        <vt:i4>8</vt:i4>
      </vt:variant>
      <vt:variant>
        <vt:i4>0</vt:i4>
      </vt:variant>
      <vt:variant>
        <vt:i4>5</vt:i4>
      </vt:variant>
      <vt:variant>
        <vt:lpwstr/>
      </vt:variant>
      <vt:variant>
        <vt:lpwstr>_Toc230677937</vt:lpwstr>
      </vt:variant>
      <vt:variant>
        <vt:i4>1441852</vt:i4>
      </vt:variant>
      <vt:variant>
        <vt:i4>2</vt:i4>
      </vt:variant>
      <vt:variant>
        <vt:i4>0</vt:i4>
      </vt:variant>
      <vt:variant>
        <vt:i4>5</vt:i4>
      </vt:variant>
      <vt:variant>
        <vt:lpwstr/>
      </vt:variant>
      <vt:variant>
        <vt:lpwstr>_Toc230677936</vt:lpwstr>
      </vt:variant>
      <vt:variant>
        <vt:i4>6029439</vt:i4>
      </vt:variant>
      <vt:variant>
        <vt:i4>15</vt:i4>
      </vt:variant>
      <vt:variant>
        <vt:i4>0</vt:i4>
      </vt:variant>
      <vt:variant>
        <vt:i4>5</vt:i4>
      </vt:variant>
      <vt:variant>
        <vt:lpwstr>mailto:belbannadry@africaclimatesolutions.com</vt:lpwstr>
      </vt:variant>
      <vt:variant>
        <vt:lpwstr/>
      </vt:variant>
      <vt:variant>
        <vt:i4>6029439</vt:i4>
      </vt:variant>
      <vt:variant>
        <vt:i4>12</vt:i4>
      </vt:variant>
      <vt:variant>
        <vt:i4>0</vt:i4>
      </vt:variant>
      <vt:variant>
        <vt:i4>5</vt:i4>
      </vt:variant>
      <vt:variant>
        <vt:lpwstr>mailto:belbannadry@africaclimatesolutions.com</vt:lpwstr>
      </vt:variant>
      <vt:variant>
        <vt:lpwstr/>
      </vt:variant>
      <vt:variant>
        <vt:i4>3473424</vt:i4>
      </vt:variant>
      <vt:variant>
        <vt:i4>9</vt:i4>
      </vt:variant>
      <vt:variant>
        <vt:i4>0</vt:i4>
      </vt:variant>
      <vt:variant>
        <vt:i4>5</vt:i4>
      </vt:variant>
      <vt:variant>
        <vt:lpwstr>mailto:bouedraogo@africaclimatesolutions.com</vt:lpwstr>
      </vt:variant>
      <vt:variant>
        <vt:lpwstr/>
      </vt:variant>
      <vt:variant>
        <vt:i4>6029439</vt:i4>
      </vt:variant>
      <vt:variant>
        <vt:i4>6</vt:i4>
      </vt:variant>
      <vt:variant>
        <vt:i4>0</vt:i4>
      </vt:variant>
      <vt:variant>
        <vt:i4>5</vt:i4>
      </vt:variant>
      <vt:variant>
        <vt:lpwstr>mailto:belbannadry@africaclimatesolutions.com</vt:lpwstr>
      </vt:variant>
      <vt:variant>
        <vt:lpwstr/>
      </vt:variant>
      <vt:variant>
        <vt:i4>6029439</vt:i4>
      </vt:variant>
      <vt:variant>
        <vt:i4>3</vt:i4>
      </vt:variant>
      <vt:variant>
        <vt:i4>0</vt:i4>
      </vt:variant>
      <vt:variant>
        <vt:i4>5</vt:i4>
      </vt:variant>
      <vt:variant>
        <vt:lpwstr>mailto:belbannadry@africaclimatesolutions.com</vt:lpwstr>
      </vt:variant>
      <vt:variant>
        <vt:lpwstr/>
      </vt:variant>
      <vt:variant>
        <vt:i4>6029439</vt:i4>
      </vt:variant>
      <vt:variant>
        <vt:i4>0</vt:i4>
      </vt:variant>
      <vt:variant>
        <vt:i4>0</vt:i4>
      </vt:variant>
      <vt:variant>
        <vt:i4>5</vt:i4>
      </vt:variant>
      <vt:variant>
        <vt:lpwstr>mailto:belbannadry@africaclimatesolutions.com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Revue Sectorielle </dc:title>
  <dc:subject/>
  <dc:creator>Hamza</dc:creator>
  <cp:keywords/>
  <dc:description/>
  <cp:lastModifiedBy>Yassine Bentahir</cp:lastModifiedBy>
  <cp:revision>27</cp:revision>
  <cp:lastPrinted>2026-07-15T13:31:00Z</cp:lastPrinted>
  <dcterms:created xsi:type="dcterms:W3CDTF">2026-06-21T10:30:00Z</dcterms:created>
  <dcterms:modified xsi:type="dcterms:W3CDTF">2026-07-15T13:32:00Z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